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1"/>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1"/>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1"/>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1"/>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42"/>
        <w:ind w:firstLine="320" w:firstLineChars="100"/>
        <w:jc w:val="both"/>
        <w:rPr>
          <w:rFonts w:hint="eastAsia" w:ascii="黑体" w:hAnsi="黑体" w:eastAsia="黑体"/>
          <w:kern w:val="0"/>
          <w:sz w:val="32"/>
          <w:szCs w:val="32"/>
          <w:u w:val="single"/>
        </w:rPr>
      </w:pPr>
      <w:r>
        <w:rPr>
          <w:rFonts w:ascii="黑体" w:hAnsi="黑体" w:eastAsia="黑体"/>
          <w:sz w:val="32"/>
          <w:szCs w:val="32"/>
        </w:rPr>
        <w:t>采购项目名称：</w:t>
      </w:r>
      <w:r>
        <w:rPr>
          <w:rFonts w:hint="eastAsia" w:ascii="黑体" w:hAnsi="黑体" w:eastAsia="黑体"/>
          <w:kern w:val="0"/>
          <w:sz w:val="32"/>
          <w:szCs w:val="32"/>
          <w:u w:val="none"/>
        </w:rPr>
        <w:t>AI赋能教师数字素养提升国培班住宿、餐饮、教学场地采购项目</w:t>
      </w:r>
    </w:p>
    <w:p w14:paraId="3286CA34">
      <w:pPr>
        <w:pStyle w:val="11"/>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   湖南铁道职业技术学院   </w:t>
      </w:r>
    </w:p>
    <w:p w14:paraId="4200B993">
      <w:pPr>
        <w:pStyle w:val="11"/>
        <w:adjustRightInd w:val="0"/>
        <w:snapToGrid w:val="0"/>
        <w:spacing w:line="440" w:lineRule="exact"/>
        <w:jc w:val="center"/>
        <w:rPr>
          <w:rFonts w:hint="eastAsia" w:ascii="黑体" w:hAnsi="黑体" w:eastAsia="黑体"/>
          <w:b/>
          <w:sz w:val="32"/>
        </w:rPr>
      </w:pPr>
    </w:p>
    <w:p w14:paraId="12277452">
      <w:pPr>
        <w:pStyle w:val="11"/>
        <w:adjustRightInd w:val="0"/>
        <w:snapToGrid w:val="0"/>
        <w:spacing w:line="440" w:lineRule="exact"/>
        <w:jc w:val="center"/>
        <w:rPr>
          <w:rFonts w:hint="eastAsia" w:ascii="黑体" w:hAnsi="黑体" w:eastAsia="黑体"/>
          <w:b/>
          <w:sz w:val="32"/>
        </w:rPr>
      </w:pPr>
    </w:p>
    <w:p w14:paraId="263E19F8">
      <w:pPr>
        <w:pStyle w:val="11"/>
        <w:adjustRightInd w:val="0"/>
        <w:snapToGrid w:val="0"/>
        <w:spacing w:line="440" w:lineRule="exact"/>
        <w:jc w:val="center"/>
        <w:rPr>
          <w:rFonts w:hint="eastAsia" w:ascii="黑体" w:hAnsi="黑体" w:eastAsia="黑体"/>
          <w:b/>
          <w:sz w:val="32"/>
        </w:rPr>
      </w:pPr>
    </w:p>
    <w:p w14:paraId="00E611DA">
      <w:pPr>
        <w:pStyle w:val="11"/>
        <w:adjustRightInd w:val="0"/>
        <w:snapToGrid w:val="0"/>
        <w:spacing w:line="440" w:lineRule="exact"/>
        <w:jc w:val="center"/>
        <w:rPr>
          <w:rFonts w:hint="eastAsia" w:ascii="黑体" w:hAnsi="黑体" w:eastAsia="黑体"/>
          <w:b/>
          <w:sz w:val="32"/>
        </w:rPr>
      </w:pPr>
    </w:p>
    <w:p w14:paraId="5BD02E6F">
      <w:pPr>
        <w:pStyle w:val="11"/>
        <w:adjustRightInd w:val="0"/>
        <w:snapToGrid w:val="0"/>
        <w:spacing w:line="440" w:lineRule="exact"/>
        <w:jc w:val="center"/>
        <w:rPr>
          <w:rFonts w:hint="eastAsia" w:ascii="黑体" w:hAnsi="黑体" w:eastAsia="黑体"/>
          <w:b/>
          <w:sz w:val="32"/>
        </w:rPr>
      </w:pPr>
    </w:p>
    <w:p w14:paraId="51D3F09C">
      <w:pPr>
        <w:pStyle w:val="11"/>
        <w:adjustRightInd w:val="0"/>
        <w:snapToGrid w:val="0"/>
        <w:spacing w:line="440" w:lineRule="exact"/>
        <w:jc w:val="center"/>
        <w:rPr>
          <w:rFonts w:hint="eastAsia" w:ascii="黑体" w:hAnsi="黑体" w:eastAsia="黑体"/>
          <w:b/>
          <w:sz w:val="32"/>
        </w:rPr>
      </w:pPr>
    </w:p>
    <w:p w14:paraId="33437265">
      <w:pPr>
        <w:pStyle w:val="11"/>
        <w:adjustRightInd w:val="0"/>
        <w:snapToGrid w:val="0"/>
        <w:spacing w:line="440" w:lineRule="exact"/>
        <w:jc w:val="center"/>
        <w:rPr>
          <w:rFonts w:hint="eastAsia" w:ascii="黑体" w:hAnsi="黑体" w:eastAsia="黑体"/>
          <w:b/>
          <w:sz w:val="32"/>
        </w:rPr>
      </w:pPr>
    </w:p>
    <w:p w14:paraId="646F9A24">
      <w:pPr>
        <w:pStyle w:val="11"/>
        <w:adjustRightInd w:val="0"/>
        <w:snapToGrid w:val="0"/>
        <w:spacing w:line="440" w:lineRule="exact"/>
        <w:jc w:val="center"/>
        <w:rPr>
          <w:rFonts w:hint="eastAsia" w:ascii="黑体" w:hAnsi="黑体" w:eastAsia="黑体"/>
          <w:b/>
          <w:sz w:val="32"/>
        </w:rPr>
      </w:pPr>
    </w:p>
    <w:p w14:paraId="3BDBB089">
      <w:pPr>
        <w:pStyle w:val="11"/>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二0二六</w:t>
      </w:r>
      <w:r>
        <w:rPr>
          <w:rFonts w:ascii="黑体" w:hAnsi="黑体" w:eastAsia="黑体"/>
          <w:sz w:val="32"/>
          <w:szCs w:val="32"/>
        </w:rPr>
        <w:t>年</w:t>
      </w:r>
      <w:r>
        <w:rPr>
          <w:rFonts w:hint="eastAsia" w:ascii="黑体" w:hAnsi="黑体" w:eastAsia="黑体"/>
          <w:sz w:val="32"/>
          <w:szCs w:val="32"/>
        </w:rPr>
        <w:t>六</w:t>
      </w:r>
      <w:r>
        <w:rPr>
          <w:rFonts w:ascii="黑体" w:hAnsi="黑体" w:eastAsia="黑体"/>
          <w:sz w:val="32"/>
          <w:szCs w:val="32"/>
        </w:rPr>
        <w:t>月</w:t>
      </w:r>
    </w:p>
    <w:p w14:paraId="3FD890A2">
      <w:pPr>
        <w:pStyle w:val="17"/>
      </w:pPr>
    </w:p>
    <w:p w14:paraId="40E4DFFA">
      <w:pPr>
        <w:pStyle w:val="17"/>
        <w:rPr>
          <w:szCs w:val="22"/>
        </w:rPr>
      </w:pPr>
    </w:p>
    <w:p w14:paraId="164AF3B8">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湖南铁道职业技术学</w:t>
      </w:r>
      <w:r>
        <w:rPr>
          <w:rFonts w:hint="eastAsia" w:ascii="黑体" w:hAnsi="黑体" w:eastAsia="黑体" w:cs="宋体"/>
          <w:b/>
          <w:bCs/>
          <w:color w:val="000000"/>
          <w:spacing w:val="-20"/>
          <w:kern w:val="36"/>
          <w:sz w:val="36"/>
          <w:szCs w:val="36"/>
        </w:rPr>
        <w:t>院</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cs="宋体"/>
          <w:b/>
          <w:bCs/>
          <w:color w:val="000000"/>
          <w:spacing w:val="-20"/>
          <w:kern w:val="36"/>
          <w:sz w:val="36"/>
          <w:szCs w:val="36"/>
        </w:rPr>
        <w:t>AI赋能教师数字素养提升国培班住宿、餐饮、教学场地采购</w:t>
      </w:r>
      <w:r>
        <w:rPr>
          <w:rFonts w:hint="eastAsia" w:ascii="黑体" w:hAnsi="黑体" w:eastAsia="黑体"/>
          <w:b/>
          <w:sz w:val="36"/>
          <w:szCs w:val="36"/>
        </w:rPr>
        <w:t>项目询比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ind w:firstLine="480" w:firstLineChars="200"/>
        <w:jc w:val="left"/>
        <w:outlineLvl w:val="0"/>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rPr>
        <w:t>AI 赋能教师数字素养提升国培班住宿、餐饮、教学场地采购</w:t>
      </w:r>
      <w:r>
        <w:rPr>
          <w:rFonts w:hint="eastAsia" w:ascii="仿宋" w:hAnsi="仿宋" w:eastAsia="仿宋"/>
          <w:sz w:val="24"/>
          <w:szCs w:val="24"/>
        </w:rPr>
        <w:t>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17794_WPSOffice_Level2"/>
      <w:bookmarkStart w:id="1" w:name="_Toc3564"/>
      <w:bookmarkStart w:id="2" w:name="_Toc31662_WPSOffice_Level2"/>
      <w:bookmarkStart w:id="3" w:name="_Toc4659"/>
      <w:bookmarkStart w:id="4" w:name="_Toc26475"/>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rPr>
        <w:t>AI赋能教师数字素养提升国培班住宿、餐饮、教学场地采购</w:t>
      </w:r>
      <w:r>
        <w:rPr>
          <w:rFonts w:hint="eastAsia" w:ascii="仿宋" w:hAnsi="仿宋" w:eastAsia="仿宋"/>
          <w:sz w:val="24"/>
          <w:szCs w:val="24"/>
          <w:u w:val="none"/>
        </w:rPr>
        <w:t>项目</w:t>
      </w:r>
    </w:p>
    <w:p w14:paraId="44784280">
      <w:pPr>
        <w:pStyle w:val="17"/>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rPr>
        <w:t xml:space="preserve">2.项目概况: </w:t>
      </w:r>
      <w:r>
        <w:rPr>
          <w:rFonts w:hint="eastAsia" w:ascii="仿宋" w:hAnsi="仿宋" w:eastAsia="仿宋" w:cs="宋体"/>
          <w:sz w:val="24"/>
        </w:rPr>
        <w:t>满足教师素质提高培训学员培训期间住宿、餐饮及教学等要求，保障学员的生活服务质量</w:t>
      </w:r>
      <w:r>
        <w:rPr>
          <w:rFonts w:ascii="仿宋" w:hAnsi="仿宋" w:eastAsia="仿宋" w:cs="宋体"/>
          <w:sz w:val="24"/>
        </w:rPr>
        <w:t>与</w:t>
      </w:r>
      <w:r>
        <w:rPr>
          <w:rFonts w:hint="eastAsia" w:ascii="仿宋" w:hAnsi="仿宋" w:eastAsia="仿宋" w:cs="宋体"/>
          <w:sz w:val="24"/>
        </w:rPr>
        <w:t>培训学习的顺利进行</w:t>
      </w:r>
      <w:r>
        <w:rPr>
          <w:rFonts w:hint="eastAsia" w:ascii="仿宋" w:hAnsi="仿宋" w:eastAsia="仿宋" w:cs="宋体"/>
          <w:sz w:val="24"/>
          <w:lang w:eastAsia="zh-CN"/>
        </w:rPr>
        <w:t>。</w:t>
      </w:r>
    </w:p>
    <w:p w14:paraId="5BF0E80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sz w:val="24"/>
          <w:szCs w:val="24"/>
          <w:u w:val="none"/>
        </w:rPr>
        <w:t>住宿、餐饮、会场</w:t>
      </w:r>
      <w:r>
        <w:rPr>
          <w:rFonts w:hint="eastAsia" w:ascii="仿宋" w:hAnsi="仿宋" w:eastAsia="仿宋"/>
          <w:sz w:val="24"/>
          <w:szCs w:val="24"/>
          <w:u w:val="none"/>
        </w:rPr>
        <w:t>，</w:t>
      </w:r>
      <w:r>
        <w:rPr>
          <w:rFonts w:hint="eastAsia" w:ascii="仿宋" w:hAnsi="仿宋" w:eastAsia="仿宋"/>
          <w:sz w:val="24"/>
          <w:szCs w:val="24"/>
        </w:rPr>
        <w:t>具体内容详见采购文件（见附件）。</w:t>
      </w:r>
    </w:p>
    <w:p w14:paraId="419AAC35">
      <w:pPr>
        <w:pStyle w:val="17"/>
        <w:snapToGrid w:val="0"/>
        <w:spacing w:before="0" w:beforeAutospacing="0" w:after="0" w:line="360" w:lineRule="auto"/>
        <w:ind w:left="0" w:leftChars="0" w:firstLine="480" w:firstLineChars="200"/>
        <w:jc w:val="left"/>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rPr>
        <w:t>17.728</w:t>
      </w:r>
      <w:r>
        <w:rPr>
          <w:rFonts w:ascii="仿宋" w:hAnsi="仿宋" w:eastAsia="仿宋"/>
          <w:sz w:val="24"/>
          <w:szCs w:val="24"/>
          <w:u w:val="none"/>
        </w:rPr>
        <w:t>万元</w:t>
      </w:r>
    </w:p>
    <w:p w14:paraId="453272DD">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w:t>
      </w:r>
    </w:p>
    <w:p w14:paraId="5D952BB8">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投标人须自有经营场所用于本项目接待，提供有效期内：①旅馆业特种行业许可证；②食品经营许可证；③公共场所卫生许可证；④公众聚集场所投入使用、营业前消防安全检查合格意见书，确保经营场所符合国家住宿、餐饮经营卫生、消防规范标准。</w:t>
      </w:r>
    </w:p>
    <w:p w14:paraId="4B673CBE">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14:paraId="773A98C1">
      <w:pPr>
        <w:pStyle w:val="17"/>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7"/>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1．首次响应文件的提交截止时间：2026年6月</w:t>
      </w:r>
      <w:r>
        <w:rPr>
          <w:rFonts w:hint="eastAsia" w:ascii="仿宋" w:hAnsi="仿宋" w:eastAsia="仿宋"/>
          <w:sz w:val="24"/>
          <w:szCs w:val="24"/>
          <w:u w:val="none"/>
        </w:rPr>
        <w:t>26日</w:t>
      </w:r>
      <w:r>
        <w:rPr>
          <w:rFonts w:hint="eastAsia" w:ascii="仿宋" w:hAnsi="仿宋" w:eastAsia="仿宋"/>
          <w:color w:val="auto"/>
          <w:sz w:val="24"/>
          <w:szCs w:val="24"/>
          <w:u w:val="none"/>
        </w:rPr>
        <w:t>9时</w:t>
      </w:r>
      <w:r>
        <w:rPr>
          <w:rFonts w:hint="eastAsia" w:ascii="仿宋" w:hAnsi="仿宋" w:eastAsia="仿宋"/>
          <w:color w:val="auto"/>
          <w:sz w:val="24"/>
          <w:szCs w:val="24"/>
          <w:u w:val="none"/>
          <w:lang w:val="en-US" w:eastAsia="zh-CN"/>
        </w:rPr>
        <w:t>30分</w:t>
      </w:r>
    </w:p>
    <w:p w14:paraId="5FCFB0A5">
      <w:pPr>
        <w:pStyle w:val="17"/>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2．首次响应文件的开启时间：202</w:t>
      </w:r>
      <w:r>
        <w:rPr>
          <w:rFonts w:hint="eastAsia" w:ascii="仿宋" w:hAnsi="仿宋" w:eastAsia="仿宋"/>
          <w:sz w:val="24"/>
          <w:szCs w:val="24"/>
          <w:lang w:val="en-US" w:eastAsia="zh-CN"/>
        </w:rPr>
        <w:t>6</w:t>
      </w:r>
      <w:r>
        <w:rPr>
          <w:rFonts w:hint="eastAsia" w:ascii="仿宋" w:hAnsi="仿宋" w:eastAsia="仿宋"/>
          <w:sz w:val="24"/>
          <w:szCs w:val="24"/>
          <w:u w:val="none"/>
        </w:rPr>
        <w:t>年6月26日9时</w:t>
      </w:r>
      <w:r>
        <w:rPr>
          <w:rFonts w:hint="eastAsia" w:ascii="仿宋" w:hAnsi="仿宋" w:eastAsia="仿宋"/>
          <w:sz w:val="24"/>
          <w:szCs w:val="24"/>
          <w:u w:val="none"/>
          <w:lang w:val="en-US" w:eastAsia="zh-CN"/>
        </w:rPr>
        <w:t>30分</w:t>
      </w:r>
    </w:p>
    <w:p w14:paraId="63DB6ACB">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rPr>
        <w:t xml:space="preserve">：陈承欢 </w:t>
      </w:r>
    </w:p>
    <w:p w14:paraId="3B375338">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u w:val="none"/>
        </w:rPr>
        <w:t xml:space="preserve">电 话： </w:t>
      </w:r>
      <w:bookmarkStart w:id="10" w:name="_GoBack"/>
      <w:r>
        <w:rPr>
          <w:rFonts w:hint="eastAsia" w:ascii="仿宋" w:hAnsi="仿宋" w:eastAsia="仿宋" w:cstheme="minorEastAsia"/>
          <w:sz w:val="24"/>
          <w:szCs w:val="24"/>
          <w:u w:val="none"/>
        </w:rPr>
        <w:t>19173388786</w:t>
      </w:r>
      <w:bookmarkEnd w:id="10"/>
      <w:r>
        <w:rPr>
          <w:rFonts w:hint="eastAsia" w:ascii="仿宋" w:hAnsi="仿宋" w:eastAsia="仿宋" w:cstheme="minorEastAsia"/>
          <w:sz w:val="24"/>
          <w:szCs w:val="24"/>
          <w:u w:val="none"/>
        </w:rPr>
        <w:t xml:space="preserve"> </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云龙示范区职教城大学智慧路1号</w:t>
      </w:r>
    </w:p>
    <w:p w14:paraId="22F3A15E">
      <w:pPr>
        <w:pStyle w:val="17"/>
      </w:pPr>
    </w:p>
    <w:p w14:paraId="42402AF4"/>
    <w:p w14:paraId="06CBF053">
      <w:pPr>
        <w:pStyle w:val="17"/>
      </w:pPr>
    </w:p>
    <w:p w14:paraId="0617B9A7"/>
    <w:p w14:paraId="4FFDF357">
      <w:pPr>
        <w:pStyle w:val="17"/>
      </w:pPr>
    </w:p>
    <w:p w14:paraId="5EE97DA2">
      <w:pPr>
        <w:pStyle w:val="17"/>
        <w:ind w:left="0" w:leftChars="0" w:firstLine="0"/>
        <w:rPr>
          <w:szCs w:val="22"/>
        </w:rPr>
      </w:pPr>
    </w:p>
    <w:p w14:paraId="102C28AC"/>
    <w:p w14:paraId="167C6777">
      <w:pPr>
        <w:pStyle w:val="8"/>
        <w:rPr>
          <w:szCs w:val="22"/>
        </w:rPr>
      </w:pPr>
    </w:p>
    <w:p w14:paraId="43A9A7CF"/>
    <w:p w14:paraId="13F8E109">
      <w:pPr>
        <w:pStyle w:val="8"/>
        <w:rPr>
          <w:szCs w:val="22"/>
        </w:rPr>
      </w:pPr>
    </w:p>
    <w:p w14:paraId="5EC8A2E1"/>
    <w:p w14:paraId="34F8B3C7">
      <w:pPr>
        <w:pStyle w:val="8"/>
        <w:rPr>
          <w:szCs w:val="22"/>
        </w:rPr>
      </w:pPr>
    </w:p>
    <w:p w14:paraId="611302C1">
      <w:pPr>
        <w:pStyle w:val="1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u w:val="none"/>
        </w:rPr>
      </w:pPr>
      <w:r>
        <w:rPr>
          <w:rFonts w:hint="eastAsia" w:ascii="仿宋" w:hAnsi="仿宋" w:eastAsia="仿宋" w:cs="仿宋"/>
          <w:color w:val="333333"/>
          <w:kern w:val="0"/>
          <w:sz w:val="24"/>
          <w:szCs w:val="24"/>
        </w:rPr>
        <w:t>1．项目名称：</w:t>
      </w:r>
      <w:r>
        <w:rPr>
          <w:rFonts w:hint="eastAsia" w:ascii="仿宋" w:hAnsi="仿宋" w:eastAsia="仿宋"/>
          <w:sz w:val="24"/>
          <w:szCs w:val="24"/>
          <w:u w:val="none"/>
        </w:rPr>
        <w:t>AI赋能教师数字素养提升国培班住宿、餐饮、教学场地采购</w:t>
      </w:r>
      <w:r>
        <w:rPr>
          <w:rFonts w:hint="eastAsia" w:ascii="仿宋" w:hAnsi="仿宋" w:eastAsia="仿宋" w:cs="仿宋"/>
          <w:color w:val="333333"/>
          <w:kern w:val="0"/>
          <w:sz w:val="24"/>
          <w:szCs w:val="24"/>
          <w:u w:val="none"/>
        </w:rPr>
        <w:t>项目</w:t>
      </w:r>
    </w:p>
    <w:p w14:paraId="5A3630E4">
      <w:pPr>
        <w:pStyle w:val="43"/>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rPr>
        <w:t>自合同签订之日起至</w:t>
      </w:r>
      <w:r>
        <w:rPr>
          <w:rFonts w:hint="eastAsia" w:ascii="仿宋" w:hAnsi="仿宋" w:eastAsia="仿宋" w:cs="仿宋"/>
          <w:kern w:val="0"/>
          <w:sz w:val="24"/>
          <w:szCs w:val="24"/>
          <w:u w:val="none"/>
        </w:rPr>
        <w:t>2027年8月</w:t>
      </w:r>
      <w:r>
        <w:rPr>
          <w:rFonts w:hint="eastAsia" w:ascii="仿宋" w:hAnsi="仿宋" w:eastAsia="仿宋" w:cs="仿宋"/>
          <w:color w:val="333333"/>
          <w:kern w:val="0"/>
          <w:sz w:val="24"/>
          <w:szCs w:val="24"/>
          <w:u w:val="none"/>
        </w:rPr>
        <w:t>31日止。</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79048510">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（一）住宿服务</w:t>
      </w:r>
    </w:p>
    <w:p w14:paraId="3D71BA04">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1.为参训人员快速办理入住、退房手续，提供24小时前台服务；</w:t>
      </w:r>
    </w:p>
    <w:p w14:paraId="4EF9EF6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2.每日完成客房清洁，按规定更换床上用品、一次性洗漱用品；</w:t>
      </w:r>
    </w:p>
    <w:p w14:paraId="656285A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3.接到客房设备故障报修后及时维修处置；</w:t>
      </w:r>
    </w:p>
    <w:p w14:paraId="0FAF4BB1">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4.提供叫醒、行李寄存等个性化服务；</w:t>
      </w:r>
    </w:p>
    <w:p w14:paraId="52F772DB">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5.住宿区域配齐消防、监控设备，安排专人巡逻值守，保障住宿安全。</w:t>
      </w:r>
    </w:p>
    <w:p w14:paraId="79FE262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（二）餐饮服务</w:t>
      </w:r>
    </w:p>
    <w:p w14:paraId="260B9EC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1.根据学校培训日程制定供餐计划，按时提供早、中、晚餐；</w:t>
      </w:r>
    </w:p>
    <w:p w14:paraId="26D64F9F">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2.严格把控食材品质，保证食材新鲜、卫生、安全；</w:t>
      </w:r>
    </w:p>
    <w:p w14:paraId="06B943C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3.主动收集学员用餐反馈，及时优化菜品口味与品类，兼顾特殊饮食需求；</w:t>
      </w:r>
    </w:p>
    <w:p w14:paraId="0C69176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4.严格落实食品留样、卫生消杀制度，规范厨房及餐厅操作流程，留存完整记录。</w:t>
      </w:r>
    </w:p>
    <w:p w14:paraId="36B3D7E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（三）会场服务</w:t>
      </w:r>
    </w:p>
    <w:p w14:paraId="2C6DD08B">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1.根据培训需求完成会场布置、桌椅摆放、设备调试工作；</w:t>
      </w:r>
    </w:p>
    <w:p w14:paraId="0BE63D5D">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2.培训期间安排专人负责设备操作、现场秩序维护，提供茶水、茶歇等配套服务；</w:t>
      </w:r>
    </w:p>
    <w:p w14:paraId="1ACCDC9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3.第一时间处置设备故障及各类突发情况；</w:t>
      </w:r>
    </w:p>
    <w:p w14:paraId="03577C7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4.培训结束后及时完成会场清理、设备回收、场地消杀工作。</w:t>
      </w:r>
    </w:p>
    <w:p w14:paraId="14CAD9F5">
      <w:pPr>
        <w:pStyle w:val="43"/>
        <w:spacing w:line="520" w:lineRule="exact"/>
        <w:ind w:firstLine="480"/>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四</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位置要求</w:t>
      </w:r>
    </w:p>
    <w:p w14:paraId="3E52F2DE">
      <w:pPr>
        <w:pStyle w:val="43"/>
        <w:spacing w:line="520" w:lineRule="exact"/>
        <w:ind w:firstLine="480"/>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为方便开展本校培训服务、对接教师和学员，本项目服务和实施场地须位于株洲市主城区（包括天元区、芦淞区、荷塘区、石峰区、云龙区），投标人中标后提供的酒店经营场所须坐落于上述区域内，并满足采购人日常培训通勤、集中管理需求，若中标人提供的酒店不在上述区域，采购人有权取消中标资格，不予签订合同。</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7D1957C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（一）硬件要求</w:t>
      </w:r>
    </w:p>
    <w:p w14:paraId="5049DE0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1.住宿条件</w:t>
      </w:r>
    </w:p>
    <w:p w14:paraId="3CD7F0A3">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标准双人间数量不少于50间，单间客房建筑面积不低于20平方米；客房内配齐空调、液晶电视、无线网络、独立卫浴等设施，所有设备完好、正常使用。</w:t>
      </w:r>
    </w:p>
    <w:p w14:paraId="4337703C">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2.餐饮条件</w:t>
      </w:r>
    </w:p>
    <w:p w14:paraId="40D9918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拥有可同时容</w:t>
      </w:r>
      <w:r>
        <w:rPr>
          <w:rFonts w:hint="eastAsia" w:ascii="仿宋" w:hAnsi="仿宋" w:eastAsia="仿宋" w:cs="仿宋"/>
          <w:kern w:val="0"/>
          <w:sz w:val="24"/>
          <w:szCs w:val="24"/>
        </w:rPr>
        <w:t>纳120人及以上就餐的专用餐厅，厨房设备齐全、布局规范；食材采购渠道正规、可溯源；可提供早、中、晚三餐，每餐菜品（含主食、副食、汤品）至少10-12种，菜品搭</w:t>
      </w:r>
      <w:r>
        <w:rPr>
          <w:rFonts w:hint="eastAsia" w:ascii="仿宋" w:hAnsi="仿宋" w:eastAsia="仿宋" w:cs="仿宋"/>
          <w:color w:val="333333"/>
          <w:kern w:val="0"/>
          <w:sz w:val="24"/>
          <w:szCs w:val="24"/>
        </w:rPr>
        <w:t>配营养均衡、品类丰富。</w:t>
      </w:r>
    </w:p>
    <w:p w14:paraId="75B0B8D0">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3.会场条件</w:t>
      </w:r>
    </w:p>
    <w:p w14:paraId="0B122B4B">
      <w:pPr>
        <w:pStyle w:val="43"/>
        <w:spacing w:line="520" w:lineRule="exact"/>
        <w:ind w:firstLine="480"/>
        <w:rPr>
          <w:rFonts w:hint="eastAsia" w:ascii="仿宋" w:hAnsi="仿宋" w:eastAsia="仿宋" w:cs="仿宋"/>
          <w:b w:val="0"/>
          <w:bCs w:val="0"/>
          <w:color w:val="auto"/>
          <w:kern w:val="0"/>
          <w:sz w:val="24"/>
          <w:szCs w:val="24"/>
          <w:lang w:val="en-US" w:eastAsia="zh-CN"/>
        </w:rPr>
      </w:pPr>
      <w:r>
        <w:rPr>
          <w:rFonts w:hint="eastAsia" w:ascii="宋体" w:hAnsi="宋体" w:eastAsia="宋体" w:cs="宋体"/>
          <w:b w:val="0"/>
          <w:bCs w:val="0"/>
          <w:color w:val="auto"/>
          <w:spacing w:val="6"/>
          <w:kern w:val="0"/>
          <w:sz w:val="21"/>
          <w:szCs w:val="21"/>
          <w:lang w:val="en-US" w:eastAsia="zh-CN"/>
        </w:rPr>
        <w:t>★</w:t>
      </w:r>
      <w:r>
        <w:rPr>
          <w:rFonts w:hint="eastAsia" w:ascii="仿宋" w:hAnsi="仿宋" w:eastAsia="仿宋" w:cs="仿宋"/>
          <w:b w:val="0"/>
          <w:bCs w:val="0"/>
          <w:color w:val="auto"/>
          <w:kern w:val="0"/>
          <w:sz w:val="24"/>
          <w:szCs w:val="24"/>
          <w:lang w:val="en-US" w:eastAsia="zh-CN"/>
        </w:rPr>
        <w:t>（1）须</w:t>
      </w:r>
      <w:r>
        <w:rPr>
          <w:rFonts w:hint="eastAsia" w:ascii="仿宋" w:hAnsi="仿宋" w:eastAsia="仿宋" w:cs="仿宋"/>
          <w:b w:val="0"/>
          <w:bCs w:val="0"/>
          <w:color w:val="auto"/>
          <w:kern w:val="0"/>
          <w:sz w:val="24"/>
          <w:szCs w:val="24"/>
        </w:rPr>
        <w:t>配备3处面积大于60㎡、可容纳60人以上的小型培训会场。</w:t>
      </w:r>
    </w:p>
    <w:p w14:paraId="59E7B447">
      <w:pPr>
        <w:pStyle w:val="43"/>
        <w:spacing w:line="520" w:lineRule="exact"/>
        <w:ind w:firstLine="480"/>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（2）需</w:t>
      </w:r>
      <w:r>
        <w:rPr>
          <w:rFonts w:hint="eastAsia" w:ascii="仿宋" w:hAnsi="仿宋" w:eastAsia="仿宋" w:cs="仿宋"/>
          <w:color w:val="auto"/>
          <w:kern w:val="0"/>
          <w:sz w:val="24"/>
          <w:szCs w:val="24"/>
        </w:rPr>
        <w:t>配备1处面积大于1</w:t>
      </w:r>
      <w:r>
        <w:rPr>
          <w:rFonts w:hint="eastAsia" w:ascii="仿宋" w:hAnsi="仿宋" w:eastAsia="仿宋" w:cs="仿宋"/>
          <w:color w:val="auto"/>
          <w:kern w:val="0"/>
          <w:sz w:val="24"/>
          <w:szCs w:val="24"/>
          <w:lang w:val="en-US" w:eastAsia="zh-CN"/>
        </w:rPr>
        <w:t>8</w:t>
      </w:r>
      <w:r>
        <w:rPr>
          <w:rFonts w:hint="eastAsia" w:ascii="仿宋" w:hAnsi="仿宋" w:eastAsia="仿宋" w:cs="仿宋"/>
          <w:color w:val="auto"/>
          <w:kern w:val="0"/>
          <w:sz w:val="24"/>
          <w:szCs w:val="24"/>
        </w:rPr>
        <w:t>0㎡、可容纳150人以上的</w:t>
      </w:r>
      <w:r>
        <w:rPr>
          <w:rFonts w:hint="eastAsia" w:ascii="仿宋" w:hAnsi="仿宋" w:eastAsia="仿宋" w:cs="仿宋"/>
          <w:color w:val="auto"/>
          <w:kern w:val="0"/>
          <w:sz w:val="24"/>
          <w:szCs w:val="24"/>
          <w:lang w:val="en-US" w:eastAsia="zh-CN"/>
        </w:rPr>
        <w:t>中</w:t>
      </w:r>
      <w:r>
        <w:rPr>
          <w:rFonts w:hint="eastAsia" w:ascii="仿宋" w:hAnsi="仿宋" w:eastAsia="仿宋" w:cs="仿宋"/>
          <w:color w:val="auto"/>
          <w:kern w:val="0"/>
          <w:sz w:val="24"/>
          <w:szCs w:val="24"/>
        </w:rPr>
        <w:t>型培训会场</w:t>
      </w:r>
      <w:r>
        <w:rPr>
          <w:rFonts w:hint="eastAsia" w:ascii="仿宋" w:hAnsi="仿宋" w:eastAsia="仿宋" w:cs="仿宋"/>
          <w:color w:val="auto"/>
          <w:kern w:val="0"/>
          <w:sz w:val="24"/>
          <w:szCs w:val="24"/>
          <w:lang w:eastAsia="zh-CN"/>
        </w:rPr>
        <w:t>。</w:t>
      </w:r>
    </w:p>
    <w:p w14:paraId="41CF2488">
      <w:pPr>
        <w:pStyle w:val="43"/>
        <w:spacing w:line="520" w:lineRule="exact"/>
        <w:ind w:firstLine="48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所有会场配齐专业音响、LED电子屏、无线麦克风、成套桌椅等设施，可满足教学、会议、小组研讨等使用需求。</w:t>
      </w:r>
    </w:p>
    <w:p w14:paraId="35EA1E25">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（二）住宿质量要求</w:t>
      </w:r>
    </w:p>
    <w:p w14:paraId="71934595">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客房装修整洁舒适，设施定期维保；客房卫生符合国家卫生标准，无异味、污渍、蚊虫；布草及洗漱用品选用优质产品，严格执行更换清洗制度。</w:t>
      </w:r>
    </w:p>
    <w:p w14:paraId="39E164A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（三）餐饮质量要求</w:t>
      </w:r>
    </w:p>
    <w:p w14:paraId="16DF60D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所有菜品符合食品安全标准，口味适口；食材采购索证索票齐全；服务人员着装统一、服务规范热情。</w:t>
      </w:r>
    </w:p>
    <w:p w14:paraId="1293E45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（四）会场质量要求</w:t>
      </w:r>
    </w:p>
    <w:p w14:paraId="4EABA037">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会场安静整洁、通风良好、温度适宜；音视频、显示设备运行稳定，画面、声音清晰；现场服务人员熟练操作各类设备，具备应急处置能力。</w:t>
      </w:r>
    </w:p>
    <w:p w14:paraId="292E4A2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（五）安全管理要求</w:t>
      </w:r>
    </w:p>
    <w:p w14:paraId="34FF426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建立完善安全管理制度，定期检修消防、监控等安防设备；制定突发事件应急预案并定期组织演练。</w:t>
      </w:r>
    </w:p>
    <w:p w14:paraId="236E3F0A">
      <w:pPr>
        <w:pStyle w:val="43"/>
        <w:spacing w:line="520" w:lineRule="exact"/>
        <w:ind w:firstLine="480"/>
        <w:rPr>
          <w:rFonts w:hint="default" w:ascii="仿宋" w:hAnsi="仿宋" w:eastAsia="仿宋" w:cs="仿宋"/>
          <w:color w:val="auto"/>
          <w:kern w:val="0"/>
          <w:sz w:val="21"/>
          <w:szCs w:val="21"/>
          <w:lang w:val="en-US" w:eastAsia="zh-CN"/>
        </w:rPr>
      </w:pPr>
      <w:r>
        <w:rPr>
          <w:rFonts w:hint="eastAsia" w:ascii="宋体" w:hAnsi="宋体" w:eastAsia="宋体" w:cs="宋体"/>
          <w:b/>
          <w:bCs/>
          <w:color w:val="auto"/>
          <w:spacing w:val="6"/>
          <w:kern w:val="0"/>
          <w:sz w:val="21"/>
          <w:szCs w:val="21"/>
          <w:lang w:val="en-US" w:eastAsia="zh-CN"/>
        </w:rPr>
        <w:t>说明：带★条款为本项目实质性要求，供应商须全部满足，不允许负偏离，否则投标无效。</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1A14DA7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（一）评分标准</w:t>
      </w:r>
    </w:p>
    <w:p w14:paraId="2D0D0C5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1.住宿服务</w:t>
      </w:r>
    </w:p>
    <w:p w14:paraId="689F905D">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客房设施故障未及时修复，每处扣2分；客房卫生不达标，每间次扣1分；未按规定更换客房用品，每次扣2分；未提供约定个性化服务，每次扣3分。</w:t>
      </w:r>
    </w:p>
    <w:p w14:paraId="4C723E6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2.餐饮服务</w:t>
      </w:r>
    </w:p>
    <w:p w14:paraId="55D1414C">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菜品出现质量问题，每例扣5分；未响应特殊饮食需求，每次扣3分；餐厅、厨房卫生不达标，每次扣2分；未按规定留样或记录不全，每次扣2分。</w:t>
      </w:r>
    </w:p>
    <w:p w14:paraId="57C2E3D0">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3.会场服务</w:t>
      </w:r>
    </w:p>
    <w:p w14:paraId="6AAA8F4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会场设备调试不到位影响培训开展，每次扣3分；服务人员未及时处置现场问题，每次扣2分；培训结束未及时清理会场，每次扣1分。</w:t>
      </w:r>
    </w:p>
    <w:p w14:paraId="2C47AC80">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4.安全管理</w:t>
      </w:r>
    </w:p>
    <w:p w14:paraId="54B18131">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安全管理制度不健全，扣5分；安防设备故障未及时修复，每次扣3分；未制定应急预案或未组织演练，扣5分；发生安全事故，视情节扣10—20分。</w:t>
      </w:r>
    </w:p>
    <w:p w14:paraId="38B614B6">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（二）考核方式</w:t>
      </w:r>
    </w:p>
    <w:p w14:paraId="3C4550C6">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1.日常检查</w:t>
      </w:r>
    </w:p>
    <w:p w14:paraId="4A38A0C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采购人安排专人开展定期或不定期现场检查，并留存书面记录。</w:t>
      </w:r>
    </w:p>
    <w:p w14:paraId="797D0539">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2.学员评价</w:t>
      </w:r>
    </w:p>
    <w:p w14:paraId="4C3E637A">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每期培训结束后组织学员问卷调查，综合满意度低于80%的，每降低1个百分点扣2分。</w:t>
      </w:r>
    </w:p>
    <w:p w14:paraId="107B1E4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3.综合考核</w:t>
      </w:r>
    </w:p>
    <w:p w14:paraId="7A64EDA2">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单期培训班结束后开展综合考评，结合日常检查与学员评价计分。年度综合考核总分低于80分，采购人有权终止合作合同；年度得分在80—90分之间，要求限期整改。</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35635DC8">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sz w:val="24"/>
          <w:szCs w:val="24"/>
          <w:u w:val="none"/>
        </w:rPr>
        <w:t>17.728</w:t>
      </w:r>
      <w:r>
        <w:rPr>
          <w:rFonts w:hint="eastAsia" w:ascii="仿宋" w:hAnsi="仿宋" w:eastAsia="仿宋" w:cs="仿宋"/>
          <w:color w:val="333333"/>
          <w:kern w:val="0"/>
          <w:sz w:val="24"/>
          <w:szCs w:val="24"/>
          <w:u w:val="none"/>
        </w:rPr>
        <w:t>万</w:t>
      </w:r>
      <w:r>
        <w:rPr>
          <w:rFonts w:hint="eastAsia" w:ascii="仿宋" w:hAnsi="仿宋" w:eastAsia="仿宋" w:cs="仿宋"/>
          <w:color w:val="333333"/>
          <w:kern w:val="0"/>
          <w:sz w:val="24"/>
          <w:szCs w:val="24"/>
        </w:rPr>
        <w:t>元，报价为一次性分细项报价。</w:t>
      </w:r>
    </w:p>
    <w:p w14:paraId="51335566">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分项预算如下表所示。</w:t>
      </w:r>
    </w:p>
    <w:tbl>
      <w:tblPr>
        <w:tblStyle w:val="19"/>
        <w:tblW w:w="84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59"/>
        <w:gridCol w:w="1701"/>
        <w:gridCol w:w="851"/>
        <w:gridCol w:w="968"/>
        <w:gridCol w:w="1186"/>
        <w:gridCol w:w="1351"/>
      </w:tblGrid>
      <w:tr w14:paraId="7473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9A689DC">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序号</w:t>
            </w:r>
          </w:p>
        </w:tc>
        <w:tc>
          <w:tcPr>
            <w:tcW w:w="1559" w:type="dxa"/>
            <w:vAlign w:val="center"/>
          </w:tcPr>
          <w:p w14:paraId="55036A8D">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名称</w:t>
            </w:r>
          </w:p>
        </w:tc>
        <w:tc>
          <w:tcPr>
            <w:tcW w:w="1701" w:type="dxa"/>
            <w:vAlign w:val="center"/>
          </w:tcPr>
          <w:p w14:paraId="6028D77D">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规格</w:t>
            </w:r>
          </w:p>
        </w:tc>
        <w:tc>
          <w:tcPr>
            <w:tcW w:w="851" w:type="dxa"/>
            <w:vAlign w:val="center"/>
          </w:tcPr>
          <w:p w14:paraId="19DFADDB">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单位</w:t>
            </w:r>
          </w:p>
        </w:tc>
        <w:tc>
          <w:tcPr>
            <w:tcW w:w="968" w:type="dxa"/>
            <w:vAlign w:val="center"/>
          </w:tcPr>
          <w:p w14:paraId="351D5D10">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数量</w:t>
            </w:r>
          </w:p>
        </w:tc>
        <w:tc>
          <w:tcPr>
            <w:tcW w:w="1186" w:type="dxa"/>
            <w:vAlign w:val="center"/>
          </w:tcPr>
          <w:p w14:paraId="4287F29F">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单价(元)</w:t>
            </w:r>
          </w:p>
        </w:tc>
        <w:tc>
          <w:tcPr>
            <w:tcW w:w="1351" w:type="dxa"/>
            <w:vAlign w:val="center"/>
          </w:tcPr>
          <w:p w14:paraId="13FDE1D6">
            <w:pPr>
              <w:widowControl/>
              <w:spacing w:line="300" w:lineRule="exact"/>
              <w:jc w:val="center"/>
              <w:rPr>
                <w:rFonts w:hint="eastAsia" w:ascii="仿宋" w:hAnsi="仿宋" w:eastAsia="仿宋" w:cs="仿宋"/>
                <w:color w:val="333333"/>
                <w:kern w:val="0"/>
                <w:szCs w:val="21"/>
              </w:rPr>
            </w:pPr>
            <w:r>
              <w:rPr>
                <w:rFonts w:ascii="仿宋" w:hAnsi="仿宋" w:eastAsia="仿宋" w:cs="仿宋"/>
                <w:color w:val="333333"/>
                <w:kern w:val="0"/>
                <w:szCs w:val="21"/>
              </w:rPr>
              <w:t>总价(元)</w:t>
            </w:r>
          </w:p>
        </w:tc>
      </w:tr>
      <w:tr w14:paraId="47C5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3C20725">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1</w:t>
            </w:r>
          </w:p>
        </w:tc>
        <w:tc>
          <w:tcPr>
            <w:tcW w:w="1559" w:type="dxa"/>
            <w:vAlign w:val="center"/>
          </w:tcPr>
          <w:p w14:paraId="1598C354">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住宿</w:t>
            </w:r>
          </w:p>
        </w:tc>
        <w:tc>
          <w:tcPr>
            <w:tcW w:w="1701" w:type="dxa"/>
            <w:vAlign w:val="center"/>
          </w:tcPr>
          <w:p w14:paraId="6CFE2F01">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标双</w:t>
            </w:r>
          </w:p>
        </w:tc>
        <w:tc>
          <w:tcPr>
            <w:tcW w:w="851" w:type="dxa"/>
            <w:vAlign w:val="center"/>
          </w:tcPr>
          <w:p w14:paraId="6E5E3358">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间</w:t>
            </w:r>
          </w:p>
        </w:tc>
        <w:tc>
          <w:tcPr>
            <w:tcW w:w="968" w:type="dxa"/>
            <w:vAlign w:val="center"/>
          </w:tcPr>
          <w:p w14:paraId="2EE4AC15">
            <w:pPr>
              <w:pStyle w:val="43"/>
              <w:spacing w:line="300" w:lineRule="exact"/>
              <w:ind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Cs w:val="21"/>
              </w:rPr>
              <w:t>360.00</w:t>
            </w:r>
          </w:p>
        </w:tc>
        <w:tc>
          <w:tcPr>
            <w:tcW w:w="1186" w:type="dxa"/>
            <w:vAlign w:val="center"/>
          </w:tcPr>
          <w:p w14:paraId="15AA77E0">
            <w:pPr>
              <w:pStyle w:val="43"/>
              <w:spacing w:line="300" w:lineRule="exact"/>
              <w:ind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Cs w:val="21"/>
              </w:rPr>
              <w:t>22</w:t>
            </w:r>
            <w:r>
              <w:rPr>
                <w:rFonts w:ascii="仿宋" w:hAnsi="仿宋" w:eastAsia="仿宋" w:cs="仿宋"/>
                <w:color w:val="333333"/>
                <w:kern w:val="0"/>
                <w:szCs w:val="21"/>
              </w:rPr>
              <w:t>0.00</w:t>
            </w:r>
          </w:p>
        </w:tc>
        <w:tc>
          <w:tcPr>
            <w:tcW w:w="1351" w:type="dxa"/>
            <w:vAlign w:val="center"/>
          </w:tcPr>
          <w:p w14:paraId="25F80F62">
            <w:pPr>
              <w:widowControl/>
              <w:spacing w:line="300" w:lineRule="exact"/>
              <w:jc w:val="center"/>
              <w:rPr>
                <w:rFonts w:hint="eastAsia" w:ascii="仿宋" w:hAnsi="仿宋" w:eastAsia="仿宋" w:cs="仿宋"/>
                <w:color w:val="333333"/>
                <w:kern w:val="0"/>
                <w:szCs w:val="21"/>
              </w:rPr>
            </w:pPr>
            <w:r>
              <w:rPr>
                <w:rFonts w:ascii="仿宋" w:hAnsi="仿宋" w:eastAsia="仿宋" w:cs="仿宋"/>
                <w:color w:val="333333"/>
                <w:kern w:val="0"/>
                <w:szCs w:val="21"/>
              </w:rPr>
              <w:t>79200.00</w:t>
            </w:r>
          </w:p>
        </w:tc>
      </w:tr>
      <w:tr w14:paraId="50E6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F2B3B56">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2</w:t>
            </w:r>
          </w:p>
        </w:tc>
        <w:tc>
          <w:tcPr>
            <w:tcW w:w="1559" w:type="dxa"/>
            <w:vAlign w:val="center"/>
          </w:tcPr>
          <w:p w14:paraId="38905B36">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餐饮</w:t>
            </w:r>
          </w:p>
        </w:tc>
        <w:tc>
          <w:tcPr>
            <w:tcW w:w="1701" w:type="dxa"/>
            <w:vAlign w:val="center"/>
          </w:tcPr>
          <w:p w14:paraId="6F3FD796">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标准</w:t>
            </w:r>
          </w:p>
        </w:tc>
        <w:tc>
          <w:tcPr>
            <w:tcW w:w="851" w:type="dxa"/>
            <w:vAlign w:val="center"/>
          </w:tcPr>
          <w:p w14:paraId="7F3E8F8C">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餐</w:t>
            </w:r>
          </w:p>
        </w:tc>
        <w:tc>
          <w:tcPr>
            <w:tcW w:w="968" w:type="dxa"/>
            <w:vAlign w:val="center"/>
          </w:tcPr>
          <w:p w14:paraId="1E15EA05">
            <w:pPr>
              <w:pStyle w:val="43"/>
              <w:spacing w:line="300" w:lineRule="exact"/>
              <w:ind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Cs w:val="21"/>
              </w:rPr>
              <w:t>1456</w:t>
            </w:r>
            <w:r>
              <w:rPr>
                <w:rFonts w:ascii="仿宋" w:hAnsi="仿宋" w:eastAsia="仿宋" w:cs="仿宋"/>
                <w:color w:val="333333"/>
                <w:kern w:val="0"/>
                <w:szCs w:val="21"/>
              </w:rPr>
              <w:t>.00</w:t>
            </w:r>
          </w:p>
        </w:tc>
        <w:tc>
          <w:tcPr>
            <w:tcW w:w="1186" w:type="dxa"/>
            <w:vAlign w:val="center"/>
          </w:tcPr>
          <w:p w14:paraId="49BF748B">
            <w:pPr>
              <w:pStyle w:val="43"/>
              <w:spacing w:line="300" w:lineRule="exact"/>
              <w:ind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Cs w:val="21"/>
              </w:rPr>
              <w:t>55</w:t>
            </w:r>
            <w:r>
              <w:rPr>
                <w:rFonts w:ascii="仿宋" w:hAnsi="仿宋" w:eastAsia="仿宋" w:cs="仿宋"/>
                <w:color w:val="333333"/>
                <w:kern w:val="0"/>
                <w:szCs w:val="21"/>
              </w:rPr>
              <w:t>.00</w:t>
            </w:r>
          </w:p>
        </w:tc>
        <w:tc>
          <w:tcPr>
            <w:tcW w:w="1351" w:type="dxa"/>
            <w:vAlign w:val="center"/>
          </w:tcPr>
          <w:p w14:paraId="4C78E979">
            <w:pPr>
              <w:widowControl/>
              <w:spacing w:line="300" w:lineRule="exact"/>
              <w:jc w:val="center"/>
              <w:rPr>
                <w:rFonts w:hint="eastAsia" w:ascii="仿宋" w:hAnsi="仿宋" w:eastAsia="仿宋" w:cs="仿宋"/>
                <w:color w:val="333333"/>
                <w:kern w:val="0"/>
                <w:szCs w:val="21"/>
              </w:rPr>
            </w:pPr>
            <w:r>
              <w:rPr>
                <w:rFonts w:ascii="仿宋" w:hAnsi="仿宋" w:eastAsia="仿宋" w:cs="仿宋"/>
                <w:color w:val="333333"/>
                <w:kern w:val="0"/>
                <w:szCs w:val="21"/>
              </w:rPr>
              <w:t>80080.00</w:t>
            </w:r>
          </w:p>
        </w:tc>
      </w:tr>
      <w:tr w14:paraId="2D22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1F4E0DB">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3</w:t>
            </w:r>
          </w:p>
        </w:tc>
        <w:tc>
          <w:tcPr>
            <w:tcW w:w="1559" w:type="dxa"/>
            <w:vAlign w:val="center"/>
          </w:tcPr>
          <w:p w14:paraId="6A62FC09">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中型教学场地</w:t>
            </w:r>
          </w:p>
        </w:tc>
        <w:tc>
          <w:tcPr>
            <w:tcW w:w="1701" w:type="dxa"/>
            <w:vAlign w:val="center"/>
          </w:tcPr>
          <w:p w14:paraId="2DBA0260">
            <w:pPr>
              <w:pStyle w:val="43"/>
              <w:spacing w:line="300" w:lineRule="exact"/>
              <w:ind w:firstLine="0" w:firstLineChars="0"/>
              <w:jc w:val="center"/>
              <w:rPr>
                <w:rFonts w:hint="eastAsia" w:ascii="仿宋" w:hAnsi="仿宋" w:eastAsia="仿宋" w:cs="仿宋"/>
                <w:color w:val="auto"/>
                <w:kern w:val="0"/>
                <w:szCs w:val="21"/>
              </w:rPr>
            </w:pPr>
            <w:r>
              <w:rPr>
                <w:rFonts w:ascii="仿宋" w:hAnsi="仿宋" w:eastAsia="仿宋" w:cs="仿宋"/>
                <w:color w:val="auto"/>
                <w:kern w:val="0"/>
                <w:szCs w:val="21"/>
              </w:rPr>
              <w:t>1</w:t>
            </w:r>
            <w:r>
              <w:rPr>
                <w:rFonts w:hint="eastAsia" w:ascii="仿宋" w:hAnsi="仿宋" w:eastAsia="仿宋" w:cs="仿宋"/>
                <w:color w:val="auto"/>
                <w:kern w:val="0"/>
                <w:szCs w:val="21"/>
                <w:lang w:val="en-US" w:eastAsia="zh-CN"/>
              </w:rPr>
              <w:t>8</w:t>
            </w:r>
            <w:r>
              <w:rPr>
                <w:rFonts w:ascii="仿宋" w:hAnsi="仿宋" w:eastAsia="仿宋" w:cs="仿宋"/>
                <w:color w:val="auto"/>
                <w:kern w:val="0"/>
                <w:szCs w:val="21"/>
              </w:rPr>
              <w:t>0平米以上</w:t>
            </w:r>
          </w:p>
        </w:tc>
        <w:tc>
          <w:tcPr>
            <w:tcW w:w="851" w:type="dxa"/>
            <w:vAlign w:val="center"/>
          </w:tcPr>
          <w:p w14:paraId="53F9EB06">
            <w:pPr>
              <w:pStyle w:val="43"/>
              <w:spacing w:line="300" w:lineRule="exact"/>
              <w:ind w:firstLine="0" w:firstLineChars="0"/>
              <w:jc w:val="center"/>
              <w:rPr>
                <w:rFonts w:hint="default"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天</w:t>
            </w:r>
          </w:p>
        </w:tc>
        <w:tc>
          <w:tcPr>
            <w:tcW w:w="968" w:type="dxa"/>
            <w:vAlign w:val="center"/>
          </w:tcPr>
          <w:p w14:paraId="35BA3054">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10.00</w:t>
            </w:r>
          </w:p>
        </w:tc>
        <w:tc>
          <w:tcPr>
            <w:tcW w:w="1186" w:type="dxa"/>
            <w:vAlign w:val="center"/>
          </w:tcPr>
          <w:p w14:paraId="42DCD69D">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1200.00</w:t>
            </w:r>
          </w:p>
        </w:tc>
        <w:tc>
          <w:tcPr>
            <w:tcW w:w="1351" w:type="dxa"/>
            <w:vAlign w:val="center"/>
          </w:tcPr>
          <w:p w14:paraId="3E2B41F6">
            <w:pPr>
              <w:widowControl/>
              <w:spacing w:line="300" w:lineRule="exact"/>
              <w:jc w:val="center"/>
              <w:rPr>
                <w:rFonts w:hint="eastAsia" w:ascii="仿宋" w:hAnsi="仿宋" w:eastAsia="仿宋" w:cs="仿宋"/>
                <w:color w:val="333333"/>
                <w:kern w:val="0"/>
                <w:szCs w:val="21"/>
              </w:rPr>
            </w:pPr>
            <w:r>
              <w:rPr>
                <w:rFonts w:ascii="仿宋" w:hAnsi="仿宋" w:eastAsia="仿宋" w:cs="仿宋"/>
                <w:color w:val="333333"/>
                <w:kern w:val="0"/>
                <w:szCs w:val="21"/>
              </w:rPr>
              <w:t>12000.00</w:t>
            </w:r>
          </w:p>
        </w:tc>
      </w:tr>
      <w:tr w14:paraId="5C7A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CE3E3E3">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4</w:t>
            </w:r>
          </w:p>
        </w:tc>
        <w:tc>
          <w:tcPr>
            <w:tcW w:w="1559" w:type="dxa"/>
            <w:vAlign w:val="center"/>
          </w:tcPr>
          <w:p w14:paraId="1DAA3490">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小型教学场地</w:t>
            </w:r>
          </w:p>
        </w:tc>
        <w:tc>
          <w:tcPr>
            <w:tcW w:w="1701" w:type="dxa"/>
            <w:vAlign w:val="center"/>
          </w:tcPr>
          <w:p w14:paraId="4E8B5AE5">
            <w:pPr>
              <w:pStyle w:val="43"/>
              <w:spacing w:line="300" w:lineRule="exact"/>
              <w:ind w:firstLine="0" w:firstLineChars="0"/>
              <w:jc w:val="center"/>
              <w:rPr>
                <w:rFonts w:hint="eastAsia" w:ascii="仿宋" w:hAnsi="仿宋" w:eastAsia="仿宋" w:cs="仿宋"/>
                <w:color w:val="auto"/>
                <w:kern w:val="0"/>
                <w:szCs w:val="21"/>
              </w:rPr>
            </w:pPr>
            <w:r>
              <w:rPr>
                <w:rFonts w:ascii="仿宋" w:hAnsi="仿宋" w:eastAsia="仿宋" w:cs="仿宋"/>
                <w:color w:val="auto"/>
                <w:kern w:val="0"/>
                <w:szCs w:val="21"/>
              </w:rPr>
              <w:t>60</w:t>
            </w:r>
            <w:r>
              <w:rPr>
                <w:rFonts w:hint="eastAsia" w:ascii="仿宋" w:hAnsi="仿宋" w:eastAsia="仿宋" w:cs="仿宋"/>
                <w:color w:val="auto"/>
                <w:kern w:val="0"/>
                <w:szCs w:val="21"/>
                <w:lang w:val="en-US" w:eastAsia="zh-CN"/>
              </w:rPr>
              <w:t>-180</w:t>
            </w:r>
            <w:r>
              <w:rPr>
                <w:rFonts w:ascii="仿宋" w:hAnsi="仿宋" w:eastAsia="仿宋" w:cs="仿宋"/>
                <w:color w:val="auto"/>
                <w:kern w:val="0"/>
                <w:szCs w:val="21"/>
              </w:rPr>
              <w:t>平米</w:t>
            </w:r>
          </w:p>
        </w:tc>
        <w:tc>
          <w:tcPr>
            <w:tcW w:w="851" w:type="dxa"/>
            <w:vAlign w:val="center"/>
          </w:tcPr>
          <w:p w14:paraId="532AED84">
            <w:pPr>
              <w:pStyle w:val="43"/>
              <w:spacing w:line="300" w:lineRule="exact"/>
              <w:ind w:firstLine="0" w:firstLineChars="0"/>
              <w:jc w:val="center"/>
              <w:rPr>
                <w:rFonts w:hint="default"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天</w:t>
            </w:r>
          </w:p>
        </w:tc>
        <w:tc>
          <w:tcPr>
            <w:tcW w:w="968" w:type="dxa"/>
            <w:vAlign w:val="center"/>
          </w:tcPr>
          <w:p w14:paraId="30E6B121">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10.00</w:t>
            </w:r>
          </w:p>
        </w:tc>
        <w:tc>
          <w:tcPr>
            <w:tcW w:w="1186" w:type="dxa"/>
            <w:vAlign w:val="center"/>
          </w:tcPr>
          <w:p w14:paraId="1D26001A">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600.00</w:t>
            </w:r>
          </w:p>
        </w:tc>
        <w:tc>
          <w:tcPr>
            <w:tcW w:w="1351" w:type="dxa"/>
            <w:vAlign w:val="center"/>
          </w:tcPr>
          <w:p w14:paraId="55DEB95D">
            <w:pPr>
              <w:widowControl/>
              <w:spacing w:line="300" w:lineRule="exact"/>
              <w:jc w:val="center"/>
              <w:rPr>
                <w:rFonts w:hint="eastAsia" w:ascii="仿宋" w:hAnsi="仿宋" w:eastAsia="仿宋" w:cs="仿宋"/>
                <w:color w:val="333333"/>
                <w:kern w:val="0"/>
                <w:szCs w:val="21"/>
              </w:rPr>
            </w:pPr>
            <w:r>
              <w:rPr>
                <w:rFonts w:ascii="仿宋" w:hAnsi="仿宋" w:eastAsia="仿宋" w:cs="仿宋"/>
                <w:color w:val="333333"/>
                <w:kern w:val="0"/>
                <w:szCs w:val="21"/>
              </w:rPr>
              <w:t>6000.00</w:t>
            </w:r>
          </w:p>
        </w:tc>
      </w:tr>
      <w:tr w14:paraId="5B97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F490B85">
            <w:pPr>
              <w:pStyle w:val="43"/>
              <w:spacing w:line="300" w:lineRule="exact"/>
              <w:ind w:firstLine="0" w:firstLineChars="0"/>
              <w:jc w:val="center"/>
              <w:rPr>
                <w:rFonts w:hint="eastAsia" w:ascii="仿宋" w:hAnsi="仿宋" w:eastAsia="仿宋" w:cs="仿宋"/>
                <w:color w:val="333333"/>
                <w:kern w:val="0"/>
                <w:szCs w:val="21"/>
              </w:rPr>
            </w:pPr>
          </w:p>
        </w:tc>
        <w:tc>
          <w:tcPr>
            <w:tcW w:w="1559" w:type="dxa"/>
            <w:vAlign w:val="center"/>
          </w:tcPr>
          <w:p w14:paraId="204BB254">
            <w:pPr>
              <w:pStyle w:val="43"/>
              <w:spacing w:line="300" w:lineRule="exact"/>
              <w:ind w:firstLine="0" w:firstLineChars="0"/>
              <w:jc w:val="center"/>
              <w:rPr>
                <w:rFonts w:hint="eastAsia" w:ascii="仿宋" w:hAnsi="仿宋" w:eastAsia="仿宋" w:cs="仿宋"/>
                <w:color w:val="333333"/>
                <w:kern w:val="0"/>
                <w:szCs w:val="21"/>
              </w:rPr>
            </w:pPr>
          </w:p>
        </w:tc>
        <w:tc>
          <w:tcPr>
            <w:tcW w:w="1701" w:type="dxa"/>
            <w:vAlign w:val="center"/>
          </w:tcPr>
          <w:p w14:paraId="41BD75AD">
            <w:pPr>
              <w:pStyle w:val="43"/>
              <w:spacing w:line="300" w:lineRule="exact"/>
              <w:ind w:firstLine="0" w:firstLineChars="0"/>
              <w:jc w:val="center"/>
              <w:rPr>
                <w:rFonts w:hint="eastAsia" w:ascii="仿宋" w:hAnsi="仿宋" w:eastAsia="仿宋" w:cs="仿宋"/>
                <w:color w:val="333333"/>
                <w:kern w:val="0"/>
                <w:szCs w:val="21"/>
              </w:rPr>
            </w:pPr>
          </w:p>
        </w:tc>
        <w:tc>
          <w:tcPr>
            <w:tcW w:w="851" w:type="dxa"/>
            <w:vAlign w:val="center"/>
          </w:tcPr>
          <w:p w14:paraId="1C584704">
            <w:pPr>
              <w:pStyle w:val="43"/>
              <w:spacing w:line="300" w:lineRule="exact"/>
              <w:ind w:firstLine="0" w:firstLineChars="0"/>
              <w:jc w:val="center"/>
              <w:rPr>
                <w:rFonts w:hint="eastAsia" w:ascii="仿宋" w:hAnsi="仿宋" w:eastAsia="仿宋" w:cs="仿宋"/>
                <w:color w:val="333333"/>
                <w:kern w:val="0"/>
                <w:szCs w:val="21"/>
              </w:rPr>
            </w:pPr>
          </w:p>
        </w:tc>
        <w:tc>
          <w:tcPr>
            <w:tcW w:w="968" w:type="dxa"/>
            <w:vAlign w:val="center"/>
          </w:tcPr>
          <w:p w14:paraId="01A91DC7">
            <w:pPr>
              <w:pStyle w:val="43"/>
              <w:spacing w:line="300" w:lineRule="exact"/>
              <w:ind w:firstLine="0" w:firstLineChars="0"/>
              <w:jc w:val="center"/>
              <w:rPr>
                <w:rFonts w:hint="eastAsia" w:ascii="仿宋" w:hAnsi="仿宋" w:eastAsia="仿宋" w:cs="仿宋"/>
                <w:color w:val="333333"/>
                <w:kern w:val="0"/>
                <w:szCs w:val="21"/>
              </w:rPr>
            </w:pPr>
            <w:r>
              <w:rPr>
                <w:rFonts w:ascii="仿宋" w:hAnsi="仿宋" w:eastAsia="仿宋" w:cs="仿宋"/>
                <w:color w:val="333333"/>
                <w:kern w:val="0"/>
                <w:szCs w:val="21"/>
              </w:rPr>
              <w:t>合计</w:t>
            </w:r>
            <w:r>
              <w:rPr>
                <w:rFonts w:hint="eastAsia" w:ascii="仿宋" w:hAnsi="仿宋" w:eastAsia="仿宋" w:cs="仿宋"/>
                <w:color w:val="333333"/>
                <w:kern w:val="0"/>
                <w:szCs w:val="21"/>
              </w:rPr>
              <w:t>（元）</w:t>
            </w:r>
          </w:p>
        </w:tc>
        <w:tc>
          <w:tcPr>
            <w:tcW w:w="1186" w:type="dxa"/>
            <w:vAlign w:val="center"/>
          </w:tcPr>
          <w:p w14:paraId="4FE80D0B">
            <w:pPr>
              <w:pStyle w:val="43"/>
              <w:spacing w:line="300" w:lineRule="exact"/>
              <w:ind w:firstLine="0" w:firstLineChars="0"/>
              <w:jc w:val="center"/>
              <w:rPr>
                <w:rFonts w:hint="eastAsia" w:ascii="仿宋" w:hAnsi="仿宋" w:eastAsia="仿宋" w:cs="仿宋"/>
                <w:color w:val="333333"/>
                <w:kern w:val="0"/>
                <w:szCs w:val="21"/>
              </w:rPr>
            </w:pPr>
          </w:p>
        </w:tc>
        <w:tc>
          <w:tcPr>
            <w:tcW w:w="1351" w:type="dxa"/>
            <w:vAlign w:val="center"/>
          </w:tcPr>
          <w:p w14:paraId="14495038">
            <w:pPr>
              <w:widowControl/>
              <w:spacing w:line="300" w:lineRule="exact"/>
              <w:jc w:val="center"/>
              <w:rPr>
                <w:rFonts w:hint="eastAsia" w:ascii="仿宋" w:hAnsi="仿宋" w:eastAsia="仿宋" w:cs="仿宋"/>
                <w:color w:val="333333"/>
                <w:kern w:val="0"/>
                <w:szCs w:val="21"/>
              </w:rPr>
            </w:pPr>
            <w:r>
              <w:rPr>
                <w:rFonts w:ascii="仿宋" w:hAnsi="仿宋" w:eastAsia="仿宋" w:cs="仿宋"/>
                <w:color w:val="333333"/>
                <w:kern w:val="0"/>
                <w:szCs w:val="21"/>
              </w:rPr>
              <w:t>177280.00</w:t>
            </w:r>
          </w:p>
        </w:tc>
      </w:tr>
    </w:tbl>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3"/>
        <w:spacing w:line="520" w:lineRule="exact"/>
        <w:ind w:firstLine="480"/>
        <w:rPr>
          <w:rFonts w:hint="eastAsia" w:ascii="仿宋" w:hAnsi="仿宋" w:eastAsia="仿宋" w:cs="仿宋"/>
          <w:color w:val="333333"/>
          <w:kern w:val="0"/>
          <w:sz w:val="24"/>
          <w:szCs w:val="24"/>
        </w:rPr>
      </w:pPr>
      <w:r>
        <w:rPr>
          <w:rFonts w:ascii="仿宋" w:hAnsi="仿宋" w:eastAsia="仿宋" w:cs="仿宋"/>
          <w:color w:val="333333"/>
          <w:kern w:val="0"/>
          <w:sz w:val="24"/>
          <w:szCs w:val="24"/>
        </w:rPr>
        <w:t>本合同价格以最终中标单价为准，按实际服务数量据实结算，最终实际总价不得超过采购预算总价。</w:t>
      </w:r>
      <w:r>
        <w:rPr>
          <w:rFonts w:hint="eastAsia" w:ascii="仿宋" w:hAnsi="仿宋" w:eastAsia="仿宋" w:cs="仿宋"/>
          <w:color w:val="333333"/>
          <w:kern w:val="0"/>
          <w:sz w:val="24"/>
          <w:szCs w:val="24"/>
        </w:rPr>
        <w:t>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596973C6">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单期培训班结束后，供应商在10个工作日内提交完整费用明细清单及正规发票，采购人审核无误后，一次性支付该期全部服务费用。</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具体以签订的合同为准。</w:t>
      </w:r>
    </w:p>
    <w:p w14:paraId="223FEA38">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064D171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7"/>
        <w:spacing w:before="0" w:beforeAutospacing="0" w:after="0" w:line="240" w:lineRule="atLeast"/>
        <w:ind w:left="0" w:leftChars="0" w:firstLine="0"/>
        <w:jc w:val="center"/>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583"/>
        <w:gridCol w:w="1357"/>
        <w:gridCol w:w="827"/>
        <w:gridCol w:w="5033"/>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24" w:type="pct"/>
            <w:vAlign w:val="center"/>
          </w:tcPr>
          <w:p w14:paraId="59AFEDA7">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138" w:type="pct"/>
            <w:gridSpan w:val="2"/>
            <w:vAlign w:val="center"/>
          </w:tcPr>
          <w:p w14:paraId="0C748504">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485" w:type="pct"/>
            <w:vAlign w:val="center"/>
          </w:tcPr>
          <w:p w14:paraId="4F2F7146">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2953" w:type="pct"/>
            <w:vAlign w:val="center"/>
          </w:tcPr>
          <w:p w14:paraId="46B85A0E">
            <w:pPr>
              <w:jc w:val="center"/>
              <w:rPr>
                <w:rFonts w:hint="eastAsia"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62BC2181">
            <w:pPr>
              <w:jc w:val="center"/>
              <w:rPr>
                <w:rFonts w:hint="eastAsia" w:ascii="仿宋" w:hAnsi="仿宋" w:eastAsia="仿宋" w:cs="宋体"/>
                <w:sz w:val="24"/>
                <w:szCs w:val="24"/>
              </w:rPr>
            </w:pPr>
            <w:r>
              <w:rPr>
                <w:rFonts w:hint="eastAsia" w:ascii="仿宋" w:hAnsi="仿宋" w:eastAsia="仿宋" w:cs="宋体"/>
                <w:sz w:val="24"/>
                <w:szCs w:val="24"/>
              </w:rPr>
              <w:t>1</w:t>
            </w:r>
          </w:p>
        </w:tc>
        <w:tc>
          <w:tcPr>
            <w:tcW w:w="342" w:type="pct"/>
            <w:vMerge w:val="restart"/>
            <w:vAlign w:val="center"/>
          </w:tcPr>
          <w:p w14:paraId="3D60390E">
            <w:pPr>
              <w:jc w:val="center"/>
              <w:rPr>
                <w:rFonts w:hint="eastAsia" w:ascii="宋体" w:hAnsi="宋体" w:cs="宋体"/>
                <w:szCs w:val="21"/>
              </w:rPr>
            </w:pPr>
            <w:r>
              <w:rPr>
                <w:rFonts w:hint="eastAsia" w:ascii="宋体" w:hAnsi="宋体" w:cs="宋体"/>
                <w:szCs w:val="21"/>
              </w:rPr>
              <w:t>报价</w:t>
            </w:r>
          </w:p>
        </w:tc>
        <w:tc>
          <w:tcPr>
            <w:tcW w:w="796" w:type="pct"/>
            <w:vAlign w:val="center"/>
          </w:tcPr>
          <w:p w14:paraId="7D8E7FFA">
            <w:pPr>
              <w:jc w:val="center"/>
              <w:rPr>
                <w:rFonts w:hint="eastAsia" w:ascii="宋体" w:hAnsi="宋体" w:cs="宋体"/>
                <w:szCs w:val="21"/>
              </w:rPr>
            </w:pPr>
            <w:r>
              <w:rPr>
                <w:rFonts w:hint="eastAsia" w:ascii="宋体" w:hAnsi="宋体" w:cs="宋体"/>
                <w:szCs w:val="21"/>
              </w:rPr>
              <w:t>住宿报价</w:t>
            </w:r>
          </w:p>
        </w:tc>
        <w:tc>
          <w:tcPr>
            <w:tcW w:w="485" w:type="pct"/>
            <w:vAlign w:val="center"/>
          </w:tcPr>
          <w:p w14:paraId="3AB271F7">
            <w:pPr>
              <w:jc w:val="center"/>
              <w:rPr>
                <w:rFonts w:hint="eastAsia" w:ascii="宋体" w:hAnsi="宋体" w:cs="宋体"/>
                <w:szCs w:val="21"/>
              </w:rPr>
            </w:pPr>
            <w:r>
              <w:rPr>
                <w:rFonts w:hint="eastAsia" w:ascii="宋体" w:hAnsi="宋体" w:cs="宋体"/>
                <w:szCs w:val="21"/>
              </w:rPr>
              <w:t>20</w:t>
            </w:r>
          </w:p>
        </w:tc>
        <w:tc>
          <w:tcPr>
            <w:tcW w:w="2953" w:type="pct"/>
            <w:vAlign w:val="center"/>
          </w:tcPr>
          <w:p w14:paraId="5ED2E53D">
            <w:pPr>
              <w:widowControl/>
              <w:jc w:val="left"/>
              <w:rPr>
                <w:rFonts w:hint="eastAsia" w:ascii="宋体" w:hAnsi="宋体" w:cs="宋体"/>
                <w:szCs w:val="21"/>
              </w:rPr>
            </w:pPr>
            <w:r>
              <w:rPr>
                <w:rFonts w:hint="eastAsia" w:ascii="宋体" w:hAnsi="宋体" w:cs="宋体"/>
                <w:szCs w:val="21"/>
              </w:rPr>
              <w:t>以经评委会一致认定满足招标文件要求且投标住宿价格最低的投标报价为评标基准价，其价格得分计20分。其他投标人的价格得分统一按公式计算：报价得分=（评标基准价/投标报价）×价格权重。</w:t>
            </w:r>
          </w:p>
        </w:tc>
      </w:tr>
      <w:tr w14:paraId="07E4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2B898557">
            <w:pPr>
              <w:jc w:val="center"/>
              <w:rPr>
                <w:rFonts w:hint="eastAsia" w:ascii="仿宋" w:hAnsi="仿宋" w:eastAsia="仿宋" w:cs="宋体"/>
                <w:sz w:val="24"/>
                <w:szCs w:val="24"/>
              </w:rPr>
            </w:pPr>
            <w:r>
              <w:rPr>
                <w:rFonts w:hint="eastAsia" w:ascii="仿宋" w:hAnsi="仿宋" w:eastAsia="仿宋" w:cs="宋体"/>
                <w:sz w:val="24"/>
                <w:szCs w:val="24"/>
              </w:rPr>
              <w:t>2</w:t>
            </w:r>
          </w:p>
        </w:tc>
        <w:tc>
          <w:tcPr>
            <w:tcW w:w="342" w:type="pct"/>
            <w:vMerge w:val="continue"/>
            <w:vAlign w:val="center"/>
          </w:tcPr>
          <w:p w14:paraId="66859F4A">
            <w:pPr>
              <w:jc w:val="center"/>
              <w:rPr>
                <w:rFonts w:hint="eastAsia" w:ascii="仿宋" w:hAnsi="仿宋" w:eastAsia="仿宋"/>
                <w:kern w:val="0"/>
                <w:sz w:val="24"/>
                <w:szCs w:val="24"/>
              </w:rPr>
            </w:pPr>
          </w:p>
        </w:tc>
        <w:tc>
          <w:tcPr>
            <w:tcW w:w="796" w:type="pct"/>
            <w:vAlign w:val="center"/>
          </w:tcPr>
          <w:p w14:paraId="55CD2994">
            <w:pPr>
              <w:jc w:val="center"/>
              <w:rPr>
                <w:rFonts w:hint="eastAsia" w:ascii="宋体" w:hAnsi="宋体" w:cs="宋体"/>
                <w:szCs w:val="21"/>
              </w:rPr>
            </w:pPr>
            <w:r>
              <w:rPr>
                <w:rFonts w:hint="eastAsia" w:ascii="宋体" w:hAnsi="宋体" w:cs="宋体"/>
                <w:szCs w:val="21"/>
              </w:rPr>
              <w:t>中型会场报价</w:t>
            </w:r>
          </w:p>
        </w:tc>
        <w:tc>
          <w:tcPr>
            <w:tcW w:w="485" w:type="pct"/>
            <w:vAlign w:val="center"/>
          </w:tcPr>
          <w:p w14:paraId="3AC0FDD7">
            <w:pPr>
              <w:jc w:val="center"/>
              <w:rPr>
                <w:rFonts w:hint="eastAsia" w:ascii="宋体" w:hAnsi="宋体" w:cs="宋体"/>
                <w:szCs w:val="21"/>
              </w:rPr>
            </w:pPr>
            <w:r>
              <w:rPr>
                <w:rFonts w:hint="eastAsia" w:ascii="宋体" w:hAnsi="宋体" w:cs="宋体"/>
                <w:szCs w:val="21"/>
              </w:rPr>
              <w:t>10</w:t>
            </w:r>
          </w:p>
        </w:tc>
        <w:tc>
          <w:tcPr>
            <w:tcW w:w="2953" w:type="pct"/>
            <w:vAlign w:val="center"/>
          </w:tcPr>
          <w:p w14:paraId="18D6EA3D">
            <w:pPr>
              <w:widowControl/>
              <w:jc w:val="left"/>
              <w:rPr>
                <w:rFonts w:hint="eastAsia" w:ascii="宋体" w:hAnsi="宋体" w:cs="宋体"/>
                <w:szCs w:val="21"/>
              </w:rPr>
            </w:pPr>
            <w:r>
              <w:rPr>
                <w:rFonts w:hint="eastAsia" w:ascii="宋体" w:hAnsi="宋体" w:cs="宋体"/>
                <w:szCs w:val="21"/>
              </w:rPr>
              <w:t>以经评委会一致认定满足招标文件要求且投标中型会场（180平方米及以上）价格最低的投标报价为评标基准价，其价格得分计10分。其他投标人的价格得分统一按公式计算：报价得分=（评标基准价/投标报价）×价格权重。</w:t>
            </w:r>
          </w:p>
        </w:tc>
      </w:tr>
      <w:tr w14:paraId="2649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4" w:type="pct"/>
            <w:vAlign w:val="center"/>
          </w:tcPr>
          <w:p w14:paraId="0D48BDA1">
            <w:pPr>
              <w:jc w:val="center"/>
              <w:rPr>
                <w:rFonts w:hint="eastAsia" w:ascii="仿宋" w:hAnsi="仿宋" w:eastAsia="仿宋" w:cs="宋体"/>
                <w:sz w:val="24"/>
                <w:szCs w:val="24"/>
              </w:rPr>
            </w:pPr>
            <w:r>
              <w:rPr>
                <w:rFonts w:hint="eastAsia" w:ascii="仿宋" w:hAnsi="仿宋" w:eastAsia="仿宋" w:cs="宋体"/>
                <w:sz w:val="24"/>
                <w:szCs w:val="24"/>
              </w:rPr>
              <w:t>3</w:t>
            </w:r>
          </w:p>
        </w:tc>
        <w:tc>
          <w:tcPr>
            <w:tcW w:w="342" w:type="pct"/>
            <w:vMerge w:val="continue"/>
            <w:vAlign w:val="center"/>
          </w:tcPr>
          <w:p w14:paraId="48BBBB60">
            <w:pPr>
              <w:jc w:val="center"/>
              <w:rPr>
                <w:rFonts w:hint="eastAsia" w:ascii="仿宋" w:hAnsi="仿宋" w:eastAsia="仿宋"/>
                <w:kern w:val="0"/>
                <w:sz w:val="24"/>
                <w:szCs w:val="24"/>
              </w:rPr>
            </w:pPr>
          </w:p>
        </w:tc>
        <w:tc>
          <w:tcPr>
            <w:tcW w:w="796" w:type="pct"/>
            <w:vAlign w:val="center"/>
          </w:tcPr>
          <w:p w14:paraId="3A9F9145">
            <w:pPr>
              <w:jc w:val="center"/>
              <w:rPr>
                <w:rFonts w:hint="eastAsia" w:ascii="宋体" w:hAnsi="宋体" w:cs="宋体"/>
                <w:szCs w:val="21"/>
              </w:rPr>
            </w:pPr>
            <w:r>
              <w:rPr>
                <w:rFonts w:hint="eastAsia" w:ascii="宋体" w:hAnsi="宋体" w:cs="宋体"/>
                <w:szCs w:val="21"/>
              </w:rPr>
              <w:t>小型会场报价</w:t>
            </w:r>
          </w:p>
        </w:tc>
        <w:tc>
          <w:tcPr>
            <w:tcW w:w="485" w:type="pct"/>
            <w:vAlign w:val="center"/>
          </w:tcPr>
          <w:p w14:paraId="1694DE5C">
            <w:pPr>
              <w:jc w:val="center"/>
              <w:rPr>
                <w:rFonts w:hint="eastAsia" w:ascii="宋体" w:hAnsi="宋体" w:cs="宋体"/>
                <w:szCs w:val="21"/>
              </w:rPr>
            </w:pPr>
            <w:r>
              <w:rPr>
                <w:rFonts w:hint="eastAsia" w:ascii="宋体" w:hAnsi="宋体" w:cs="宋体"/>
                <w:szCs w:val="21"/>
              </w:rPr>
              <w:t>10</w:t>
            </w:r>
          </w:p>
        </w:tc>
        <w:tc>
          <w:tcPr>
            <w:tcW w:w="2953" w:type="pct"/>
            <w:vAlign w:val="center"/>
          </w:tcPr>
          <w:p w14:paraId="68231E2D">
            <w:pPr>
              <w:widowControl/>
              <w:jc w:val="left"/>
              <w:rPr>
                <w:rFonts w:hint="eastAsia" w:ascii="宋体" w:hAnsi="宋体" w:cs="宋体"/>
                <w:szCs w:val="21"/>
              </w:rPr>
            </w:pPr>
            <w:r>
              <w:rPr>
                <w:rFonts w:hint="eastAsia" w:ascii="宋体" w:hAnsi="宋体" w:cs="宋体"/>
                <w:szCs w:val="21"/>
              </w:rPr>
              <w:t>以经评委会一致认定满足招标文件要求且投标小型会场（60至180平方米）价格最低的投标报价为评标基准价，其价格得分计10分。其他投标人的价格得分统一按公式计算：报价得分=（评标基准价/投标报价）×价格权重。</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424" w:type="pct"/>
            <w:vAlign w:val="center"/>
          </w:tcPr>
          <w:p w14:paraId="5040FC1A">
            <w:pPr>
              <w:jc w:val="center"/>
              <w:rPr>
                <w:rFonts w:hint="eastAsia" w:ascii="仿宋" w:hAnsi="仿宋" w:eastAsia="仿宋" w:cs="宋体"/>
                <w:sz w:val="24"/>
                <w:szCs w:val="24"/>
              </w:rPr>
            </w:pPr>
            <w:r>
              <w:rPr>
                <w:rFonts w:hint="eastAsia" w:ascii="仿宋" w:hAnsi="仿宋" w:eastAsia="仿宋" w:cs="宋体"/>
                <w:sz w:val="24"/>
                <w:szCs w:val="24"/>
              </w:rPr>
              <w:t>4</w:t>
            </w:r>
          </w:p>
        </w:tc>
        <w:tc>
          <w:tcPr>
            <w:tcW w:w="342" w:type="pct"/>
            <w:vMerge w:val="restart"/>
            <w:vAlign w:val="center"/>
          </w:tcPr>
          <w:p w14:paraId="3A1EC97F">
            <w:pPr>
              <w:jc w:val="center"/>
              <w:rPr>
                <w:rFonts w:hint="eastAsia" w:ascii="宋体" w:hAnsi="宋体" w:cs="宋体"/>
                <w:szCs w:val="21"/>
              </w:rPr>
            </w:pPr>
            <w:r>
              <w:rPr>
                <w:rFonts w:hint="eastAsia" w:ascii="宋体" w:hAnsi="宋体" w:cs="宋体"/>
                <w:szCs w:val="21"/>
              </w:rPr>
              <w:t>服务</w:t>
            </w:r>
          </w:p>
        </w:tc>
        <w:tc>
          <w:tcPr>
            <w:tcW w:w="796" w:type="pct"/>
            <w:vAlign w:val="center"/>
          </w:tcPr>
          <w:p w14:paraId="4CB097CA">
            <w:pPr>
              <w:jc w:val="center"/>
              <w:rPr>
                <w:rFonts w:hint="eastAsia" w:ascii="仿宋" w:hAnsi="仿宋" w:eastAsia="仿宋" w:cs="宋体"/>
                <w:sz w:val="24"/>
                <w:szCs w:val="24"/>
              </w:rPr>
            </w:pPr>
            <w:r>
              <w:rPr>
                <w:rFonts w:hint="eastAsia" w:ascii="宋体" w:hAnsi="宋体" w:cs="宋体"/>
                <w:szCs w:val="21"/>
              </w:rPr>
              <w:t>住宿服务</w:t>
            </w:r>
          </w:p>
        </w:tc>
        <w:tc>
          <w:tcPr>
            <w:tcW w:w="485" w:type="pct"/>
            <w:vAlign w:val="center"/>
          </w:tcPr>
          <w:p w14:paraId="5F6B02FB">
            <w:pPr>
              <w:jc w:val="center"/>
              <w:rPr>
                <w:rFonts w:hint="eastAsia" w:ascii="仿宋" w:hAnsi="仿宋" w:eastAsia="仿宋" w:cs="宋体"/>
                <w:sz w:val="24"/>
                <w:szCs w:val="24"/>
              </w:rPr>
            </w:pPr>
            <w:r>
              <w:rPr>
                <w:rFonts w:hint="eastAsia" w:ascii="宋体" w:hAnsi="宋体" w:cs="宋体"/>
                <w:szCs w:val="21"/>
              </w:rPr>
              <w:t>20</w:t>
            </w:r>
          </w:p>
        </w:tc>
        <w:tc>
          <w:tcPr>
            <w:tcW w:w="2953" w:type="pct"/>
            <w:vAlign w:val="center"/>
          </w:tcPr>
          <w:p w14:paraId="58D5822F">
            <w:pPr>
              <w:jc w:val="left"/>
            </w:pPr>
            <w:r>
              <w:rPr>
                <w:rFonts w:hint="eastAsia"/>
              </w:rPr>
              <w:t>（1）标准双人间数量得分：数量≥50间，本项得5分，数量&lt;50间，不得分；</w:t>
            </w:r>
          </w:p>
          <w:p w14:paraId="11F02104">
            <w:pPr>
              <w:jc w:val="left"/>
            </w:pPr>
            <w:r>
              <w:rPr>
                <w:rFonts w:hint="eastAsia"/>
              </w:rPr>
              <w:t>（2）星级酒店得分：每一个酒店星级加1分，五星级酒店得5分，本项最多得5分；</w:t>
            </w:r>
          </w:p>
          <w:p w14:paraId="442F450F">
            <w:pPr>
              <w:jc w:val="left"/>
            </w:pPr>
            <w:r>
              <w:rPr>
                <w:rFonts w:hint="eastAsia"/>
              </w:rPr>
              <w:t>（3）客房装修年限得分：装修年限在10年以上（含）不得分，每低1年加1分，本项最多得10分。</w:t>
            </w:r>
          </w:p>
          <w:p w14:paraId="6DA170B0">
            <w:pPr>
              <w:jc w:val="left"/>
            </w:pPr>
            <w:r>
              <w:rPr>
                <w:rFonts w:hint="eastAsia"/>
              </w:rPr>
              <w:t>本项累计最多得20分。</w:t>
            </w:r>
          </w:p>
          <w:p w14:paraId="185C22BE">
            <w:pPr>
              <w:jc w:val="left"/>
              <w:rPr>
                <w:rFonts w:hint="eastAsia" w:ascii="仿宋" w:hAnsi="仿宋" w:cs="宋体"/>
                <w:sz w:val="24"/>
                <w:szCs w:val="24"/>
              </w:rPr>
            </w:pPr>
            <w:r>
              <w:rPr>
                <w:rFonts w:hint="eastAsia" w:ascii="宋体" w:hAnsi="宋体" w:cs="宋体"/>
                <w:szCs w:val="21"/>
              </w:rPr>
              <w:t>【说明】</w:t>
            </w:r>
            <w:r>
              <w:rPr>
                <w:rFonts w:hint="eastAsia"/>
              </w:rPr>
              <w:t>提供标准双人间数量证明资料或承诺函；提供星级酒店证明资料；提供客房装修合同或其他证明资料。</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424" w:type="pct"/>
            <w:vAlign w:val="center"/>
          </w:tcPr>
          <w:p w14:paraId="55734A43">
            <w:pPr>
              <w:jc w:val="center"/>
              <w:rPr>
                <w:rFonts w:hint="eastAsia" w:ascii="仿宋" w:hAnsi="仿宋" w:eastAsia="仿宋" w:cs="宋体"/>
                <w:sz w:val="24"/>
                <w:szCs w:val="24"/>
              </w:rPr>
            </w:pPr>
            <w:r>
              <w:rPr>
                <w:rFonts w:hint="eastAsia" w:ascii="仿宋" w:hAnsi="仿宋" w:eastAsia="仿宋" w:cs="宋体"/>
                <w:sz w:val="24"/>
                <w:szCs w:val="24"/>
              </w:rPr>
              <w:t>5</w:t>
            </w:r>
          </w:p>
        </w:tc>
        <w:tc>
          <w:tcPr>
            <w:tcW w:w="342" w:type="pct"/>
            <w:vMerge w:val="continue"/>
            <w:vAlign w:val="center"/>
          </w:tcPr>
          <w:p w14:paraId="02C9AD00">
            <w:pPr>
              <w:jc w:val="center"/>
              <w:rPr>
                <w:rFonts w:hint="eastAsia" w:ascii="宋体" w:hAnsi="宋体" w:cs="宋体"/>
                <w:szCs w:val="21"/>
              </w:rPr>
            </w:pPr>
          </w:p>
        </w:tc>
        <w:tc>
          <w:tcPr>
            <w:tcW w:w="796" w:type="pct"/>
            <w:vAlign w:val="center"/>
          </w:tcPr>
          <w:p w14:paraId="329C7FA8">
            <w:pPr>
              <w:jc w:val="center"/>
              <w:rPr>
                <w:rFonts w:hint="eastAsia" w:ascii="仿宋" w:hAnsi="仿宋" w:eastAsia="仿宋" w:cs="宋体"/>
                <w:sz w:val="24"/>
                <w:szCs w:val="24"/>
              </w:rPr>
            </w:pPr>
            <w:r>
              <w:rPr>
                <w:rFonts w:hint="eastAsia" w:ascii="宋体" w:hAnsi="宋体" w:cs="宋体"/>
                <w:szCs w:val="21"/>
              </w:rPr>
              <w:t>餐饮服务</w:t>
            </w:r>
          </w:p>
        </w:tc>
        <w:tc>
          <w:tcPr>
            <w:tcW w:w="485" w:type="pct"/>
            <w:vAlign w:val="center"/>
          </w:tcPr>
          <w:p w14:paraId="19462B79">
            <w:pPr>
              <w:jc w:val="center"/>
              <w:rPr>
                <w:rFonts w:hint="eastAsia" w:ascii="仿宋" w:hAnsi="仿宋" w:eastAsia="仿宋" w:cs="宋体"/>
                <w:sz w:val="24"/>
                <w:szCs w:val="24"/>
              </w:rPr>
            </w:pPr>
            <w:r>
              <w:rPr>
                <w:rFonts w:hint="eastAsia" w:ascii="宋体" w:hAnsi="宋体" w:cs="宋体"/>
                <w:szCs w:val="21"/>
              </w:rPr>
              <w:t>10</w:t>
            </w:r>
          </w:p>
        </w:tc>
        <w:tc>
          <w:tcPr>
            <w:tcW w:w="2953" w:type="pct"/>
            <w:vAlign w:val="center"/>
          </w:tcPr>
          <w:p w14:paraId="173B6BDA">
            <w:pPr>
              <w:widowControl/>
              <w:jc w:val="left"/>
              <w:rPr>
                <w:rFonts w:hint="eastAsia" w:ascii="宋体" w:hAnsi="宋体" w:cs="宋体"/>
                <w:szCs w:val="21"/>
              </w:rPr>
            </w:pPr>
            <w:r>
              <w:rPr>
                <w:rFonts w:hint="eastAsia" w:ascii="宋体" w:hAnsi="宋体" w:cs="宋体"/>
                <w:szCs w:val="21"/>
              </w:rPr>
              <w:t>（1）餐厅可容纳人数得分：人数≥120人，得5分，人数</w:t>
            </w:r>
            <w:r>
              <w:rPr>
                <w:rFonts w:hint="eastAsia"/>
              </w:rPr>
              <w:t>&lt;120人，不得分</w:t>
            </w:r>
            <w:r>
              <w:rPr>
                <w:rFonts w:hint="eastAsia" w:ascii="宋体" w:hAnsi="宋体" w:cs="宋体"/>
                <w:szCs w:val="21"/>
              </w:rPr>
              <w:t>；</w:t>
            </w:r>
          </w:p>
          <w:p w14:paraId="5DA54011">
            <w:pPr>
              <w:widowControl/>
              <w:jc w:val="left"/>
              <w:rPr>
                <w:rFonts w:hint="eastAsia" w:ascii="宋体" w:hAnsi="宋体" w:cs="宋体"/>
                <w:szCs w:val="21"/>
              </w:rPr>
            </w:pPr>
            <w:r>
              <w:rPr>
                <w:rFonts w:hint="eastAsia" w:ascii="宋体" w:hAnsi="宋体" w:cs="宋体"/>
                <w:szCs w:val="21"/>
              </w:rPr>
              <w:t>（2）菜品种类得分：每餐菜品提供12种以上（含），得5分；提供10-11种，得3分，少于10种不得分。</w:t>
            </w:r>
          </w:p>
          <w:p w14:paraId="0A3122DE">
            <w:pPr>
              <w:widowControl/>
              <w:jc w:val="left"/>
              <w:rPr>
                <w:rFonts w:hint="eastAsia" w:ascii="宋体" w:hAnsi="宋体" w:cs="宋体"/>
                <w:szCs w:val="21"/>
              </w:rPr>
            </w:pPr>
            <w:r>
              <w:rPr>
                <w:rFonts w:hint="eastAsia" w:ascii="宋体" w:hAnsi="宋体" w:cs="宋体"/>
                <w:szCs w:val="21"/>
              </w:rPr>
              <w:t>本项累计最多得10分。</w:t>
            </w:r>
          </w:p>
          <w:p w14:paraId="464CE894">
            <w:pPr>
              <w:jc w:val="left"/>
              <w:rPr>
                <w:rFonts w:hint="eastAsia" w:ascii="仿宋" w:hAnsi="仿宋" w:eastAsia="仿宋" w:cs="宋体"/>
                <w:sz w:val="24"/>
                <w:szCs w:val="24"/>
              </w:rPr>
            </w:pPr>
            <w:r>
              <w:rPr>
                <w:rFonts w:hint="eastAsia" w:ascii="宋体" w:hAnsi="宋体" w:cs="宋体"/>
                <w:szCs w:val="21"/>
              </w:rPr>
              <w:t>【说明】提供餐厅可容纳人数及菜品品种有关证明材料或承诺函。</w:t>
            </w:r>
          </w:p>
        </w:tc>
      </w:tr>
      <w:tr w14:paraId="551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7258C8DA">
            <w:pPr>
              <w:jc w:val="center"/>
              <w:rPr>
                <w:rFonts w:hint="eastAsia" w:ascii="仿宋" w:hAnsi="仿宋" w:eastAsia="仿宋" w:cs="宋体"/>
                <w:sz w:val="24"/>
                <w:szCs w:val="24"/>
              </w:rPr>
            </w:pPr>
            <w:r>
              <w:rPr>
                <w:rFonts w:hint="eastAsia" w:ascii="仿宋" w:hAnsi="仿宋" w:eastAsia="仿宋" w:cs="宋体"/>
                <w:sz w:val="24"/>
                <w:szCs w:val="24"/>
              </w:rPr>
              <w:t>6</w:t>
            </w:r>
          </w:p>
        </w:tc>
        <w:tc>
          <w:tcPr>
            <w:tcW w:w="342" w:type="pct"/>
            <w:vMerge w:val="continue"/>
            <w:vAlign w:val="center"/>
          </w:tcPr>
          <w:p w14:paraId="77888B33">
            <w:pPr>
              <w:jc w:val="center"/>
              <w:rPr>
                <w:rFonts w:hint="eastAsia" w:ascii="宋体" w:hAnsi="宋体" w:cs="宋体"/>
                <w:szCs w:val="21"/>
              </w:rPr>
            </w:pPr>
          </w:p>
        </w:tc>
        <w:tc>
          <w:tcPr>
            <w:tcW w:w="796" w:type="pct"/>
            <w:vAlign w:val="center"/>
          </w:tcPr>
          <w:p w14:paraId="12982FC6">
            <w:pPr>
              <w:jc w:val="center"/>
              <w:rPr>
                <w:rFonts w:hint="eastAsia" w:ascii="仿宋" w:hAnsi="仿宋" w:eastAsia="仿宋" w:cs="宋体"/>
                <w:sz w:val="24"/>
                <w:szCs w:val="24"/>
              </w:rPr>
            </w:pPr>
            <w:r>
              <w:rPr>
                <w:rFonts w:hint="eastAsia" w:ascii="宋体" w:hAnsi="宋体" w:cs="宋体"/>
                <w:szCs w:val="21"/>
              </w:rPr>
              <w:t>会场服务</w:t>
            </w:r>
          </w:p>
        </w:tc>
        <w:tc>
          <w:tcPr>
            <w:tcW w:w="485" w:type="pct"/>
            <w:vAlign w:val="center"/>
          </w:tcPr>
          <w:p w14:paraId="01FC025E">
            <w:pPr>
              <w:jc w:val="center"/>
              <w:rPr>
                <w:rFonts w:hint="eastAsia" w:ascii="仿宋" w:hAnsi="仿宋" w:eastAsia="仿宋" w:cs="宋体"/>
                <w:sz w:val="24"/>
                <w:szCs w:val="24"/>
              </w:rPr>
            </w:pPr>
            <w:r>
              <w:rPr>
                <w:rFonts w:hint="eastAsia" w:ascii="宋体" w:hAnsi="宋体" w:cs="宋体"/>
                <w:szCs w:val="21"/>
              </w:rPr>
              <w:t>20</w:t>
            </w:r>
          </w:p>
        </w:tc>
        <w:tc>
          <w:tcPr>
            <w:tcW w:w="2953" w:type="pct"/>
            <w:vAlign w:val="center"/>
          </w:tcPr>
          <w:p w14:paraId="033B316D">
            <w:pPr>
              <w:widowControl/>
              <w:jc w:val="left"/>
              <w:rPr>
                <w:rFonts w:hint="eastAsia" w:ascii="宋体" w:hAnsi="宋体" w:cs="宋体"/>
                <w:color w:val="auto"/>
                <w:szCs w:val="21"/>
              </w:rPr>
            </w:pPr>
            <w:r>
              <w:rPr>
                <w:rFonts w:hint="eastAsia" w:ascii="宋体" w:hAnsi="宋体" w:cs="宋体"/>
                <w:szCs w:val="21"/>
              </w:rPr>
              <w:t>（1）提</w:t>
            </w:r>
            <w:r>
              <w:rPr>
                <w:rFonts w:hint="eastAsia" w:ascii="宋体" w:hAnsi="宋体" w:cs="宋体"/>
                <w:color w:val="auto"/>
                <w:szCs w:val="21"/>
              </w:rPr>
              <w:t>供</w:t>
            </w:r>
            <w:r>
              <w:rPr>
                <w:rFonts w:hint="eastAsia" w:ascii="宋体" w:hAnsi="宋体" w:cs="宋体"/>
                <w:color w:val="auto"/>
                <w:szCs w:val="21"/>
                <w:lang w:val="en-US" w:eastAsia="zh-CN"/>
              </w:rPr>
              <w:t>1</w:t>
            </w:r>
            <w:r>
              <w:rPr>
                <w:rFonts w:hint="eastAsia" w:ascii="宋体" w:hAnsi="宋体" w:cs="宋体"/>
                <w:color w:val="auto"/>
                <w:szCs w:val="21"/>
              </w:rPr>
              <w:t>处</w:t>
            </w:r>
            <w:r>
              <w:rPr>
                <w:rFonts w:hint="eastAsia" w:ascii="宋体" w:hAnsi="宋体" w:cs="宋体"/>
                <w:szCs w:val="21"/>
              </w:rPr>
              <w:t>1</w:t>
            </w:r>
            <w:r>
              <w:rPr>
                <w:rFonts w:hint="eastAsia" w:ascii="宋体" w:hAnsi="宋体" w:cs="宋体"/>
                <w:color w:val="auto"/>
                <w:szCs w:val="21"/>
              </w:rPr>
              <w:t>80㎡（含）以上</w:t>
            </w:r>
            <w:r>
              <w:rPr>
                <w:rFonts w:hint="eastAsia" w:ascii="宋体" w:hAnsi="宋体" w:cs="宋体"/>
                <w:color w:val="auto"/>
                <w:szCs w:val="21"/>
                <w:lang w:val="en-US" w:eastAsia="zh-CN"/>
              </w:rPr>
              <w:t>且可</w:t>
            </w:r>
            <w:r>
              <w:rPr>
                <w:rFonts w:hint="eastAsia" w:ascii="宋体" w:hAnsi="宋体" w:cs="宋体"/>
                <w:color w:val="auto"/>
                <w:szCs w:val="21"/>
              </w:rPr>
              <w:t>容纳 150 人以上</w:t>
            </w:r>
            <w:r>
              <w:rPr>
                <w:rFonts w:hint="eastAsia" w:ascii="宋体" w:hAnsi="宋体" w:cs="宋体"/>
                <w:color w:val="auto"/>
                <w:szCs w:val="21"/>
                <w:lang w:eastAsia="zh-CN"/>
              </w:rPr>
              <w:t>的</w:t>
            </w:r>
            <w:r>
              <w:rPr>
                <w:rFonts w:hint="eastAsia" w:ascii="宋体" w:hAnsi="宋体" w:cs="宋体"/>
                <w:color w:val="auto"/>
                <w:szCs w:val="21"/>
                <w:lang w:val="en-US" w:eastAsia="zh-CN"/>
              </w:rPr>
              <w:t>中</w:t>
            </w:r>
            <w:r>
              <w:rPr>
                <w:rFonts w:hint="eastAsia" w:ascii="宋体" w:hAnsi="宋体" w:cs="宋体"/>
                <w:color w:val="auto"/>
                <w:szCs w:val="21"/>
              </w:rPr>
              <w:t>型会场，得</w:t>
            </w:r>
            <w:r>
              <w:rPr>
                <w:rFonts w:hint="eastAsia" w:ascii="宋体" w:hAnsi="宋体" w:cs="宋体"/>
                <w:color w:val="auto"/>
                <w:szCs w:val="21"/>
                <w:lang w:val="en-US" w:eastAsia="zh-CN"/>
              </w:rPr>
              <w:t>10</w:t>
            </w:r>
            <w:r>
              <w:rPr>
                <w:rFonts w:hint="eastAsia" w:ascii="宋体" w:hAnsi="宋体" w:cs="宋体"/>
                <w:color w:val="auto"/>
                <w:szCs w:val="21"/>
              </w:rPr>
              <w:t>分，不能提供的不得分；</w:t>
            </w:r>
          </w:p>
          <w:p w14:paraId="10E3D674">
            <w:pPr>
              <w:widowControl/>
              <w:jc w:val="left"/>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val="en-US" w:eastAsia="zh-CN"/>
              </w:rPr>
              <w:t>至少</w:t>
            </w:r>
            <w:r>
              <w:rPr>
                <w:rFonts w:hint="eastAsia" w:ascii="宋体" w:hAnsi="宋体" w:cs="宋体"/>
                <w:color w:val="auto"/>
                <w:szCs w:val="21"/>
              </w:rPr>
              <w:t>提供</w:t>
            </w:r>
            <w:r>
              <w:rPr>
                <w:rFonts w:hint="eastAsia" w:ascii="宋体" w:hAnsi="宋体" w:cs="宋体"/>
                <w:color w:val="auto"/>
                <w:szCs w:val="21"/>
                <w:lang w:val="en-US" w:eastAsia="zh-CN"/>
              </w:rPr>
              <w:t>3</w:t>
            </w:r>
            <w:r>
              <w:rPr>
                <w:rFonts w:hint="eastAsia" w:ascii="宋体" w:hAnsi="宋体" w:cs="宋体"/>
                <w:color w:val="auto"/>
                <w:szCs w:val="21"/>
              </w:rPr>
              <w:t>处60㎡（含）-180㎡</w:t>
            </w:r>
            <w:r>
              <w:rPr>
                <w:rFonts w:hint="eastAsia" w:ascii="宋体" w:hAnsi="宋体" w:cs="宋体"/>
                <w:color w:val="auto"/>
                <w:szCs w:val="21"/>
                <w:lang w:val="en-US" w:eastAsia="zh-CN"/>
              </w:rPr>
              <w:t>且</w:t>
            </w:r>
            <w:r>
              <w:rPr>
                <w:rFonts w:hint="eastAsia" w:ascii="宋体" w:hAnsi="宋体" w:cs="宋体"/>
                <w:color w:val="auto"/>
                <w:szCs w:val="21"/>
              </w:rPr>
              <w:t>可容纳60人以上</w:t>
            </w:r>
            <w:r>
              <w:rPr>
                <w:rFonts w:hint="eastAsia" w:ascii="宋体" w:hAnsi="宋体" w:cs="宋体"/>
                <w:color w:val="auto"/>
                <w:szCs w:val="21"/>
                <w:lang w:val="en-US" w:eastAsia="zh-CN"/>
              </w:rPr>
              <w:t>小</w:t>
            </w:r>
            <w:r>
              <w:rPr>
                <w:rFonts w:hint="eastAsia" w:ascii="宋体" w:hAnsi="宋体" w:cs="宋体"/>
                <w:color w:val="auto"/>
                <w:szCs w:val="21"/>
              </w:rPr>
              <w:t>型会场，</w:t>
            </w:r>
            <w:r>
              <w:rPr>
                <w:rFonts w:hint="eastAsia" w:ascii="宋体" w:hAnsi="宋体" w:cs="宋体"/>
                <w:color w:val="auto"/>
                <w:szCs w:val="21"/>
                <w:lang w:val="en-US" w:eastAsia="zh-CN"/>
              </w:rPr>
              <w:t>另外每多提供1处</w:t>
            </w:r>
            <w:r>
              <w:rPr>
                <w:rFonts w:hint="eastAsia" w:ascii="宋体" w:hAnsi="宋体" w:cs="宋体"/>
                <w:color w:val="auto"/>
                <w:szCs w:val="21"/>
              </w:rPr>
              <w:t>得</w:t>
            </w:r>
            <w:r>
              <w:rPr>
                <w:rFonts w:hint="eastAsia" w:ascii="宋体" w:hAnsi="宋体" w:cs="宋体"/>
                <w:color w:val="auto"/>
                <w:szCs w:val="21"/>
                <w:lang w:val="en-US" w:eastAsia="zh-CN"/>
              </w:rPr>
              <w:t>3</w:t>
            </w:r>
            <w:r>
              <w:rPr>
                <w:rFonts w:hint="eastAsia" w:ascii="宋体" w:hAnsi="宋体" w:cs="宋体"/>
                <w:color w:val="auto"/>
                <w:szCs w:val="21"/>
              </w:rPr>
              <w:t>分，本项最多得</w:t>
            </w:r>
            <w:r>
              <w:rPr>
                <w:rFonts w:hint="eastAsia" w:ascii="宋体" w:hAnsi="宋体" w:cs="宋体"/>
                <w:color w:val="auto"/>
                <w:szCs w:val="21"/>
                <w:lang w:val="en-US" w:eastAsia="zh-CN"/>
              </w:rPr>
              <w:t>6</w:t>
            </w:r>
            <w:r>
              <w:rPr>
                <w:rFonts w:hint="eastAsia" w:ascii="宋体" w:hAnsi="宋体" w:cs="宋体"/>
                <w:color w:val="auto"/>
                <w:szCs w:val="21"/>
              </w:rPr>
              <w:t>分；</w:t>
            </w:r>
          </w:p>
          <w:p w14:paraId="0FA6C7EF">
            <w:pPr>
              <w:widowControl/>
              <w:jc w:val="left"/>
              <w:rPr>
                <w:rFonts w:hint="eastAsia" w:ascii="宋体" w:hAnsi="宋体" w:cs="宋体"/>
                <w:color w:val="auto"/>
                <w:szCs w:val="21"/>
              </w:rPr>
            </w:pPr>
            <w:r>
              <w:rPr>
                <w:rFonts w:hint="eastAsia" w:ascii="宋体" w:hAnsi="宋体" w:cs="宋体"/>
                <w:color w:val="auto"/>
                <w:szCs w:val="21"/>
              </w:rPr>
              <w:t>（3）能提供音响、LED屏、麦克风等必备培训设备，得4分，提供不全的得2分，不能提供的不得分。</w:t>
            </w:r>
          </w:p>
          <w:p w14:paraId="39617E86">
            <w:pPr>
              <w:jc w:val="left"/>
              <w:rPr>
                <w:rFonts w:hint="eastAsia" w:ascii="宋体" w:hAnsi="宋体" w:cs="宋体"/>
                <w:szCs w:val="21"/>
              </w:rPr>
            </w:pPr>
            <w:r>
              <w:rPr>
                <w:rFonts w:hint="eastAsia" w:ascii="宋体" w:hAnsi="宋体" w:cs="宋体"/>
                <w:szCs w:val="21"/>
              </w:rPr>
              <w:t>本项累计最多得20分。</w:t>
            </w:r>
          </w:p>
          <w:p w14:paraId="21D192DF">
            <w:pPr>
              <w:jc w:val="left"/>
              <w:rPr>
                <w:rFonts w:hint="eastAsia" w:ascii="仿宋" w:hAnsi="仿宋" w:eastAsia="仿宋" w:cs="宋体"/>
                <w:sz w:val="24"/>
                <w:szCs w:val="24"/>
              </w:rPr>
            </w:pPr>
            <w:r>
              <w:rPr>
                <w:rFonts w:hint="eastAsia" w:ascii="宋体" w:hAnsi="宋体" w:cs="宋体"/>
                <w:szCs w:val="21"/>
              </w:rPr>
              <w:t>【说明】提供各会场照片及面积、数量有关证明资料或承诺函；提供各项培训设备清单及购置或租赁等证明材料。</w:t>
            </w:r>
          </w:p>
        </w:tc>
      </w:tr>
      <w:tr w14:paraId="631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43CA71C8">
            <w:pPr>
              <w:jc w:val="center"/>
              <w:rPr>
                <w:rFonts w:hint="eastAsia" w:ascii="仿宋" w:hAnsi="仿宋" w:eastAsia="仿宋" w:cs="宋体"/>
                <w:sz w:val="24"/>
                <w:szCs w:val="24"/>
              </w:rPr>
            </w:pPr>
            <w:r>
              <w:rPr>
                <w:rFonts w:hint="eastAsia" w:ascii="仿宋" w:hAnsi="仿宋" w:eastAsia="仿宋" w:cs="宋体"/>
                <w:sz w:val="24"/>
                <w:szCs w:val="24"/>
              </w:rPr>
              <w:t>7</w:t>
            </w:r>
          </w:p>
        </w:tc>
        <w:tc>
          <w:tcPr>
            <w:tcW w:w="342" w:type="pct"/>
            <w:vAlign w:val="center"/>
          </w:tcPr>
          <w:p w14:paraId="61026106">
            <w:pPr>
              <w:jc w:val="center"/>
              <w:rPr>
                <w:rFonts w:hint="eastAsia" w:ascii="宋体" w:hAnsi="宋体" w:cs="宋体"/>
                <w:szCs w:val="21"/>
              </w:rPr>
            </w:pPr>
            <w:r>
              <w:rPr>
                <w:rFonts w:hint="eastAsia" w:ascii="宋体" w:hAnsi="宋体" w:cs="宋体"/>
                <w:szCs w:val="21"/>
              </w:rPr>
              <w:t>业绩</w:t>
            </w:r>
          </w:p>
        </w:tc>
        <w:tc>
          <w:tcPr>
            <w:tcW w:w="796" w:type="pct"/>
            <w:vAlign w:val="center"/>
          </w:tcPr>
          <w:p w14:paraId="343B1904">
            <w:pPr>
              <w:jc w:val="center"/>
              <w:rPr>
                <w:rFonts w:hint="eastAsia" w:ascii="仿宋" w:hAnsi="仿宋" w:eastAsia="仿宋" w:cs="宋体"/>
                <w:sz w:val="24"/>
                <w:szCs w:val="24"/>
              </w:rPr>
            </w:pPr>
            <w:r>
              <w:rPr>
                <w:rFonts w:hint="eastAsia" w:ascii="宋体" w:hAnsi="宋体" w:cs="宋体"/>
                <w:szCs w:val="21"/>
              </w:rPr>
              <w:t>同类业绩</w:t>
            </w:r>
          </w:p>
        </w:tc>
        <w:tc>
          <w:tcPr>
            <w:tcW w:w="485" w:type="pct"/>
            <w:vAlign w:val="center"/>
          </w:tcPr>
          <w:p w14:paraId="147D11AC">
            <w:pPr>
              <w:jc w:val="center"/>
              <w:rPr>
                <w:rFonts w:hint="eastAsia" w:ascii="仿宋" w:hAnsi="仿宋" w:eastAsia="仿宋" w:cs="宋体"/>
                <w:sz w:val="24"/>
                <w:szCs w:val="24"/>
              </w:rPr>
            </w:pPr>
            <w:r>
              <w:rPr>
                <w:rFonts w:hint="eastAsia" w:ascii="宋体" w:hAnsi="宋体" w:cs="宋体"/>
                <w:szCs w:val="21"/>
              </w:rPr>
              <w:t>10</w:t>
            </w:r>
          </w:p>
        </w:tc>
        <w:tc>
          <w:tcPr>
            <w:tcW w:w="2953" w:type="pct"/>
            <w:vAlign w:val="center"/>
          </w:tcPr>
          <w:p w14:paraId="72A6E839">
            <w:pPr>
              <w:jc w:val="left"/>
              <w:rPr>
                <w:rFonts w:hint="eastAsia" w:ascii="宋体" w:hAnsi="宋体" w:cs="宋体"/>
                <w:szCs w:val="21"/>
              </w:rPr>
            </w:pPr>
            <w:r>
              <w:rPr>
                <w:rFonts w:hint="eastAsia" w:ascii="宋体" w:hAnsi="宋体" w:cs="宋体"/>
                <w:szCs w:val="21"/>
              </w:rPr>
              <w:t>提供近两年同类培训或会议服务业绩，每提供一项得2分，本项最多得10分。</w:t>
            </w:r>
          </w:p>
          <w:p w14:paraId="6203061F">
            <w:pPr>
              <w:jc w:val="left"/>
              <w:rPr>
                <w:rFonts w:hint="eastAsia" w:ascii="仿宋" w:hAnsi="仿宋" w:eastAsia="仿宋" w:cs="宋体"/>
                <w:sz w:val="24"/>
                <w:szCs w:val="24"/>
              </w:rPr>
            </w:pPr>
            <w:r>
              <w:rPr>
                <w:rFonts w:hint="eastAsia" w:ascii="宋体" w:hAnsi="宋体" w:cs="宋体"/>
                <w:szCs w:val="21"/>
              </w:rPr>
              <w:t>【说明】：提供2024年6月1日至今，同类培训服务项目的合同复印件，合同没有公章或者公章无法辨识，视为无效合同。</w:t>
            </w:r>
          </w:p>
        </w:tc>
      </w:tr>
    </w:tbl>
    <w:p w14:paraId="2927E818">
      <w:r>
        <w:rPr>
          <w:rFonts w:hint="eastAsia"/>
        </w:rPr>
        <w:t>【说明】餐饮报价不参与评分，仅作为签订服务合同的依据，餐饮</w:t>
      </w:r>
      <w:r>
        <w:rPr>
          <w:rFonts w:hint="eastAsia"/>
          <w:lang w:val="en-US" w:eastAsia="zh-CN"/>
        </w:rPr>
        <w:t>报价</w:t>
      </w:r>
      <w:r>
        <w:rPr>
          <w:rFonts w:hint="eastAsia"/>
        </w:rPr>
        <w:t>不</w:t>
      </w:r>
      <w:r>
        <w:rPr>
          <w:rFonts w:hint="eastAsia"/>
          <w:lang w:val="en-US" w:eastAsia="zh-CN"/>
        </w:rPr>
        <w:t>得</w:t>
      </w:r>
      <w:r>
        <w:rPr>
          <w:rFonts w:hint="eastAsia"/>
        </w:rPr>
        <w:t>超过最高限价。</w:t>
      </w:r>
    </w:p>
    <w:p w14:paraId="450018AE"/>
    <w:p w14:paraId="5077E8EB">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13544E06"/>
    <w:p w14:paraId="4DFEE8F5">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4"/>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33EE1F5B">
      <w:pPr>
        <w:pStyle w:val="11"/>
        <w:adjustRightInd w:val="0"/>
        <w:snapToGrid w:val="0"/>
        <w:spacing w:line="360" w:lineRule="auto"/>
        <w:rPr>
          <w:rFonts w:hint="eastAsia" w:ascii="仿宋_GB2312" w:hAnsi="宋体" w:eastAsia="仿宋_GB2312"/>
          <w:b/>
        </w:rPr>
      </w:pPr>
    </w:p>
    <w:p w14:paraId="6BA60C6A">
      <w:pPr>
        <w:pStyle w:val="11"/>
        <w:adjustRightInd w:val="0"/>
        <w:snapToGrid w:val="0"/>
        <w:spacing w:line="360" w:lineRule="auto"/>
        <w:rPr>
          <w:rFonts w:hint="eastAsia" w:ascii="仿宋_GB2312" w:hAnsi="宋体" w:eastAsia="仿宋_GB2312"/>
          <w:b/>
        </w:rPr>
      </w:pPr>
      <w:r>
        <w:rPr>
          <w:rFonts w:hint="eastAsia" w:ascii="仿宋_GB2312" w:hAnsi="宋体" w:eastAsia="仿宋_GB2312"/>
          <w:b/>
        </w:rPr>
        <w:br w:type="page"/>
      </w:r>
    </w:p>
    <w:p w14:paraId="2CCC1DC8">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none"/>
        </w:rPr>
        <w:t>AI 赋能教师数字素养提升国培班住宿、餐饮、教学场地采购</w:t>
      </w:r>
      <w:r>
        <w:rPr>
          <w:rFonts w:hint="eastAsia" w:ascii="仿宋" w:hAnsi="仿宋" w:eastAsia="仿宋"/>
          <w:sz w:val="24"/>
          <w:szCs w:val="24"/>
          <w:u w:val="single"/>
        </w:rPr>
        <w:t>(</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：法定代表人授权书(委托代理人参加询比)</w:t>
      </w:r>
    </w:p>
    <w:p w14:paraId="5B8CF27D">
      <w:pPr>
        <w:pStyle w:val="11"/>
        <w:adjustRightInd w:val="0"/>
        <w:snapToGrid w:val="0"/>
        <w:spacing w:line="360" w:lineRule="auto"/>
        <w:rPr>
          <w:rFonts w:hint="eastAsia" w:ascii="仿宋" w:hAnsi="仿宋" w:eastAsia="仿宋"/>
          <w:sz w:val="24"/>
          <w:szCs w:val="24"/>
        </w:rPr>
      </w:pPr>
    </w:p>
    <w:p w14:paraId="0E155071">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r>
        <w:rPr>
          <w:rFonts w:hint="eastAsia" w:ascii="仿宋" w:hAnsi="仿宋" w:eastAsia="仿宋"/>
          <w:bCs/>
          <w:sz w:val="24"/>
        </w:rPr>
        <w:br w:type="page"/>
      </w: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10CB8852"/>
    <w:p w14:paraId="7F870902">
      <w:r>
        <w:br w:type="page"/>
      </w:r>
    </w:p>
    <w:p w14:paraId="78DBABB8">
      <w:pPr>
        <w:pStyle w:val="1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none"/>
        </w:rPr>
        <w:t>AI 赋能教师数字素养提升国培班住宿、餐饮、教学场地采购项目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 xml:space="preserve">我司最终报价如下： </w:t>
      </w:r>
    </w:p>
    <w:p w14:paraId="1FCDFDBD">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1.住宿、餐饮报价</w:t>
      </w:r>
    </w:p>
    <w:tbl>
      <w:tblPr>
        <w:tblStyle w:val="19"/>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4"/>
        <w:gridCol w:w="4122"/>
        <w:gridCol w:w="1538"/>
      </w:tblGrid>
      <w:tr w14:paraId="3847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80" w:type="pct"/>
            <w:vAlign w:val="center"/>
          </w:tcPr>
          <w:p w14:paraId="0BFEBD06">
            <w:pPr>
              <w:widowControl/>
              <w:spacing w:line="45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类型</w:t>
            </w:r>
          </w:p>
        </w:tc>
        <w:tc>
          <w:tcPr>
            <w:tcW w:w="2418" w:type="pct"/>
            <w:vAlign w:val="center"/>
          </w:tcPr>
          <w:p w14:paraId="46A655D6">
            <w:pPr>
              <w:widowControl/>
              <w:spacing w:line="45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报价</w:t>
            </w:r>
          </w:p>
        </w:tc>
        <w:tc>
          <w:tcPr>
            <w:tcW w:w="902" w:type="pct"/>
            <w:vAlign w:val="center"/>
          </w:tcPr>
          <w:p w14:paraId="6EBA517E">
            <w:pPr>
              <w:widowControl/>
              <w:spacing w:line="450" w:lineRule="atLeast"/>
              <w:jc w:val="center"/>
              <w:textAlignment w:val="baseline"/>
              <w:rPr>
                <w:rFonts w:hint="eastAsia" w:ascii="仿宋" w:hAnsi="仿宋" w:eastAsia="仿宋" w:cs="仿宋"/>
                <w:sz w:val="24"/>
                <w:szCs w:val="24"/>
              </w:rPr>
            </w:pPr>
            <w:r>
              <w:rPr>
                <w:rFonts w:ascii="仿宋" w:hAnsi="仿宋" w:eastAsia="仿宋" w:cs="仿宋"/>
                <w:sz w:val="24"/>
                <w:szCs w:val="24"/>
              </w:rPr>
              <w:t>说明</w:t>
            </w:r>
          </w:p>
        </w:tc>
      </w:tr>
      <w:tr w14:paraId="7EF9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28F45C7A">
            <w:pPr>
              <w:widowControl/>
              <w:spacing w:line="30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标准双人间（普通标间）</w:t>
            </w:r>
          </w:p>
        </w:tc>
        <w:tc>
          <w:tcPr>
            <w:tcW w:w="2418" w:type="pct"/>
            <w:vAlign w:val="center"/>
          </w:tcPr>
          <w:p w14:paraId="418C8265">
            <w:pPr>
              <w:widowControl/>
              <w:spacing w:line="450" w:lineRule="atLeast"/>
              <w:textAlignment w:val="baseline"/>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元/间·天（含双早）</w:t>
            </w:r>
          </w:p>
        </w:tc>
        <w:tc>
          <w:tcPr>
            <w:tcW w:w="902" w:type="pct"/>
            <w:vAlign w:val="center"/>
          </w:tcPr>
          <w:p w14:paraId="1E889B77">
            <w:pPr>
              <w:widowControl/>
              <w:spacing w:line="300" w:lineRule="atLeast"/>
              <w:jc w:val="center"/>
              <w:textAlignment w:val="baseline"/>
              <w:rPr>
                <w:rFonts w:hint="eastAsia" w:ascii="宋体" w:hAnsi="宋体" w:cs="宋体"/>
                <w:szCs w:val="21"/>
              </w:rPr>
            </w:pPr>
            <w:r>
              <w:rPr>
                <w:rFonts w:hint="eastAsia" w:ascii="宋体" w:hAnsi="宋体" w:cs="宋体"/>
                <w:szCs w:val="21"/>
              </w:rPr>
              <w:t>限价≤220元 /间</w:t>
            </w:r>
            <w:r>
              <w:rPr>
                <w:rFonts w:hint="eastAsia" w:ascii="仿宋" w:hAnsi="仿宋" w:eastAsia="仿宋" w:cs="仿宋"/>
                <w:sz w:val="24"/>
                <w:szCs w:val="24"/>
              </w:rPr>
              <w:t>·天</w:t>
            </w:r>
          </w:p>
        </w:tc>
      </w:tr>
      <w:tr w14:paraId="3843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14:paraId="5242C83D">
            <w:pPr>
              <w:widowControl/>
              <w:spacing w:line="45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正餐自助餐（中/晚餐）</w:t>
            </w:r>
          </w:p>
        </w:tc>
        <w:tc>
          <w:tcPr>
            <w:tcW w:w="2418" w:type="pct"/>
            <w:vAlign w:val="center"/>
          </w:tcPr>
          <w:p w14:paraId="6708A4CC">
            <w:pPr>
              <w:widowControl/>
              <w:tabs>
                <w:tab w:val="left" w:pos="3470"/>
              </w:tabs>
              <w:spacing w:line="450" w:lineRule="atLeast"/>
              <w:ind w:right="-108"/>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元/人·</w:t>
            </w:r>
            <w:r>
              <w:rPr>
                <w:rFonts w:hint="eastAsia" w:ascii="仿宋" w:hAnsi="仿宋" w:eastAsia="仿宋" w:cs="仿宋"/>
                <w:color w:val="auto"/>
                <w:sz w:val="24"/>
                <w:szCs w:val="24"/>
                <w:lang w:val="en-US" w:eastAsia="zh-CN"/>
              </w:rPr>
              <w:t>餐</w:t>
            </w:r>
            <w:r>
              <w:rPr>
                <w:rFonts w:hint="eastAsia" w:ascii="仿宋" w:hAnsi="仿宋" w:eastAsia="仿宋" w:cs="仿宋"/>
                <w:color w:val="auto"/>
                <w:sz w:val="24"/>
                <w:szCs w:val="24"/>
              </w:rPr>
              <w:t>（中/晚餐）</w:t>
            </w:r>
          </w:p>
        </w:tc>
        <w:tc>
          <w:tcPr>
            <w:tcW w:w="902" w:type="pct"/>
            <w:vAlign w:val="center"/>
          </w:tcPr>
          <w:p w14:paraId="7989E51C">
            <w:pPr>
              <w:widowControl/>
              <w:spacing w:line="300" w:lineRule="atLeast"/>
              <w:jc w:val="center"/>
              <w:textAlignment w:val="baseline"/>
              <w:rPr>
                <w:rFonts w:hint="eastAsia" w:ascii="宋体" w:hAnsi="宋体" w:eastAsia="宋体" w:cs="宋体"/>
                <w:color w:val="auto"/>
                <w:szCs w:val="21"/>
                <w:lang w:eastAsia="zh-CN"/>
              </w:rPr>
            </w:pPr>
            <w:r>
              <w:rPr>
                <w:rFonts w:hint="eastAsia" w:ascii="宋体" w:hAnsi="宋体" w:cs="宋体"/>
                <w:color w:val="auto"/>
                <w:szCs w:val="21"/>
              </w:rPr>
              <w:t>限价≤</w:t>
            </w:r>
            <w:r>
              <w:rPr>
                <w:rFonts w:hint="eastAsia" w:ascii="宋体" w:hAnsi="宋体" w:cs="宋体"/>
                <w:color w:val="auto"/>
                <w:szCs w:val="21"/>
                <w:lang w:val="en-US" w:eastAsia="zh-CN"/>
              </w:rPr>
              <w:t>55</w:t>
            </w:r>
            <w:r>
              <w:rPr>
                <w:rFonts w:hint="eastAsia" w:ascii="宋体" w:hAnsi="宋体" w:cs="宋体"/>
                <w:color w:val="auto"/>
                <w:szCs w:val="21"/>
              </w:rPr>
              <w:t>元/</w:t>
            </w:r>
            <w:r>
              <w:rPr>
                <w:rFonts w:hint="eastAsia" w:ascii="仿宋" w:hAnsi="仿宋" w:eastAsia="仿宋" w:cs="仿宋"/>
                <w:color w:val="auto"/>
                <w:sz w:val="24"/>
                <w:szCs w:val="24"/>
              </w:rPr>
              <w:t>人·</w:t>
            </w:r>
            <w:r>
              <w:rPr>
                <w:rFonts w:hint="eastAsia" w:ascii="宋体" w:hAnsi="宋体" w:cs="宋体"/>
                <w:color w:val="auto"/>
                <w:szCs w:val="21"/>
                <w:lang w:val="en-US" w:eastAsia="zh-CN"/>
              </w:rPr>
              <w:t>餐</w:t>
            </w:r>
          </w:p>
        </w:tc>
      </w:tr>
    </w:tbl>
    <w:p w14:paraId="0F205ECC">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2.会场报价</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8"/>
        <w:gridCol w:w="1865"/>
        <w:gridCol w:w="1408"/>
        <w:gridCol w:w="1410"/>
        <w:gridCol w:w="1481"/>
      </w:tblGrid>
      <w:tr w14:paraId="40CB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08AF3973">
            <w:pPr>
              <w:widowControl/>
              <w:spacing w:line="300" w:lineRule="atLeast"/>
              <w:jc w:val="center"/>
              <w:textAlignment w:val="baseline"/>
              <w:rPr>
                <w:rFonts w:hint="eastAsia" w:ascii="仿宋" w:hAnsi="仿宋" w:eastAsia="仿宋" w:cs="仿宋"/>
                <w:sz w:val="24"/>
                <w:szCs w:val="24"/>
              </w:rPr>
            </w:pPr>
            <w:bookmarkStart w:id="9" w:name="OLE_LINK22"/>
            <w:r>
              <w:rPr>
                <w:rFonts w:ascii="仿宋" w:hAnsi="仿宋" w:eastAsia="仿宋" w:cs="仿宋"/>
                <w:sz w:val="24"/>
                <w:szCs w:val="24"/>
              </w:rPr>
              <w:t>会场类型</w:t>
            </w:r>
          </w:p>
        </w:tc>
        <w:tc>
          <w:tcPr>
            <w:tcW w:w="1094" w:type="pct"/>
            <w:vAlign w:val="center"/>
          </w:tcPr>
          <w:p w14:paraId="453BA168">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报价（元/</w:t>
            </w:r>
            <w:r>
              <w:rPr>
                <w:rFonts w:hint="eastAsia" w:ascii="仿宋" w:hAnsi="仿宋" w:eastAsia="仿宋" w:cs="仿宋"/>
                <w:color w:val="auto"/>
                <w:sz w:val="24"/>
                <w:szCs w:val="24"/>
                <w:lang w:val="en-US" w:eastAsia="zh-CN"/>
              </w:rPr>
              <w:t>天</w:t>
            </w:r>
            <w:r>
              <w:rPr>
                <w:rFonts w:hint="eastAsia" w:ascii="仿宋" w:hAnsi="仿宋" w:eastAsia="仿宋" w:cs="仿宋"/>
                <w:color w:val="auto"/>
                <w:sz w:val="24"/>
                <w:szCs w:val="24"/>
              </w:rPr>
              <w:t>）</w:t>
            </w:r>
          </w:p>
        </w:tc>
        <w:tc>
          <w:tcPr>
            <w:tcW w:w="826" w:type="pct"/>
            <w:vAlign w:val="center"/>
          </w:tcPr>
          <w:p w14:paraId="1BABE834">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面积（㎡）</w:t>
            </w:r>
          </w:p>
        </w:tc>
        <w:tc>
          <w:tcPr>
            <w:tcW w:w="827" w:type="pct"/>
            <w:vAlign w:val="center"/>
          </w:tcPr>
          <w:p w14:paraId="7B4950AA">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可容纳</w:t>
            </w:r>
          </w:p>
          <w:p w14:paraId="2CF7C911">
            <w:pPr>
              <w:widowControl/>
              <w:spacing w:line="300" w:lineRule="atLeast"/>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人数</w:t>
            </w:r>
          </w:p>
        </w:tc>
        <w:tc>
          <w:tcPr>
            <w:tcW w:w="869" w:type="pct"/>
            <w:vAlign w:val="center"/>
          </w:tcPr>
          <w:p w14:paraId="2832D2BD">
            <w:pPr>
              <w:widowControl/>
              <w:spacing w:line="300" w:lineRule="atLeast"/>
              <w:jc w:val="center"/>
              <w:textAlignment w:val="baseline"/>
              <w:rPr>
                <w:rFonts w:hint="eastAsia" w:ascii="仿宋" w:hAnsi="仿宋" w:eastAsia="仿宋" w:cs="仿宋"/>
                <w:color w:val="auto"/>
                <w:sz w:val="24"/>
                <w:szCs w:val="24"/>
              </w:rPr>
            </w:pPr>
            <w:r>
              <w:rPr>
                <w:rFonts w:ascii="仿宋" w:hAnsi="仿宋" w:eastAsia="仿宋" w:cs="仿宋"/>
                <w:color w:val="auto"/>
                <w:sz w:val="24"/>
                <w:szCs w:val="24"/>
              </w:rPr>
              <w:t>说明</w:t>
            </w:r>
          </w:p>
        </w:tc>
      </w:tr>
      <w:tr w14:paraId="4FA7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54B10AA9">
            <w:pPr>
              <w:widowControl/>
              <w:spacing w:line="30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18</w:t>
            </w:r>
            <w:r>
              <w:rPr>
                <w:rFonts w:ascii="仿宋" w:hAnsi="仿宋" w:eastAsia="仿宋" w:cs="仿宋"/>
                <w:sz w:val="24"/>
                <w:szCs w:val="24"/>
              </w:rPr>
              <w:t>0平米以上</w:t>
            </w:r>
            <w:r>
              <w:rPr>
                <w:rFonts w:hint="eastAsia" w:ascii="仿宋" w:hAnsi="仿宋" w:eastAsia="仿宋" w:cs="仿宋"/>
                <w:sz w:val="24"/>
                <w:szCs w:val="24"/>
              </w:rPr>
              <w:t>且能容纳15</w:t>
            </w:r>
            <w:r>
              <w:rPr>
                <w:rFonts w:ascii="仿宋" w:hAnsi="仿宋" w:eastAsia="仿宋" w:cs="仿宋"/>
                <w:sz w:val="24"/>
                <w:szCs w:val="24"/>
              </w:rPr>
              <w:t>0人以上</w:t>
            </w:r>
            <w:r>
              <w:rPr>
                <w:rFonts w:hint="eastAsia" w:ascii="仿宋" w:hAnsi="仿宋" w:eastAsia="仿宋" w:cs="仿宋"/>
                <w:sz w:val="24"/>
                <w:szCs w:val="24"/>
              </w:rPr>
              <w:t>会场</w:t>
            </w:r>
          </w:p>
        </w:tc>
        <w:tc>
          <w:tcPr>
            <w:tcW w:w="1094" w:type="pct"/>
            <w:vAlign w:val="center"/>
          </w:tcPr>
          <w:p w14:paraId="26F2CCFD">
            <w:pPr>
              <w:widowControl/>
              <w:spacing w:line="300" w:lineRule="atLeast"/>
              <w:jc w:val="left"/>
              <w:textAlignment w:val="baseline"/>
              <w:rPr>
                <w:rFonts w:hint="eastAsia" w:ascii="仿宋" w:hAnsi="仿宋" w:eastAsia="仿宋" w:cs="仿宋"/>
                <w:color w:val="auto"/>
                <w:sz w:val="24"/>
                <w:szCs w:val="24"/>
                <w:lang w:eastAsia="zh-CN"/>
              </w:rPr>
            </w:pPr>
            <w:r>
              <w:rPr>
                <w:rFonts w:ascii="仿宋" w:hAnsi="仿宋" w:eastAsia="仿宋" w:cs="仿宋"/>
                <w:color w:val="auto"/>
                <w:sz w:val="24"/>
                <w:szCs w:val="24"/>
              </w:rPr>
              <w:t>________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天</w:t>
            </w:r>
          </w:p>
        </w:tc>
        <w:tc>
          <w:tcPr>
            <w:tcW w:w="826" w:type="pct"/>
            <w:vAlign w:val="center"/>
          </w:tcPr>
          <w:p w14:paraId="4BAEC659">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14:paraId="0AFC2644">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9" w:type="pct"/>
            <w:vAlign w:val="center"/>
          </w:tcPr>
          <w:p w14:paraId="5722085B">
            <w:pPr>
              <w:widowControl/>
              <w:spacing w:line="300" w:lineRule="atLeast"/>
              <w:jc w:val="center"/>
              <w:textAlignment w:val="baseline"/>
              <w:rPr>
                <w:rFonts w:hint="eastAsia" w:ascii="仿宋" w:hAnsi="仿宋" w:eastAsia="宋体" w:cs="仿宋"/>
                <w:color w:val="auto"/>
                <w:szCs w:val="21"/>
                <w:lang w:eastAsia="zh-CN"/>
              </w:rPr>
            </w:pPr>
            <w:r>
              <w:rPr>
                <w:rFonts w:hint="eastAsia" w:ascii="宋体" w:hAnsi="宋体" w:cs="宋体"/>
                <w:color w:val="auto"/>
                <w:szCs w:val="21"/>
              </w:rPr>
              <w:t>限价≤1200 元 /</w:t>
            </w:r>
            <w:r>
              <w:rPr>
                <w:rFonts w:hint="eastAsia" w:ascii="宋体" w:hAnsi="宋体" w:cs="宋体"/>
                <w:color w:val="auto"/>
                <w:szCs w:val="21"/>
                <w:lang w:val="en-US" w:eastAsia="zh-CN"/>
              </w:rPr>
              <w:t>天</w:t>
            </w:r>
          </w:p>
        </w:tc>
      </w:tr>
      <w:tr w14:paraId="36F3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4" w:type="pct"/>
            <w:vAlign w:val="center"/>
          </w:tcPr>
          <w:p w14:paraId="67F86DA2">
            <w:pPr>
              <w:widowControl/>
              <w:spacing w:line="300" w:lineRule="atLeast"/>
              <w:jc w:val="center"/>
              <w:textAlignment w:val="baseline"/>
              <w:rPr>
                <w:rFonts w:hint="eastAsia" w:ascii="仿宋" w:hAnsi="仿宋" w:eastAsia="仿宋" w:cs="仿宋"/>
                <w:sz w:val="24"/>
                <w:szCs w:val="24"/>
              </w:rPr>
            </w:pPr>
            <w:r>
              <w:rPr>
                <w:rFonts w:hint="eastAsia" w:ascii="仿宋" w:hAnsi="仿宋" w:eastAsia="仿宋" w:cs="仿宋"/>
                <w:sz w:val="24"/>
                <w:szCs w:val="24"/>
              </w:rPr>
              <w:t>60</w:t>
            </w:r>
            <w:r>
              <w:rPr>
                <w:rFonts w:hint="eastAsia" w:ascii="仿宋" w:hAnsi="仿宋" w:eastAsia="仿宋" w:cs="仿宋"/>
                <w:sz w:val="24"/>
                <w:szCs w:val="24"/>
                <w:lang w:val="en-US" w:eastAsia="zh-CN"/>
              </w:rPr>
              <w:t>-180</w:t>
            </w:r>
            <w:r>
              <w:rPr>
                <w:rFonts w:ascii="仿宋" w:hAnsi="仿宋" w:eastAsia="仿宋" w:cs="仿宋"/>
                <w:sz w:val="24"/>
                <w:szCs w:val="24"/>
              </w:rPr>
              <w:t>平米</w:t>
            </w:r>
            <w:r>
              <w:rPr>
                <w:rFonts w:hint="eastAsia" w:ascii="仿宋" w:hAnsi="仿宋" w:eastAsia="仿宋" w:cs="仿宋"/>
                <w:sz w:val="24"/>
                <w:szCs w:val="24"/>
              </w:rPr>
              <w:t>且能容纳60人以上会场</w:t>
            </w:r>
          </w:p>
        </w:tc>
        <w:tc>
          <w:tcPr>
            <w:tcW w:w="1094" w:type="pct"/>
            <w:vAlign w:val="center"/>
          </w:tcPr>
          <w:p w14:paraId="4092CB39">
            <w:pPr>
              <w:widowControl/>
              <w:spacing w:line="300" w:lineRule="atLeast"/>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____</w:t>
            </w:r>
            <w:r>
              <w:rPr>
                <w:rFonts w:ascii="仿宋" w:hAnsi="仿宋" w:eastAsia="仿宋" w:cs="仿宋"/>
                <w:color w:val="auto"/>
                <w:sz w:val="24"/>
                <w:szCs w:val="24"/>
              </w:rPr>
              <w:t>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天</w:t>
            </w:r>
          </w:p>
        </w:tc>
        <w:tc>
          <w:tcPr>
            <w:tcW w:w="826" w:type="pct"/>
            <w:vAlign w:val="center"/>
          </w:tcPr>
          <w:p w14:paraId="5A8B2EB6">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14:paraId="288BD043">
            <w:pPr>
              <w:widowControl/>
              <w:spacing w:line="300" w:lineRule="atLeast"/>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9" w:type="pct"/>
            <w:vAlign w:val="center"/>
          </w:tcPr>
          <w:p w14:paraId="3A5701FA">
            <w:pPr>
              <w:widowControl/>
              <w:spacing w:line="300" w:lineRule="atLeast"/>
              <w:jc w:val="center"/>
              <w:textAlignment w:val="baseline"/>
              <w:rPr>
                <w:rFonts w:hint="eastAsia" w:ascii="仿宋" w:hAnsi="仿宋" w:eastAsia="仿宋" w:cs="仿宋"/>
                <w:color w:val="auto"/>
                <w:szCs w:val="21"/>
              </w:rPr>
            </w:pPr>
            <w:r>
              <w:rPr>
                <w:rFonts w:hint="eastAsia" w:ascii="宋体" w:hAnsi="宋体" w:cs="宋体"/>
                <w:color w:val="auto"/>
                <w:szCs w:val="21"/>
              </w:rPr>
              <w:t>限价≤600 元 /</w:t>
            </w:r>
            <w:r>
              <w:rPr>
                <w:rFonts w:hint="eastAsia" w:ascii="仿宋" w:hAnsi="仿宋" w:eastAsia="仿宋" w:cs="仿宋"/>
                <w:color w:val="auto"/>
                <w:sz w:val="24"/>
                <w:szCs w:val="24"/>
                <w:lang w:val="en-US" w:eastAsia="zh-CN"/>
              </w:rPr>
              <w:t>天</w:t>
            </w:r>
          </w:p>
        </w:tc>
      </w:tr>
      <w:bookmarkEnd w:id="9"/>
    </w:tbl>
    <w:p w14:paraId="798D9FB1">
      <w:pPr>
        <w:adjustRightInd w:val="0"/>
        <w:snapToGrid w:val="0"/>
        <w:spacing w:line="360" w:lineRule="auto"/>
        <w:ind w:firstLine="420" w:firstLineChars="200"/>
        <w:rPr>
          <w:rFonts w:hint="eastAsia" w:ascii="仿宋" w:hAnsi="仿宋" w:eastAsia="仿宋"/>
          <w:szCs w:val="21"/>
        </w:rPr>
      </w:pPr>
      <w:r>
        <w:rPr>
          <w:rFonts w:ascii="仿宋" w:hAnsi="仿宋" w:eastAsia="仿宋"/>
          <w:szCs w:val="21"/>
        </w:rPr>
        <w:t>备注：</w:t>
      </w:r>
    </w:p>
    <w:p w14:paraId="397DE767">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（1）</w:t>
      </w:r>
      <w:r>
        <w:rPr>
          <w:rFonts w:ascii="仿宋" w:hAnsi="仿宋" w:eastAsia="仿宋"/>
          <w:szCs w:val="21"/>
        </w:rPr>
        <w:t>所有报价均为含税价</w:t>
      </w:r>
      <w:r>
        <w:rPr>
          <w:rFonts w:hint="eastAsia" w:ascii="仿宋" w:hAnsi="仿宋" w:eastAsia="仿宋"/>
          <w:szCs w:val="21"/>
        </w:rPr>
        <w:t>；</w:t>
      </w:r>
    </w:p>
    <w:p w14:paraId="0481B91E">
      <w:pPr>
        <w:adjustRightInd w:val="0"/>
        <w:snapToGrid w:val="0"/>
        <w:spacing w:line="360" w:lineRule="auto"/>
        <w:ind w:firstLine="420" w:firstLineChars="200"/>
        <w:rPr>
          <w:rFonts w:hint="eastAsia" w:ascii="仿宋" w:hAnsi="仿宋" w:eastAsia="仿宋"/>
          <w:color w:val="auto"/>
          <w:szCs w:val="21"/>
        </w:rPr>
      </w:pPr>
      <w:r>
        <w:rPr>
          <w:rFonts w:hint="eastAsia" w:ascii="仿宋" w:hAnsi="仿宋" w:eastAsia="仿宋"/>
          <w:color w:val="auto"/>
          <w:szCs w:val="21"/>
        </w:rPr>
        <w:t>（2）会场报价统一以每</w:t>
      </w:r>
      <w:r>
        <w:rPr>
          <w:rFonts w:hint="eastAsia" w:ascii="仿宋" w:hAnsi="仿宋" w:eastAsia="仿宋"/>
          <w:color w:val="auto"/>
          <w:szCs w:val="21"/>
          <w:lang w:val="en-US" w:eastAsia="zh-CN"/>
        </w:rPr>
        <w:t>天</w:t>
      </w:r>
      <w:r>
        <w:rPr>
          <w:rFonts w:hint="eastAsia" w:ascii="仿宋" w:hAnsi="仿宋" w:eastAsia="仿宋"/>
          <w:color w:val="auto"/>
          <w:szCs w:val="21"/>
        </w:rPr>
        <w:t>（</w:t>
      </w:r>
      <w:r>
        <w:rPr>
          <w:rFonts w:hint="eastAsia" w:ascii="仿宋" w:hAnsi="仿宋" w:eastAsia="仿宋"/>
          <w:color w:val="auto"/>
          <w:szCs w:val="21"/>
          <w:lang w:val="en-US" w:eastAsia="zh-CN"/>
        </w:rPr>
        <w:t>8</w:t>
      </w:r>
      <w:r>
        <w:rPr>
          <w:rFonts w:hint="eastAsia" w:ascii="仿宋" w:hAnsi="仿宋" w:eastAsia="仿宋"/>
          <w:color w:val="auto"/>
          <w:szCs w:val="21"/>
        </w:rPr>
        <w:t>小时）为单位对每间会场进行报价；</w:t>
      </w:r>
    </w:p>
    <w:p w14:paraId="1BA7D759">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（3）餐饮报价不参与评分，仅作为签订服务合同的依据。</w:t>
      </w: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21"/>
      </w:rPr>
    </w:pPr>
    <w:r>
      <w:fldChar w:fldCharType="begin"/>
    </w:r>
    <w:r>
      <w:rPr>
        <w:rStyle w:val="21"/>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67763"/>
    <w:rsid w:val="00072862"/>
    <w:rsid w:val="00074FB3"/>
    <w:rsid w:val="000978ED"/>
    <w:rsid w:val="000A4F21"/>
    <w:rsid w:val="000B3E2A"/>
    <w:rsid w:val="000B589D"/>
    <w:rsid w:val="000B5EB2"/>
    <w:rsid w:val="000C23C1"/>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1F6855"/>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A56AC"/>
    <w:rsid w:val="002B224D"/>
    <w:rsid w:val="002B5B45"/>
    <w:rsid w:val="002B7C35"/>
    <w:rsid w:val="002C11A4"/>
    <w:rsid w:val="002C473B"/>
    <w:rsid w:val="002C7169"/>
    <w:rsid w:val="002D4275"/>
    <w:rsid w:val="002D6B57"/>
    <w:rsid w:val="002D7374"/>
    <w:rsid w:val="002E4315"/>
    <w:rsid w:val="002E6413"/>
    <w:rsid w:val="002F05A0"/>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6F5B"/>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66AA2"/>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24AEC"/>
    <w:rsid w:val="00532A4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34EAF"/>
    <w:rsid w:val="006419F0"/>
    <w:rsid w:val="00643BAB"/>
    <w:rsid w:val="00643BDF"/>
    <w:rsid w:val="00643D39"/>
    <w:rsid w:val="00650ABD"/>
    <w:rsid w:val="006532B9"/>
    <w:rsid w:val="00657E80"/>
    <w:rsid w:val="006600AE"/>
    <w:rsid w:val="00662101"/>
    <w:rsid w:val="00665305"/>
    <w:rsid w:val="00667986"/>
    <w:rsid w:val="00676612"/>
    <w:rsid w:val="0068337D"/>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56DEF"/>
    <w:rsid w:val="007572B3"/>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15EDF"/>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30B74"/>
    <w:rsid w:val="00952043"/>
    <w:rsid w:val="00953FD6"/>
    <w:rsid w:val="009567AA"/>
    <w:rsid w:val="00975662"/>
    <w:rsid w:val="00982BE7"/>
    <w:rsid w:val="00987145"/>
    <w:rsid w:val="00992170"/>
    <w:rsid w:val="009945FA"/>
    <w:rsid w:val="009B6342"/>
    <w:rsid w:val="009D6355"/>
    <w:rsid w:val="009E37A4"/>
    <w:rsid w:val="009E6A8E"/>
    <w:rsid w:val="009F2634"/>
    <w:rsid w:val="009F7405"/>
    <w:rsid w:val="00A03B59"/>
    <w:rsid w:val="00A10168"/>
    <w:rsid w:val="00A14DD7"/>
    <w:rsid w:val="00A20585"/>
    <w:rsid w:val="00A23F96"/>
    <w:rsid w:val="00A25BA6"/>
    <w:rsid w:val="00A32376"/>
    <w:rsid w:val="00A37C1E"/>
    <w:rsid w:val="00A37EF9"/>
    <w:rsid w:val="00A456C6"/>
    <w:rsid w:val="00A46021"/>
    <w:rsid w:val="00A52380"/>
    <w:rsid w:val="00A6307D"/>
    <w:rsid w:val="00A67616"/>
    <w:rsid w:val="00A77FC1"/>
    <w:rsid w:val="00A839BA"/>
    <w:rsid w:val="00A914CA"/>
    <w:rsid w:val="00A92BEF"/>
    <w:rsid w:val="00A978E5"/>
    <w:rsid w:val="00AB3E6C"/>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A502F"/>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CE2109"/>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2548"/>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87456"/>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3471"/>
    <w:rsid w:val="00F55AA7"/>
    <w:rsid w:val="00F60A40"/>
    <w:rsid w:val="00F673D3"/>
    <w:rsid w:val="00F6764A"/>
    <w:rsid w:val="00F71B67"/>
    <w:rsid w:val="00F72BBE"/>
    <w:rsid w:val="00F86AB7"/>
    <w:rsid w:val="00FA4BEB"/>
    <w:rsid w:val="00FC011A"/>
    <w:rsid w:val="00FE0327"/>
    <w:rsid w:val="00FE4AAE"/>
    <w:rsid w:val="00FE55F5"/>
    <w:rsid w:val="00FF6106"/>
    <w:rsid w:val="017442FA"/>
    <w:rsid w:val="017862E5"/>
    <w:rsid w:val="018C519F"/>
    <w:rsid w:val="0215299B"/>
    <w:rsid w:val="028B3ADB"/>
    <w:rsid w:val="0434219B"/>
    <w:rsid w:val="044E0E32"/>
    <w:rsid w:val="05997E8B"/>
    <w:rsid w:val="05DB25D5"/>
    <w:rsid w:val="066D3445"/>
    <w:rsid w:val="08964B56"/>
    <w:rsid w:val="08C83CB5"/>
    <w:rsid w:val="097D7547"/>
    <w:rsid w:val="09902C2B"/>
    <w:rsid w:val="09A836C3"/>
    <w:rsid w:val="0A22728F"/>
    <w:rsid w:val="0A9926DB"/>
    <w:rsid w:val="0B496933"/>
    <w:rsid w:val="0C3721EC"/>
    <w:rsid w:val="0CEC11E8"/>
    <w:rsid w:val="0CFD51A3"/>
    <w:rsid w:val="0D7A240F"/>
    <w:rsid w:val="0D8317A3"/>
    <w:rsid w:val="0FB06655"/>
    <w:rsid w:val="10912321"/>
    <w:rsid w:val="10C81F6C"/>
    <w:rsid w:val="117D51EB"/>
    <w:rsid w:val="11BE5B42"/>
    <w:rsid w:val="13A26E3E"/>
    <w:rsid w:val="13AE369B"/>
    <w:rsid w:val="144F1BCA"/>
    <w:rsid w:val="14FD6A90"/>
    <w:rsid w:val="15455939"/>
    <w:rsid w:val="15B12877"/>
    <w:rsid w:val="16D36F75"/>
    <w:rsid w:val="16FC64CC"/>
    <w:rsid w:val="172E31C9"/>
    <w:rsid w:val="17C3509D"/>
    <w:rsid w:val="188E2401"/>
    <w:rsid w:val="19E54DD6"/>
    <w:rsid w:val="19FA75E5"/>
    <w:rsid w:val="1A07140F"/>
    <w:rsid w:val="1A7D2861"/>
    <w:rsid w:val="1AB968D0"/>
    <w:rsid w:val="1B451A26"/>
    <w:rsid w:val="1BB90E2F"/>
    <w:rsid w:val="1D444728"/>
    <w:rsid w:val="1E1D38F7"/>
    <w:rsid w:val="1E4F7829"/>
    <w:rsid w:val="1F9951FF"/>
    <w:rsid w:val="201D3E7D"/>
    <w:rsid w:val="202D76F6"/>
    <w:rsid w:val="20746BB2"/>
    <w:rsid w:val="216715D2"/>
    <w:rsid w:val="21E64000"/>
    <w:rsid w:val="220245C0"/>
    <w:rsid w:val="22FB1D2D"/>
    <w:rsid w:val="23E9602A"/>
    <w:rsid w:val="242B03F0"/>
    <w:rsid w:val="24A7710A"/>
    <w:rsid w:val="24F13006"/>
    <w:rsid w:val="26E533CB"/>
    <w:rsid w:val="28B74CCD"/>
    <w:rsid w:val="28F04610"/>
    <w:rsid w:val="295D104C"/>
    <w:rsid w:val="29B665AC"/>
    <w:rsid w:val="29D15596"/>
    <w:rsid w:val="2A7725E1"/>
    <w:rsid w:val="2B473D61"/>
    <w:rsid w:val="2BED6535"/>
    <w:rsid w:val="2CB01DDA"/>
    <w:rsid w:val="2D460049"/>
    <w:rsid w:val="2D7C3A6A"/>
    <w:rsid w:val="30C12D3E"/>
    <w:rsid w:val="3163566D"/>
    <w:rsid w:val="31C87B06"/>
    <w:rsid w:val="31D8203D"/>
    <w:rsid w:val="31FA2FC3"/>
    <w:rsid w:val="3248523C"/>
    <w:rsid w:val="32B51EF8"/>
    <w:rsid w:val="353327D7"/>
    <w:rsid w:val="35A3072E"/>
    <w:rsid w:val="35BA60CE"/>
    <w:rsid w:val="387719FE"/>
    <w:rsid w:val="38CA49CD"/>
    <w:rsid w:val="39D54C2E"/>
    <w:rsid w:val="3A23599A"/>
    <w:rsid w:val="3A731769"/>
    <w:rsid w:val="3AD457B2"/>
    <w:rsid w:val="3B3140E6"/>
    <w:rsid w:val="3B8763FC"/>
    <w:rsid w:val="3C0E61D6"/>
    <w:rsid w:val="3D912B45"/>
    <w:rsid w:val="3DC92B7D"/>
    <w:rsid w:val="3E7013C9"/>
    <w:rsid w:val="3F2D1069"/>
    <w:rsid w:val="404D79B1"/>
    <w:rsid w:val="40CF23D7"/>
    <w:rsid w:val="411058C0"/>
    <w:rsid w:val="413277CA"/>
    <w:rsid w:val="41A31919"/>
    <w:rsid w:val="42507548"/>
    <w:rsid w:val="4359242C"/>
    <w:rsid w:val="4488092A"/>
    <w:rsid w:val="457F75CA"/>
    <w:rsid w:val="46412B93"/>
    <w:rsid w:val="471A6376"/>
    <w:rsid w:val="495E1E55"/>
    <w:rsid w:val="4A6C57DD"/>
    <w:rsid w:val="4A842484"/>
    <w:rsid w:val="4ACE4B79"/>
    <w:rsid w:val="4ADA413D"/>
    <w:rsid w:val="4C811ECE"/>
    <w:rsid w:val="4C8E75EA"/>
    <w:rsid w:val="4CD64AED"/>
    <w:rsid w:val="4DEA6AA2"/>
    <w:rsid w:val="4DF74D1B"/>
    <w:rsid w:val="505E5526"/>
    <w:rsid w:val="506A211C"/>
    <w:rsid w:val="50C025FA"/>
    <w:rsid w:val="51CA3B38"/>
    <w:rsid w:val="533C00AE"/>
    <w:rsid w:val="53425821"/>
    <w:rsid w:val="543D7D43"/>
    <w:rsid w:val="54413194"/>
    <w:rsid w:val="554E608A"/>
    <w:rsid w:val="56D36709"/>
    <w:rsid w:val="56EB5013"/>
    <w:rsid w:val="57A557E8"/>
    <w:rsid w:val="57DD4F82"/>
    <w:rsid w:val="59337A15"/>
    <w:rsid w:val="5A865DA5"/>
    <w:rsid w:val="5B062A42"/>
    <w:rsid w:val="5B3B1FAA"/>
    <w:rsid w:val="5BEE021E"/>
    <w:rsid w:val="5BF22FC6"/>
    <w:rsid w:val="5CF8252C"/>
    <w:rsid w:val="5D0631CD"/>
    <w:rsid w:val="5D215911"/>
    <w:rsid w:val="5DBF70F0"/>
    <w:rsid w:val="5DF23B2E"/>
    <w:rsid w:val="5DFB6572"/>
    <w:rsid w:val="5E7C394C"/>
    <w:rsid w:val="5F4578E7"/>
    <w:rsid w:val="5F4E26F5"/>
    <w:rsid w:val="60511ABB"/>
    <w:rsid w:val="60DB04CD"/>
    <w:rsid w:val="62173015"/>
    <w:rsid w:val="6228716A"/>
    <w:rsid w:val="62652744"/>
    <w:rsid w:val="63A20CFF"/>
    <w:rsid w:val="63F83144"/>
    <w:rsid w:val="64754794"/>
    <w:rsid w:val="66DC6D4D"/>
    <w:rsid w:val="6802228D"/>
    <w:rsid w:val="68B735CD"/>
    <w:rsid w:val="68FC7232"/>
    <w:rsid w:val="6A400653"/>
    <w:rsid w:val="6A7F45BF"/>
    <w:rsid w:val="6B5A68F5"/>
    <w:rsid w:val="6B7E52FC"/>
    <w:rsid w:val="6BB048D1"/>
    <w:rsid w:val="6BBF5D79"/>
    <w:rsid w:val="6BC9041D"/>
    <w:rsid w:val="6DAB7F02"/>
    <w:rsid w:val="6F891882"/>
    <w:rsid w:val="719E17CE"/>
    <w:rsid w:val="71CD20B4"/>
    <w:rsid w:val="72567DE8"/>
    <w:rsid w:val="72C16AF2"/>
    <w:rsid w:val="72FA6ED8"/>
    <w:rsid w:val="73A76E7D"/>
    <w:rsid w:val="74A23383"/>
    <w:rsid w:val="75730384"/>
    <w:rsid w:val="76816FC9"/>
    <w:rsid w:val="78401AE9"/>
    <w:rsid w:val="7ACC16A0"/>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9"/>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6"/>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5"/>
    <w:semiHidden/>
    <w:unhideWhenUsed/>
    <w:qFormat/>
    <w:uiPriority w:val="99"/>
    <w:rPr>
      <w:rFonts w:ascii="宋体"/>
      <w:sz w:val="18"/>
      <w:szCs w:val="18"/>
    </w:rPr>
  </w:style>
  <w:style w:type="paragraph" w:styleId="7">
    <w:name w:val="annotation text"/>
    <w:basedOn w:val="1"/>
    <w:link w:val="45"/>
    <w:unhideWhenUsed/>
    <w:qFormat/>
    <w:uiPriority w:val="99"/>
    <w:pPr>
      <w:jc w:val="left"/>
    </w:pPr>
  </w:style>
  <w:style w:type="paragraph" w:styleId="8">
    <w:name w:val="Body Text"/>
    <w:basedOn w:val="1"/>
    <w:next w:val="1"/>
    <w:link w:val="37"/>
    <w:qFormat/>
    <w:uiPriority w:val="0"/>
    <w:pPr>
      <w:spacing w:after="120"/>
    </w:pPr>
    <w:rPr>
      <w:rFonts w:ascii="Times New Roman" w:hAnsi="Times New Roman"/>
      <w:szCs w:val="24"/>
    </w:rPr>
  </w:style>
  <w:style w:type="paragraph" w:styleId="9">
    <w:name w:val="Body Text Indent"/>
    <w:basedOn w:val="1"/>
    <w:next w:val="10"/>
    <w:unhideWhenUsed/>
    <w:qFormat/>
    <w:uiPriority w:val="99"/>
    <w:pPr>
      <w:spacing w:after="120"/>
      <w:ind w:left="420" w:leftChars="200"/>
    </w:pPr>
  </w:style>
  <w:style w:type="paragraph" w:styleId="10">
    <w:name w:val="Body Text Indent 2"/>
    <w:basedOn w:val="1"/>
    <w:link w:val="41"/>
    <w:qFormat/>
    <w:uiPriority w:val="99"/>
    <w:pPr>
      <w:spacing w:after="120" w:line="480" w:lineRule="auto"/>
      <w:ind w:left="420" w:leftChars="200"/>
    </w:pPr>
    <w:rPr>
      <w:kern w:val="0"/>
      <w:sz w:val="24"/>
    </w:rPr>
  </w:style>
  <w:style w:type="paragraph" w:styleId="11">
    <w:name w:val="Plain Text"/>
    <w:basedOn w:val="1"/>
    <w:link w:val="30"/>
    <w:qFormat/>
    <w:uiPriority w:val="0"/>
    <w:rPr>
      <w:rFonts w:ascii="宋体" w:hAnsi="Courier New"/>
      <w:kern w:val="0"/>
      <w:szCs w:val="20"/>
    </w:rPr>
  </w:style>
  <w:style w:type="paragraph" w:styleId="12">
    <w:name w:val="Date"/>
    <w:basedOn w:val="1"/>
    <w:next w:val="1"/>
    <w:link w:val="27"/>
    <w:semiHidden/>
    <w:unhideWhenUsed/>
    <w:qFormat/>
    <w:uiPriority w:val="99"/>
    <w:pPr>
      <w:ind w:left="100" w:leftChars="2500"/>
    </w:pPr>
  </w:style>
  <w:style w:type="paragraph" w:styleId="13">
    <w:name w:val="footer"/>
    <w:basedOn w:val="1"/>
    <w:link w:val="24"/>
    <w:unhideWhenUsed/>
    <w:qFormat/>
    <w:uiPriority w:val="99"/>
    <w:pPr>
      <w:tabs>
        <w:tab w:val="center" w:pos="4153"/>
        <w:tab w:val="right" w:pos="8306"/>
      </w:tabs>
      <w:snapToGrid w:val="0"/>
      <w:jc w:val="left"/>
    </w:pPr>
    <w:rPr>
      <w:sz w:val="18"/>
      <w:szCs w:val="18"/>
    </w:rPr>
  </w:style>
  <w:style w:type="paragraph" w:styleId="14">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annotation subject"/>
    <w:basedOn w:val="7"/>
    <w:next w:val="7"/>
    <w:link w:val="46"/>
    <w:semiHidden/>
    <w:unhideWhenUsed/>
    <w:qFormat/>
    <w:uiPriority w:val="99"/>
    <w:rPr>
      <w:b/>
      <w:bCs/>
    </w:rPr>
  </w:style>
  <w:style w:type="paragraph" w:styleId="17">
    <w:name w:val="Body Text First Indent 2"/>
    <w:basedOn w:val="9"/>
    <w:next w:val="1"/>
    <w:unhideWhenUsed/>
    <w:qFormat/>
    <w:uiPriority w:val="99"/>
    <w:pPr>
      <w:spacing w:before="100" w:beforeAutospacing="1"/>
      <w:ind w:firstLine="420"/>
    </w:pPr>
    <w:rPr>
      <w:szCs w:val="21"/>
    </w:rPr>
  </w:style>
  <w:style w:type="table" w:styleId="19">
    <w:name w:val="Table Grid"/>
    <w:basedOn w:val="18"/>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annotation reference"/>
    <w:basedOn w:val="20"/>
    <w:semiHidden/>
    <w:unhideWhenUsed/>
    <w:qFormat/>
    <w:uiPriority w:val="99"/>
    <w:rPr>
      <w:sz w:val="21"/>
      <w:szCs w:val="21"/>
    </w:rPr>
  </w:style>
  <w:style w:type="character" w:customStyle="1" w:styleId="23">
    <w:name w:val="页眉 字符"/>
    <w:basedOn w:val="20"/>
    <w:link w:val="14"/>
    <w:qFormat/>
    <w:uiPriority w:val="0"/>
    <w:rPr>
      <w:rFonts w:ascii="Calibri" w:hAnsi="Calibri" w:eastAsia="宋体" w:cs="Times New Roman"/>
      <w:sz w:val="18"/>
      <w:szCs w:val="18"/>
    </w:rPr>
  </w:style>
  <w:style w:type="character" w:customStyle="1" w:styleId="24">
    <w:name w:val="页脚 字符"/>
    <w:basedOn w:val="20"/>
    <w:link w:val="13"/>
    <w:qFormat/>
    <w:uiPriority w:val="99"/>
    <w:rPr>
      <w:rFonts w:ascii="Calibri" w:hAnsi="Calibri" w:eastAsia="宋体" w:cs="Times New Roman"/>
      <w:sz w:val="18"/>
      <w:szCs w:val="18"/>
    </w:rPr>
  </w:style>
  <w:style w:type="character" w:customStyle="1" w:styleId="25">
    <w:name w:val="文档结构图 字符"/>
    <w:basedOn w:val="20"/>
    <w:link w:val="6"/>
    <w:semiHidden/>
    <w:qFormat/>
    <w:uiPriority w:val="99"/>
    <w:rPr>
      <w:rFonts w:ascii="宋体" w:hAnsi="Calibri" w:eastAsia="宋体" w:cs="Times New Roman"/>
      <w:sz w:val="18"/>
      <w:szCs w:val="18"/>
    </w:rPr>
  </w:style>
  <w:style w:type="paragraph" w:customStyle="1" w:styleId="26">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7">
    <w:name w:val="日期 字符"/>
    <w:basedOn w:val="20"/>
    <w:link w:val="12"/>
    <w:semiHidden/>
    <w:qFormat/>
    <w:uiPriority w:val="99"/>
    <w:rPr>
      <w:rFonts w:ascii="Calibri" w:hAnsi="Calibri" w:eastAsia="宋体" w:cs="Times New Roman"/>
    </w:rPr>
  </w:style>
  <w:style w:type="paragraph" w:customStyle="1" w:styleId="28">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9">
    <w:name w:val="标题 1 字符"/>
    <w:basedOn w:val="20"/>
    <w:link w:val="2"/>
    <w:qFormat/>
    <w:uiPriority w:val="0"/>
    <w:rPr>
      <w:rFonts w:ascii="Cambria" w:hAnsi="Cambria" w:eastAsia="华文中宋" w:cs="Times New Roman"/>
      <w:b/>
      <w:bCs/>
      <w:sz w:val="44"/>
      <w:szCs w:val="28"/>
    </w:rPr>
  </w:style>
  <w:style w:type="character" w:customStyle="1" w:styleId="30">
    <w:name w:val="纯文本 字符"/>
    <w:link w:val="11"/>
    <w:qFormat/>
    <w:locked/>
    <w:uiPriority w:val="0"/>
    <w:rPr>
      <w:rFonts w:ascii="宋体" w:hAnsi="Courier New"/>
      <w:sz w:val="21"/>
    </w:rPr>
  </w:style>
  <w:style w:type="character" w:customStyle="1" w:styleId="31">
    <w:name w:val="纯文本 Char"/>
    <w:basedOn w:val="20"/>
    <w:semiHidden/>
    <w:qFormat/>
    <w:uiPriority w:val="99"/>
    <w:rPr>
      <w:rFonts w:ascii="宋体" w:hAnsi="Courier New" w:cs="Courier New"/>
      <w:kern w:val="2"/>
      <w:sz w:val="21"/>
      <w:szCs w:val="21"/>
    </w:rPr>
  </w:style>
  <w:style w:type="character" w:customStyle="1" w:styleId="32">
    <w:name w:val="标题 2 字符"/>
    <w:basedOn w:val="20"/>
    <w:link w:val="3"/>
    <w:semiHidden/>
    <w:qFormat/>
    <w:uiPriority w:val="9"/>
    <w:rPr>
      <w:rFonts w:asciiTheme="majorHAnsi" w:hAnsiTheme="majorHAnsi" w:eastAsiaTheme="majorEastAsia" w:cstheme="majorBidi"/>
      <w:b/>
      <w:bCs/>
      <w:kern w:val="2"/>
      <w:sz w:val="32"/>
      <w:szCs w:val="32"/>
    </w:rPr>
  </w:style>
  <w:style w:type="paragraph" w:customStyle="1" w:styleId="33">
    <w:name w:val="Table Paragraph"/>
    <w:basedOn w:val="1"/>
    <w:qFormat/>
    <w:uiPriority w:val="1"/>
  </w:style>
  <w:style w:type="paragraph" w:customStyle="1" w:styleId="34">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Char1 Char Char Char Char Char Char Char"/>
    <w:basedOn w:val="1"/>
    <w:qFormat/>
    <w:uiPriority w:val="0"/>
    <w:rPr>
      <w:rFonts w:ascii="Tahoma" w:hAnsi="Tahoma"/>
      <w:sz w:val="24"/>
      <w:szCs w:val="20"/>
    </w:rPr>
  </w:style>
  <w:style w:type="character" w:customStyle="1" w:styleId="36">
    <w:name w:val="标题 6 字符"/>
    <w:basedOn w:val="20"/>
    <w:link w:val="4"/>
    <w:qFormat/>
    <w:uiPriority w:val="9"/>
    <w:rPr>
      <w:rFonts w:asciiTheme="majorHAnsi" w:hAnsiTheme="majorHAnsi" w:eastAsiaTheme="majorEastAsia" w:cstheme="majorBidi"/>
      <w:b/>
      <w:bCs/>
      <w:kern w:val="2"/>
      <w:sz w:val="24"/>
      <w:szCs w:val="24"/>
    </w:rPr>
  </w:style>
  <w:style w:type="character" w:customStyle="1" w:styleId="37">
    <w:name w:val="正文文本 字符"/>
    <w:basedOn w:val="20"/>
    <w:link w:val="8"/>
    <w:qFormat/>
    <w:uiPriority w:val="0"/>
    <w:rPr>
      <w:kern w:val="2"/>
      <w:sz w:val="21"/>
      <w:szCs w:val="24"/>
    </w:rPr>
  </w:style>
  <w:style w:type="paragraph" w:styleId="38">
    <w:name w:val="List Paragraph"/>
    <w:basedOn w:val="1"/>
    <w:qFormat/>
    <w:uiPriority w:val="34"/>
    <w:pPr>
      <w:ind w:firstLine="420" w:firstLineChars="200"/>
    </w:pPr>
    <w:rPr>
      <w:rFonts w:ascii="Times New Roman" w:hAnsi="Times New Roman"/>
      <w:szCs w:val="24"/>
    </w:rPr>
  </w:style>
  <w:style w:type="paragraph" w:customStyle="1" w:styleId="39">
    <w:name w:val="样式 宋体1"/>
    <w:basedOn w:val="1"/>
    <w:qFormat/>
    <w:uiPriority w:val="0"/>
    <w:pPr>
      <w:ind w:firstLine="420" w:firstLineChars="200"/>
      <w:jc w:val="left"/>
    </w:pPr>
    <w:rPr>
      <w:rFonts w:ascii="宋体" w:hAnsi="宋体" w:eastAsia="等线" w:cs="宋体"/>
      <w:szCs w:val="20"/>
    </w:rPr>
  </w:style>
  <w:style w:type="paragraph" w:customStyle="1" w:styleId="40">
    <w:name w:val="Normal_1"/>
    <w:qFormat/>
    <w:uiPriority w:val="0"/>
    <w:rPr>
      <w:rFonts w:ascii="Calibri" w:hAnsi="Calibri" w:eastAsia="宋体" w:cs="Times New Roman"/>
      <w:sz w:val="24"/>
      <w:szCs w:val="24"/>
      <w:lang w:val="en-US" w:eastAsia="zh-CN" w:bidi="ar-SA"/>
    </w:rPr>
  </w:style>
  <w:style w:type="character" w:customStyle="1" w:styleId="41">
    <w:name w:val="正文文本缩进 2 字符"/>
    <w:link w:val="10"/>
    <w:qFormat/>
    <w:uiPriority w:val="99"/>
    <w:rPr>
      <w:rFonts w:ascii="Calibri" w:hAnsi="Calibri"/>
      <w:sz w:val="24"/>
      <w:szCs w:val="22"/>
    </w:rPr>
  </w:style>
  <w:style w:type="paragraph" w:customStyle="1" w:styleId="42">
    <w:name w:val="01 文件标题"/>
    <w:basedOn w:val="1"/>
    <w:next w:val="1"/>
    <w:qFormat/>
    <w:uiPriority w:val="0"/>
    <w:pPr>
      <w:spacing w:line="560" w:lineRule="exact"/>
      <w:jc w:val="center"/>
    </w:pPr>
    <w:rPr>
      <w:rFonts w:ascii="方正小标宋简体" w:eastAsia="方正小标宋简体"/>
      <w:sz w:val="44"/>
    </w:rPr>
  </w:style>
  <w:style w:type="paragraph" w:customStyle="1" w:styleId="43">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4">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5">
    <w:name w:val="批注文字 字符"/>
    <w:basedOn w:val="20"/>
    <w:link w:val="7"/>
    <w:qFormat/>
    <w:uiPriority w:val="99"/>
    <w:rPr>
      <w:rFonts w:ascii="Calibri" w:hAnsi="Calibri"/>
      <w:kern w:val="2"/>
      <w:sz w:val="21"/>
      <w:szCs w:val="22"/>
    </w:rPr>
  </w:style>
  <w:style w:type="character" w:customStyle="1" w:styleId="46">
    <w:name w:val="批注主题 字符"/>
    <w:basedOn w:val="45"/>
    <w:link w:val="16"/>
    <w:semiHidden/>
    <w:qFormat/>
    <w:uiPriority w:val="99"/>
    <w:rPr>
      <w:rFonts w:ascii="Calibri" w:hAnsi="Calibri"/>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F6314-4D2C-48DC-88F0-88B06687F75C}">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3328</Words>
  <Characters>3536</Characters>
  <Lines>47</Lines>
  <Paragraphs>13</Paragraphs>
  <TotalTime>0</TotalTime>
  <ScaleCrop>false</ScaleCrop>
  <LinksUpToDate>false</LinksUpToDate>
  <CharactersWithSpaces>3694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2026-06-23T03:27:06Z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40292E957483450BAB2F45BE89F1ED32</vt:lpwstr>
  </property>
  <property fmtid="{D5CDD505-2E9C-101B-9397-08002B2CF9AE}" pid="4" name="KSOTemplateDocerSaveRecord">
    <vt:lpwstr>eyJoZGlkIjoiNjExNjA1MzY4NDcxNDhlNGIwYWUzMzQ5YTk5ZTk5ZTUiLCJ1c2VySWQiOiI0OTQ3NjU2MzMifQ==</vt:lpwstr>
  </property>
</Properties>
</file>