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附件2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157" w:afterLines="50" w:line="240" w:lineRule="auto"/>
        <w:jc w:val="center"/>
        <w:textAlignment w:val="baseline"/>
        <w:rPr>
          <w:rFonts w:hint="eastAsia" w:ascii="仿宋_GB2312" w:eastAsia="仿宋_GB2312"/>
          <w:b/>
          <w:spacing w:val="22"/>
          <w:w w:val="75"/>
          <w:sz w:val="36"/>
          <w:szCs w:val="36"/>
        </w:rPr>
      </w:pPr>
      <w:r>
        <w:rPr>
          <w:rFonts w:hint="eastAsia" w:ascii="仿宋_GB2312" w:eastAsia="仿宋_GB2312"/>
          <w:b/>
          <w:spacing w:val="22"/>
          <w:w w:val="75"/>
          <w:sz w:val="36"/>
          <w:szCs w:val="36"/>
        </w:rPr>
        <w:t>湖南</w:t>
      </w:r>
      <w:r>
        <w:rPr>
          <w:rFonts w:hint="eastAsia" w:ascii="仿宋_GB2312" w:eastAsia="仿宋_GB2312"/>
          <w:b/>
          <w:spacing w:val="22"/>
          <w:w w:val="75"/>
          <w:sz w:val="36"/>
          <w:szCs w:val="36"/>
          <w:lang w:val="en-US" w:eastAsia="zh-CN"/>
        </w:rPr>
        <w:t>铁道</w:t>
      </w:r>
      <w:r>
        <w:rPr>
          <w:rFonts w:hint="eastAsia" w:ascii="仿宋_GB2312" w:eastAsia="仿宋_GB2312"/>
          <w:b/>
          <w:spacing w:val="22"/>
          <w:w w:val="75"/>
          <w:sz w:val="36"/>
          <w:szCs w:val="36"/>
        </w:rPr>
        <w:t>职业技术学院转专业</w:t>
      </w:r>
      <w:r>
        <w:rPr>
          <w:rFonts w:hint="eastAsia" w:ascii="仿宋_GB2312" w:eastAsia="仿宋_GB2312"/>
          <w:b/>
          <w:spacing w:val="22"/>
          <w:w w:val="75"/>
          <w:sz w:val="36"/>
          <w:szCs w:val="36"/>
          <w:lang w:val="en-US" w:eastAsia="zh-CN"/>
        </w:rPr>
        <w:t>申请</w:t>
      </w:r>
      <w:r>
        <w:rPr>
          <w:rFonts w:hint="eastAsia" w:ascii="仿宋_GB2312" w:eastAsia="仿宋_GB2312"/>
          <w:b/>
          <w:spacing w:val="22"/>
          <w:w w:val="75"/>
          <w:sz w:val="36"/>
          <w:szCs w:val="36"/>
        </w:rPr>
        <w:t>表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center"/>
        <w:textAlignment w:val="baseline"/>
        <w:rPr>
          <w:rFonts w:hint="default" w:ascii="仿宋_GB2312" w:eastAsia="仿宋_GB2312"/>
          <w:b/>
          <w:spacing w:val="22"/>
          <w:w w:val="75"/>
          <w:sz w:val="24"/>
          <w:szCs w:val="24"/>
          <w:lang w:val="en-US" w:eastAsia="zh-CN"/>
        </w:rPr>
      </w:pPr>
      <w:r>
        <w:rPr>
          <w:rFonts w:hint="eastAsia" w:ascii="仿宋_GB2312" w:eastAsia="仿宋_GB2312"/>
          <w:b/>
          <w:spacing w:val="22"/>
          <w:w w:val="75"/>
          <w:sz w:val="24"/>
          <w:szCs w:val="24"/>
          <w:lang w:val="en-US" w:eastAsia="zh-CN"/>
        </w:rPr>
        <w:t xml:space="preserve">                                      编号：</w:t>
      </w:r>
      <w:r>
        <w:rPr>
          <w:rFonts w:hint="eastAsia" w:ascii="仿宋_GB2312" w:eastAsia="仿宋_GB2312"/>
          <w:b/>
          <w:spacing w:val="22"/>
          <w:w w:val="75"/>
          <w:sz w:val="24"/>
          <w:szCs w:val="24"/>
          <w:u w:val="single"/>
          <w:lang w:val="en-US" w:eastAsia="zh-CN"/>
        </w:rPr>
        <w:t xml:space="preserve">          </w:t>
      </w:r>
    </w:p>
    <w:tbl>
      <w:tblPr>
        <w:tblStyle w:val="4"/>
        <w:tblW w:w="91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320"/>
        <w:gridCol w:w="690"/>
        <w:gridCol w:w="162"/>
        <w:gridCol w:w="438"/>
        <w:gridCol w:w="648"/>
        <w:gridCol w:w="492"/>
        <w:gridCol w:w="594"/>
        <w:gridCol w:w="666"/>
        <w:gridCol w:w="420"/>
        <w:gridCol w:w="630"/>
        <w:gridCol w:w="456"/>
        <w:gridCol w:w="10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   名</w:t>
            </w:r>
          </w:p>
        </w:tc>
        <w:tc>
          <w:tcPr>
            <w:tcW w:w="132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69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性别</w:t>
            </w:r>
          </w:p>
        </w:tc>
        <w:tc>
          <w:tcPr>
            <w:tcW w:w="60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14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入学时间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</w:t>
            </w:r>
            <w:r>
              <w:rPr>
                <w:rFonts w:hint="eastAsia" w:ascii="仿宋_GB2312" w:eastAsia="仿宋_GB231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</w:rPr>
              <w:t>号</w:t>
            </w:r>
          </w:p>
        </w:tc>
        <w:tc>
          <w:tcPr>
            <w:tcW w:w="154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现读专业</w:t>
            </w:r>
          </w:p>
        </w:tc>
        <w:tc>
          <w:tcPr>
            <w:tcW w:w="20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74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现读班级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rPr>
                <w:rFonts w:hint="eastAsia" w:ascii="仿宋_GB2312" w:eastAsia="仿宋_GB2312"/>
                <w:sz w:val="18"/>
                <w:szCs w:val="18"/>
              </w:rPr>
            </w:pPr>
          </w:p>
        </w:tc>
        <w:tc>
          <w:tcPr>
            <w:tcW w:w="2595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sym w:font="Wingdings" w:char="00A8"/>
            </w:r>
            <w:r>
              <w:rPr>
                <w:rFonts w:hint="eastAsia" w:ascii="仿宋_GB2312" w:eastAsia="仿宋_GB2312"/>
                <w:lang w:val="en-US" w:eastAsia="zh-CN"/>
              </w:rPr>
              <w:t xml:space="preserve">统一招生 </w:t>
            </w:r>
            <w:r>
              <w:rPr>
                <w:rFonts w:hint="eastAsia" w:ascii="仿宋_GB2312" w:eastAsia="仿宋_GB2312"/>
                <w:lang w:val="en-US" w:eastAsia="zh-CN"/>
              </w:rPr>
              <w:sym w:font="Wingdings" w:char="00A8"/>
            </w:r>
            <w:r>
              <w:rPr>
                <w:rFonts w:hint="eastAsia" w:ascii="仿宋_GB2312" w:eastAsia="仿宋_GB2312"/>
                <w:lang w:val="en-US" w:eastAsia="zh-CN"/>
              </w:rPr>
              <w:t>单独招生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申请</w:t>
            </w:r>
            <w:r>
              <w:rPr>
                <w:rFonts w:hint="eastAsia" w:ascii="仿宋_GB2312" w:eastAsia="仿宋_GB2312"/>
              </w:rPr>
              <w:t>转入</w:t>
            </w:r>
            <w:r>
              <w:rPr>
                <w:rFonts w:hint="eastAsia" w:ascii="仿宋_GB2312" w:eastAsia="仿宋_GB2312"/>
                <w:lang w:eastAsia="zh-CN"/>
              </w:rPr>
              <w:t>学院</w:t>
            </w:r>
          </w:p>
        </w:tc>
        <w:tc>
          <w:tcPr>
            <w:tcW w:w="20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74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申请</w:t>
            </w:r>
            <w:r>
              <w:rPr>
                <w:rFonts w:hint="eastAsia" w:ascii="仿宋_GB2312" w:eastAsia="仿宋_GB2312"/>
              </w:rPr>
              <w:t>转入</w:t>
            </w:r>
            <w:r>
              <w:rPr>
                <w:rFonts w:hint="eastAsia" w:ascii="仿宋_GB2312" w:eastAsia="仿宋_GB2312"/>
                <w:lang w:eastAsia="zh-CN"/>
              </w:rPr>
              <w:t>专业</w:t>
            </w:r>
          </w:p>
        </w:tc>
        <w:tc>
          <w:tcPr>
            <w:tcW w:w="3855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0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色盲</w:t>
            </w:r>
            <w:r>
              <w:rPr>
                <w:rFonts w:hint="eastAsia" w:ascii="仿宋_GB2312" w:eastAsia="仿宋_GB2312"/>
                <w:lang w:val="en-US" w:eastAsia="zh-CN"/>
              </w:rPr>
              <w:t>/色弱</w:t>
            </w:r>
          </w:p>
        </w:tc>
        <w:tc>
          <w:tcPr>
            <w:tcW w:w="1320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lang w:val="en-US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24"/>
                <w:lang w:val="en-US" w:eastAsia="zh-CN"/>
              </w:rPr>
              <w:sym w:font="Wingdings" w:char="00A8"/>
            </w:r>
            <w:r>
              <w:rPr>
                <w:rFonts w:hint="eastAsia" w:ascii="仿宋_GB2312" w:eastAsia="仿宋_GB2312"/>
                <w:b w:val="0"/>
                <w:bCs w:val="0"/>
                <w:sz w:val="24"/>
                <w:lang w:val="en-US" w:eastAsia="zh-CN"/>
              </w:rPr>
              <w:t xml:space="preserve">是 </w:t>
            </w:r>
            <w:r>
              <w:rPr>
                <w:rFonts w:hint="eastAsia" w:ascii="仿宋_GB2312" w:eastAsia="仿宋_GB2312"/>
                <w:b w:val="0"/>
                <w:bCs w:val="0"/>
                <w:sz w:val="24"/>
                <w:lang w:val="en-US" w:eastAsia="zh-CN"/>
              </w:rPr>
              <w:sym w:font="Wingdings" w:char="00A8"/>
            </w:r>
            <w:r>
              <w:rPr>
                <w:rFonts w:hint="eastAsia" w:ascii="仿宋_GB2312" w:eastAsia="仿宋_GB2312"/>
                <w:b w:val="0"/>
                <w:bCs w:val="0"/>
                <w:sz w:val="24"/>
                <w:lang w:val="en-US" w:eastAsia="zh-CN"/>
              </w:rPr>
              <w:t>否</w:t>
            </w:r>
          </w:p>
        </w:tc>
        <w:tc>
          <w:tcPr>
            <w:tcW w:w="85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bCs w:val="0"/>
                <w:sz w:val="24"/>
                <w:lang w:val="en-US" w:eastAsia="zh-CN"/>
              </w:rPr>
              <w:t>身高</w:t>
            </w:r>
          </w:p>
        </w:tc>
        <w:tc>
          <w:tcPr>
            <w:tcW w:w="108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b w:val="0"/>
                <w:bCs w:val="0"/>
                <w:sz w:val="24"/>
                <w:lang w:val="en-US" w:eastAsia="zh-CN"/>
              </w:rPr>
            </w:pPr>
          </w:p>
        </w:tc>
        <w:tc>
          <w:tcPr>
            <w:tcW w:w="108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左眼视力</w:t>
            </w:r>
          </w:p>
        </w:tc>
        <w:tc>
          <w:tcPr>
            <w:tcW w:w="108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  <w:tc>
          <w:tcPr>
            <w:tcW w:w="1086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右眼视力</w:t>
            </w:r>
          </w:p>
        </w:tc>
        <w:tc>
          <w:tcPr>
            <w:tcW w:w="1089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4" w:hRule="atLeast"/>
        </w:trPr>
        <w:tc>
          <w:tcPr>
            <w:tcW w:w="156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申请理由</w:t>
            </w:r>
          </w:p>
        </w:tc>
        <w:tc>
          <w:tcPr>
            <w:tcW w:w="7605" w:type="dxa"/>
            <w:gridSpan w:val="12"/>
            <w:noWrap w:val="0"/>
            <w:vAlign w:val="center"/>
          </w:tcPr>
          <w:p>
            <w:pPr>
              <w:widowControl/>
              <w:rPr>
                <w:rFonts w:hint="eastAsia" w:ascii="仿宋_GB2312" w:eastAsia="仿宋_GB2312"/>
              </w:rPr>
            </w:pPr>
          </w:p>
          <w:p>
            <w:pPr>
              <w:widowControl/>
              <w:rPr>
                <w:rFonts w:hint="eastAsia" w:ascii="仿宋_GB2312" w:eastAsia="仿宋_GB2312"/>
              </w:rPr>
            </w:pPr>
          </w:p>
          <w:p>
            <w:pPr>
              <w:ind w:right="420"/>
              <w:rPr>
                <w:rFonts w:hint="eastAsia" w:ascii="仿宋_GB2312" w:eastAsia="仿宋_GB2312"/>
              </w:rPr>
            </w:pPr>
          </w:p>
          <w:p>
            <w:pPr>
              <w:ind w:right="420"/>
              <w:rPr>
                <w:rFonts w:hint="eastAsia" w:ascii="仿宋_GB2312" w:eastAsia="仿宋_GB2312"/>
              </w:rPr>
            </w:pPr>
          </w:p>
          <w:p>
            <w:pPr>
              <w:ind w:right="420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                                                 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_GB2312" w:eastAsia="仿宋_GB2312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学生签名：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电话：      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156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家长意见</w:t>
            </w:r>
          </w:p>
        </w:tc>
        <w:tc>
          <w:tcPr>
            <w:tcW w:w="7605" w:type="dxa"/>
            <w:gridSpan w:val="12"/>
            <w:noWrap w:val="0"/>
            <w:vAlign w:val="center"/>
          </w:tcPr>
          <w:p>
            <w:pPr>
              <w:ind w:right="420"/>
              <w:rPr>
                <w:rFonts w:hint="eastAsia" w:ascii="仿宋_GB2312" w:eastAsia="仿宋_GB2312"/>
              </w:rPr>
            </w:pPr>
          </w:p>
          <w:p>
            <w:pPr>
              <w:ind w:right="420"/>
              <w:rPr>
                <w:rFonts w:hint="eastAsia" w:ascii="仿宋_GB2312" w:eastAsia="仿宋_GB2312"/>
              </w:rPr>
            </w:pPr>
          </w:p>
          <w:p>
            <w:pPr>
              <w:ind w:right="420"/>
              <w:rPr>
                <w:rFonts w:hint="eastAsia" w:ascii="仿宋_GB2312" w:eastAsia="仿宋_GB2312"/>
              </w:rPr>
            </w:pPr>
          </w:p>
          <w:p>
            <w:pPr>
              <w:ind w:right="420"/>
              <w:rPr>
                <w:rFonts w:hint="eastAsia" w:ascii="仿宋_GB2312" w:eastAsia="仿宋_GB2312"/>
              </w:rPr>
            </w:pPr>
          </w:p>
          <w:p>
            <w:pPr>
              <w:ind w:right="420"/>
              <w:jc w:val="both"/>
              <w:rPr>
                <w:rFonts w:hint="eastAsia" w:ascii="仿宋_GB2312" w:eastAsia="仿宋_GB2312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家长签名：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" w:hRule="atLeast"/>
        </w:trPr>
        <w:tc>
          <w:tcPr>
            <w:tcW w:w="156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转出</w:t>
            </w:r>
            <w:r>
              <w:rPr>
                <w:rFonts w:hint="eastAsia" w:ascii="仿宋_GB2312" w:eastAsia="仿宋_GB2312"/>
                <w:lang w:eastAsia="zh-CN"/>
              </w:rPr>
              <w:t>学院</w:t>
            </w:r>
            <w:r>
              <w:rPr>
                <w:rFonts w:hint="eastAsia" w:ascii="仿宋_GB2312" w:eastAsia="仿宋_GB2312"/>
              </w:rPr>
              <w:t>意见</w:t>
            </w:r>
          </w:p>
        </w:tc>
        <w:tc>
          <w:tcPr>
            <w:tcW w:w="7605" w:type="dxa"/>
            <w:gridSpan w:val="12"/>
            <w:noWrap w:val="0"/>
            <w:vAlign w:val="top"/>
          </w:tcPr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textAlignment w:val="baseline"/>
              <w:rPr>
                <w:rFonts w:hint="eastAsia" w:ascii="仿宋_GB2312" w:eastAsia="仿宋_GB2312"/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院长签名（公章）：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年  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月 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156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转</w:t>
            </w:r>
            <w:r>
              <w:rPr>
                <w:rFonts w:hint="eastAsia" w:ascii="仿宋_GB2312" w:eastAsia="仿宋_GB2312"/>
                <w:lang w:val="en-US" w:eastAsia="zh-CN"/>
              </w:rPr>
              <w:t>入</w:t>
            </w:r>
            <w:r>
              <w:rPr>
                <w:rFonts w:hint="eastAsia" w:ascii="仿宋_GB2312" w:eastAsia="仿宋_GB2312"/>
                <w:lang w:eastAsia="zh-CN"/>
              </w:rPr>
              <w:t>学院</w:t>
            </w:r>
            <w:r>
              <w:rPr>
                <w:rFonts w:hint="eastAsia" w:ascii="仿宋_GB2312" w:eastAsia="仿宋_GB2312"/>
              </w:rPr>
              <w:t>意见</w:t>
            </w:r>
          </w:p>
        </w:tc>
        <w:tc>
          <w:tcPr>
            <w:tcW w:w="7605" w:type="dxa"/>
            <w:gridSpan w:val="12"/>
            <w:noWrap w:val="0"/>
            <w:vAlign w:val="top"/>
          </w:tcPr>
          <w:p>
            <w:pPr>
              <w:ind w:firstLine="5670" w:firstLineChars="2700"/>
              <w:rPr>
                <w:rFonts w:hint="eastAsia" w:ascii="仿宋_GB2312" w:eastAsia="仿宋_GB2312"/>
              </w:rPr>
            </w:pPr>
          </w:p>
          <w:p>
            <w:pPr>
              <w:ind w:firstLine="5670" w:firstLineChars="2700"/>
              <w:rPr>
                <w:rFonts w:hint="eastAsia" w:ascii="仿宋_GB2312" w:eastAsia="仿宋_GB2312"/>
              </w:rPr>
            </w:pPr>
          </w:p>
          <w:p>
            <w:pPr>
              <w:ind w:firstLine="5670" w:firstLineChars="2700"/>
              <w:rPr>
                <w:rFonts w:hint="eastAsia" w:ascii="仿宋_GB2312" w:eastAsia="仿宋_GB2312"/>
              </w:rPr>
            </w:pPr>
          </w:p>
          <w:p>
            <w:pPr>
              <w:ind w:firstLine="5670" w:firstLineChars="2700"/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院长签名（公章）：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年  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月 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156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教务处意见</w:t>
            </w:r>
          </w:p>
        </w:tc>
        <w:tc>
          <w:tcPr>
            <w:tcW w:w="7605" w:type="dxa"/>
            <w:gridSpan w:val="12"/>
            <w:noWrap w:val="0"/>
            <w:vAlign w:val="top"/>
          </w:tcPr>
          <w:p>
            <w:pPr>
              <w:ind w:firstLine="5670" w:firstLineChars="2700"/>
              <w:rPr>
                <w:rFonts w:hint="eastAsia" w:ascii="仿宋_GB2312" w:eastAsia="仿宋_GB2312"/>
              </w:rPr>
            </w:pPr>
          </w:p>
          <w:p>
            <w:pPr>
              <w:ind w:firstLine="5670" w:firstLineChars="2700"/>
              <w:rPr>
                <w:rFonts w:hint="eastAsia" w:ascii="仿宋_GB2312" w:eastAsia="仿宋_GB2312"/>
              </w:rPr>
            </w:pPr>
          </w:p>
          <w:p>
            <w:pPr>
              <w:ind w:firstLine="5670" w:firstLineChars="2700"/>
              <w:rPr>
                <w:rFonts w:hint="eastAsia" w:ascii="仿宋_GB2312" w:eastAsia="仿宋_GB2312"/>
              </w:rPr>
            </w:pPr>
          </w:p>
          <w:p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" w:hAnsi="仿宋" w:eastAsia="仿宋" w:cs="仿宋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签名（公章）：   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560" w:type="dxa"/>
            <w:noWrap w:val="0"/>
            <w:vAlign w:val="center"/>
          </w:tcPr>
          <w:p>
            <w:pPr>
              <w:jc w:val="center"/>
              <w:rPr>
                <w:rFonts w:hint="default" w:ascii="仿宋_GB2312" w:eastAsia="仿宋_GB2312"/>
                <w:b/>
                <w:bCs/>
                <w:lang w:val="en-US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备 注</w:t>
            </w:r>
          </w:p>
        </w:tc>
        <w:tc>
          <w:tcPr>
            <w:tcW w:w="7605" w:type="dxa"/>
            <w:gridSpan w:val="1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20" w:lineRule="exact"/>
              <w:jc w:val="both"/>
              <w:textAlignment w:val="baseline"/>
              <w:rPr>
                <w:rFonts w:hint="eastAsia" w:ascii="黑体" w:eastAsia="黑体"/>
                <w:b/>
                <w:sz w:val="24"/>
                <w:u w:val="double"/>
              </w:rPr>
            </w:pPr>
          </w:p>
        </w:tc>
      </w:tr>
    </w:tbl>
    <w:p>
      <w:pPr>
        <w:numPr>
          <w:ilvl w:val="0"/>
          <w:numId w:val="0"/>
        </w:numPr>
        <w:kinsoku w:val="0"/>
        <w:autoSpaceDE w:val="0"/>
        <w:autoSpaceDN w:val="0"/>
        <w:adjustRightInd w:val="0"/>
        <w:snapToGrid w:val="0"/>
        <w:spacing w:after="0" w:line="240" w:lineRule="auto"/>
        <w:jc w:val="left"/>
        <w:textAlignment w:val="baseline"/>
        <w:rPr>
          <w:rFonts w:hint="default" w:ascii="宋体" w:hAnsi="宋体" w:eastAsia="宋体" w:cs="宋体"/>
          <w:b/>
          <w:bCs/>
          <w:color w:val="000000" w:themeColor="text1"/>
          <w:spacing w:val="1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b/>
          <w:bCs/>
          <w:color w:val="000000" w:themeColor="text1"/>
          <w:spacing w:val="1"/>
          <w:sz w:val="18"/>
          <w:szCs w:val="18"/>
          <w14:textFill>
            <w14:solidFill>
              <w14:schemeClr w14:val="tx1"/>
            </w14:solidFill>
          </w14:textFill>
        </w:rPr>
        <w:t>填表说明</w:t>
      </w:r>
      <w:r>
        <w:rPr>
          <w:rFonts w:hint="eastAsia" w:ascii="宋体" w:hAnsi="宋体" w:eastAsia="宋体" w:cs="宋体"/>
          <w:b/>
          <w:bCs/>
          <w:color w:val="000000" w:themeColor="text1"/>
          <w:spacing w:val="1"/>
          <w:sz w:val="18"/>
          <w:szCs w:val="18"/>
          <w:lang w:eastAsia="zh-CN"/>
          <w14:textFill>
            <w14:solidFill>
              <w14:schemeClr w14:val="tx1"/>
            </w14:solidFill>
          </w14:textFill>
        </w:rPr>
        <w:t>：</w:t>
      </w:r>
    </w:p>
    <w:p>
      <w:pPr>
        <w:keepNext w:val="0"/>
        <w:keepLines w:val="0"/>
        <w:widowControl w:val="0"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20" w:lineRule="exact"/>
        <w:ind w:left="0" w:right="0"/>
        <w:jc w:val="both"/>
        <w:textAlignment w:val="baseline"/>
        <w:rPr>
          <w:rFonts w:hint="eastAsia" w:ascii="仿宋" w:hAnsi="仿宋" w:eastAsia="仿宋" w:cs="仿宋"/>
          <w:color w:val="000000"/>
          <w:spacing w:val="1"/>
          <w:kern w:val="0"/>
          <w:sz w:val="18"/>
          <w:szCs w:val="18"/>
          <w:vertAlign w:val="baseline"/>
        </w:rPr>
      </w:pPr>
      <w:r>
        <w:rPr>
          <w:rFonts w:hint="eastAsia" w:ascii="仿宋" w:hAnsi="仿宋" w:eastAsia="仿宋" w:cs="仿宋"/>
          <w:snapToGrid w:val="0"/>
          <w:color w:val="000000"/>
          <w:spacing w:val="1"/>
          <w:kern w:val="0"/>
          <w:sz w:val="18"/>
          <w:szCs w:val="18"/>
          <w:vertAlign w:val="baseline"/>
          <w:lang w:val="en-US" w:eastAsia="zh-CN" w:bidi="ar"/>
        </w:rPr>
        <w:t>1、原则上按录取专业完成三年学习，如遇身体或者其他特殊原因一年级以内可以申请转专业，每个学生只有一次转专业机会。</w:t>
      </w:r>
    </w:p>
    <w:p>
      <w:pPr>
        <w:keepNext w:val="0"/>
        <w:keepLines w:val="0"/>
        <w:widowControl w:val="0"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20" w:lineRule="exact"/>
        <w:ind w:left="0" w:right="0"/>
        <w:jc w:val="both"/>
        <w:textAlignment w:val="baseline"/>
        <w:rPr>
          <w:rFonts w:hint="eastAsia" w:ascii="仿宋" w:hAnsi="仿宋" w:eastAsia="仿宋" w:cs="仿宋"/>
          <w:color w:val="000000"/>
          <w:spacing w:val="1"/>
          <w:kern w:val="0"/>
          <w:sz w:val="18"/>
          <w:szCs w:val="18"/>
          <w:vertAlign w:val="baseline"/>
        </w:rPr>
      </w:pPr>
      <w:r>
        <w:rPr>
          <w:rFonts w:hint="eastAsia" w:ascii="仿宋" w:hAnsi="仿宋" w:eastAsia="仿宋" w:cs="仿宋"/>
          <w:snapToGrid w:val="0"/>
          <w:color w:val="000000"/>
          <w:spacing w:val="1"/>
          <w:kern w:val="0"/>
          <w:sz w:val="18"/>
          <w:szCs w:val="18"/>
          <w:vertAlign w:val="baseline"/>
          <w:lang w:val="en-US" w:eastAsia="zh-CN" w:bidi="ar"/>
        </w:rPr>
        <w:t>2、入学方式请在</w:t>
      </w:r>
      <w:r>
        <w:rPr>
          <w:rFonts w:hint="default" w:ascii="仿宋_GB2312" w:hAnsi="Wingdings" w:eastAsia="仿宋_GB2312" w:cs="仿宋_GB2312"/>
          <w:snapToGrid w:val="0"/>
          <w:color w:val="000000"/>
          <w:kern w:val="0"/>
          <w:sz w:val="18"/>
          <w:szCs w:val="18"/>
          <w:vertAlign w:val="baseline"/>
          <w:lang w:val="en-US" w:eastAsia="zh-CN" w:bidi="ar"/>
        </w:rPr>
        <w:t>¨</w:t>
      </w:r>
      <w:r>
        <w:rPr>
          <w:rFonts w:hint="eastAsia" w:ascii="仿宋" w:hAnsi="仿宋" w:eastAsia="仿宋" w:cs="仿宋"/>
          <w:snapToGrid w:val="0"/>
          <w:color w:val="000000"/>
          <w:spacing w:val="1"/>
          <w:kern w:val="0"/>
          <w:sz w:val="18"/>
          <w:szCs w:val="18"/>
          <w:vertAlign w:val="baseline"/>
          <w:lang w:val="en-US" w:eastAsia="zh-CN" w:bidi="ar"/>
        </w:rPr>
        <w:t>统一招生</w:t>
      </w:r>
      <w:r>
        <w:rPr>
          <w:rFonts w:hint="default" w:ascii="仿宋_GB2312" w:hAnsi="Wingdings" w:eastAsia="仿宋_GB2312" w:cs="仿宋_GB2312"/>
          <w:snapToGrid w:val="0"/>
          <w:color w:val="000000"/>
          <w:kern w:val="0"/>
          <w:sz w:val="18"/>
          <w:szCs w:val="18"/>
          <w:vertAlign w:val="baseline"/>
          <w:lang w:val="en-US" w:eastAsia="zh-CN" w:bidi="ar"/>
        </w:rPr>
        <w:t>¨</w:t>
      </w:r>
      <w:r>
        <w:rPr>
          <w:rFonts w:hint="eastAsia" w:ascii="仿宋" w:hAnsi="仿宋" w:eastAsia="仿宋" w:cs="仿宋"/>
          <w:snapToGrid w:val="0"/>
          <w:color w:val="000000"/>
          <w:spacing w:val="1"/>
          <w:kern w:val="0"/>
          <w:sz w:val="18"/>
          <w:szCs w:val="18"/>
          <w:vertAlign w:val="baseline"/>
          <w:lang w:val="en-US" w:eastAsia="zh-CN" w:bidi="ar"/>
        </w:rPr>
        <w:t>单独招生</w:t>
      </w:r>
      <w:r>
        <w:rPr>
          <w:rFonts w:hint="default" w:ascii="仿宋_GB2312" w:hAnsi="Wingdings" w:eastAsia="仿宋_GB2312" w:cs="仿宋_GB2312"/>
          <w:snapToGrid w:val="0"/>
          <w:color w:val="000000"/>
          <w:kern w:val="0"/>
          <w:sz w:val="18"/>
          <w:szCs w:val="18"/>
          <w:vertAlign w:val="baseline"/>
          <w:lang w:val="en-US" w:eastAsia="zh-CN" w:bidi="ar"/>
        </w:rPr>
        <w:t>¨</w:t>
      </w:r>
      <w:r>
        <w:rPr>
          <w:rFonts w:hint="eastAsia" w:ascii="仿宋" w:hAnsi="仿宋" w:eastAsia="仿宋" w:cs="仿宋"/>
          <w:snapToGrid w:val="0"/>
          <w:color w:val="000000"/>
          <w:spacing w:val="1"/>
          <w:kern w:val="0"/>
          <w:sz w:val="18"/>
          <w:szCs w:val="18"/>
          <w:vertAlign w:val="baseline"/>
          <w:lang w:val="en-US" w:eastAsia="zh-CN" w:bidi="ar"/>
        </w:rPr>
        <w:t>前面内打</w:t>
      </w:r>
      <w:r>
        <w:rPr>
          <w:rFonts w:hint="default" w:ascii="Arial" w:hAnsi="Arial" w:eastAsia="仿宋" w:cs="Arial"/>
          <w:snapToGrid w:val="0"/>
          <w:color w:val="000000"/>
          <w:spacing w:val="1"/>
          <w:kern w:val="0"/>
          <w:sz w:val="18"/>
          <w:szCs w:val="18"/>
          <w:vertAlign w:val="baseline"/>
          <w:lang w:val="en-US" w:eastAsia="zh-CN" w:bidi="ar"/>
        </w:rPr>
        <w:t>√</w:t>
      </w:r>
      <w:r>
        <w:rPr>
          <w:rFonts w:hint="eastAsia" w:ascii="仿宋" w:hAnsi="仿宋" w:eastAsia="仿宋" w:cs="仿宋"/>
          <w:snapToGrid w:val="0"/>
          <w:color w:val="000000"/>
          <w:spacing w:val="1"/>
          <w:kern w:val="0"/>
          <w:sz w:val="18"/>
          <w:szCs w:val="18"/>
          <w:vertAlign w:val="baseline"/>
          <w:lang w:val="en-US" w:eastAsia="zh-CN" w:bidi="ar"/>
        </w:rPr>
        <w:t>。</w:t>
      </w:r>
    </w:p>
    <w:p>
      <w:pPr>
        <w:keepNext w:val="0"/>
        <w:keepLines w:val="0"/>
        <w:widowControl w:val="0"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20" w:lineRule="exact"/>
        <w:ind w:left="0" w:right="0"/>
        <w:jc w:val="both"/>
        <w:textAlignment w:val="baseline"/>
        <w:rPr>
          <w:rFonts w:hint="eastAsia" w:ascii="仿宋" w:hAnsi="仿宋" w:eastAsia="仿宋" w:cs="仿宋"/>
          <w:color w:val="000000"/>
          <w:spacing w:val="1"/>
          <w:kern w:val="0"/>
          <w:sz w:val="18"/>
          <w:szCs w:val="18"/>
          <w:vertAlign w:val="baseline"/>
        </w:rPr>
      </w:pPr>
      <w:r>
        <w:rPr>
          <w:rFonts w:hint="eastAsia" w:ascii="仿宋" w:hAnsi="仿宋" w:eastAsia="仿宋" w:cs="仿宋"/>
          <w:snapToGrid w:val="0"/>
          <w:color w:val="000000"/>
          <w:spacing w:val="1"/>
          <w:kern w:val="0"/>
          <w:sz w:val="18"/>
          <w:szCs w:val="18"/>
          <w:vertAlign w:val="baseline"/>
          <w:lang w:val="en-US" w:eastAsia="zh-CN" w:bidi="ar"/>
        </w:rPr>
        <w:t xml:space="preserve">3、因身体原因不能就读现专业的学生需附证明材料；休学创业、退役军人及复学学生，需附证明材料。 </w:t>
      </w:r>
    </w:p>
    <w:p>
      <w:pPr>
        <w:keepNext w:val="0"/>
        <w:keepLines w:val="0"/>
        <w:widowControl w:val="0"/>
        <w:suppressLineNumbers w:val="0"/>
        <w:kinsoku w:val="0"/>
        <w:autoSpaceDE w:val="0"/>
        <w:autoSpaceDN w:val="0"/>
        <w:adjustRightInd w:val="0"/>
        <w:snapToGrid w:val="0"/>
        <w:spacing w:before="0" w:beforeAutospacing="0" w:after="0" w:afterAutospacing="0" w:line="220" w:lineRule="exact"/>
        <w:ind w:left="0" w:right="0"/>
        <w:jc w:val="both"/>
        <w:textAlignment w:val="baseline"/>
        <w:rPr>
          <w:rFonts w:ascii="宋体" w:hAnsi="宋体" w:eastAsia="宋体" w:cs="宋体"/>
          <w:b/>
          <w:bCs/>
          <w:color w:val="000000" w:themeColor="text1"/>
          <w:spacing w:val="1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napToGrid w:val="0"/>
          <w:color w:val="000000"/>
          <w:spacing w:val="1"/>
          <w:kern w:val="0"/>
          <w:sz w:val="18"/>
          <w:szCs w:val="18"/>
          <w:vertAlign w:val="baseline"/>
          <w:lang w:val="en-US" w:eastAsia="zh-CN" w:bidi="ar"/>
        </w:rPr>
        <w:t>4、本表由学生填写个人信息和申请理由，说明自己符合转专业的基本条件，如实反映本人入学以来的思想表现（有无违纪记录）、学业情况，由本人签名后，交转出二级学院，再由二级学院和相关部门办理后续流程，交教务处存档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0MDE4M2RhYWFhNjE2ZTk2YjU2ZGNiMGRmOTFmMWMifQ=="/>
  </w:docVars>
  <w:rsids>
    <w:rsidRoot w:val="00000000"/>
    <w:rsid w:val="13282889"/>
    <w:rsid w:val="62DF3842"/>
    <w:rsid w:val="6FBA5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2026-05-22T01:51:00Z</dcterms:created>
  <dc:creator>Administrator</dc:creator>
  <cp:lastModifiedBy>罗</cp:lastModifiedBy>
  <dcterms:modified xsi:type="dcterms:W3CDTF">2026-05-22T02:15:16Z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KSOTemplateDocerSaveRecord">
    <vt:lpwstr>eyJoZGlkIjoiYTUzYTdhN2VmZjg5MTRiMDRjMTAxZjc2MzRjNTJiYWIiLCJ1c2VySWQiOiI1ODE4Mjg3MDYifQ==</vt:lpwstr>
  </property>
  <property fmtid="{D5CDD505-2E9C-101B-9397-08002B2CF9AE}" pid="4" name="ICV">
    <vt:lpwstr>7A304D4E409240B5B26D5F6747A81EE8_12</vt:lpwstr>
  </property>
</Properties>
</file>