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17983F">
      <w:pPr>
        <w:jc w:val="center"/>
        <w:rPr>
          <w:rFonts w:ascii="方正小标宋简体" w:eastAsia="方正小标宋简体"/>
          <w:spacing w:val="80"/>
          <w:sz w:val="72"/>
          <w:szCs w:val="72"/>
        </w:rPr>
      </w:pPr>
    </w:p>
    <w:p w14:paraId="01FFE299">
      <w:pPr>
        <w:jc w:val="center"/>
        <w:rPr>
          <w:rFonts w:ascii="方正小标宋简体" w:eastAsia="方正小标宋简体"/>
          <w:spacing w:val="80"/>
          <w:sz w:val="52"/>
          <w:szCs w:val="52"/>
        </w:rPr>
      </w:pPr>
      <w:r>
        <w:rPr>
          <w:rFonts w:hint="eastAsia" w:ascii="方正小标宋简体" w:eastAsia="方正小标宋简体"/>
          <w:spacing w:val="80"/>
          <w:sz w:val="52"/>
          <w:szCs w:val="52"/>
        </w:rPr>
        <w:t>询比采购文件</w:t>
      </w:r>
    </w:p>
    <w:p w14:paraId="5400D673">
      <w:pPr>
        <w:pStyle w:val="39"/>
        <w:ind w:firstLine="1600" w:firstLineChars="500"/>
        <w:jc w:val="both"/>
        <w:rPr>
          <w:rFonts w:hint="eastAsia" w:ascii="黑体" w:hAnsi="黑体" w:eastAsia="黑体"/>
          <w:sz w:val="32"/>
          <w:szCs w:val="32"/>
        </w:rPr>
      </w:pPr>
    </w:p>
    <w:p w14:paraId="6E018500">
      <w:pPr>
        <w:pStyle w:val="39"/>
        <w:ind w:left="1365" w:leftChars="650"/>
        <w:jc w:val="both"/>
        <w:rPr>
          <w:rFonts w:hint="eastAsia" w:ascii="黑体" w:hAnsi="黑体" w:eastAsia="黑体"/>
          <w:kern w:val="0"/>
          <w:sz w:val="32"/>
          <w:szCs w:val="32"/>
        </w:rPr>
      </w:pPr>
      <w:r>
        <w:rPr>
          <w:rFonts w:ascii="黑体" w:hAnsi="黑体" w:eastAsia="黑体"/>
          <w:sz w:val="32"/>
          <w:szCs w:val="32"/>
        </w:rPr>
        <w:t>采购项目名称：</w:t>
      </w:r>
      <w:r>
        <w:rPr>
          <w:rFonts w:hint="eastAsia" w:ascii="黑体" w:hAnsi="黑体" w:eastAsia="黑体"/>
          <w:kern w:val="0"/>
          <w:sz w:val="32"/>
          <w:szCs w:val="32"/>
        </w:rPr>
        <w:t>2025年内部审计服务项目</w:t>
      </w:r>
    </w:p>
    <w:p w14:paraId="3286CA34">
      <w:pPr>
        <w:pStyle w:val="39"/>
        <w:ind w:left="1365" w:leftChars="650"/>
        <w:jc w:val="both"/>
        <w:rPr>
          <w:rFonts w:hint="eastAsia" w:ascii="黑体" w:hAnsi="黑体" w:eastAsia="黑体"/>
          <w:sz w:val="32"/>
          <w:szCs w:val="32"/>
        </w:rPr>
      </w:pPr>
    </w:p>
    <w:p w14:paraId="6B5B6E03">
      <w:pPr>
        <w:pStyle w:val="39"/>
        <w:ind w:left="1365" w:leftChars="650"/>
        <w:jc w:val="both"/>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 湖南铁道职业技术学院 </w:t>
      </w:r>
    </w:p>
    <w:p w14:paraId="4200B993">
      <w:pPr>
        <w:pStyle w:val="39"/>
        <w:ind w:left="945" w:leftChars="450"/>
        <w:jc w:val="both"/>
        <w:rPr>
          <w:rFonts w:hint="eastAsia" w:ascii="黑体" w:hAnsi="黑体" w:eastAsia="黑体"/>
          <w:sz w:val="32"/>
          <w:szCs w:val="32"/>
        </w:rPr>
      </w:pPr>
    </w:p>
    <w:p w14:paraId="12277452">
      <w:pPr>
        <w:pStyle w:val="39"/>
        <w:ind w:left="945" w:leftChars="450"/>
        <w:jc w:val="both"/>
        <w:rPr>
          <w:rFonts w:hint="eastAsia" w:ascii="黑体" w:hAnsi="黑体" w:eastAsia="黑体"/>
          <w:sz w:val="32"/>
          <w:szCs w:val="32"/>
        </w:rPr>
      </w:pPr>
    </w:p>
    <w:p w14:paraId="263E19F8">
      <w:pPr>
        <w:pStyle w:val="39"/>
        <w:ind w:left="945" w:leftChars="450"/>
        <w:jc w:val="both"/>
        <w:rPr>
          <w:rFonts w:hint="eastAsia" w:ascii="黑体" w:hAnsi="黑体" w:eastAsia="黑体"/>
          <w:sz w:val="32"/>
          <w:szCs w:val="32"/>
        </w:rPr>
      </w:pPr>
    </w:p>
    <w:p w14:paraId="00E611DA">
      <w:pPr>
        <w:pStyle w:val="39"/>
        <w:ind w:left="945" w:leftChars="450"/>
        <w:jc w:val="both"/>
        <w:rPr>
          <w:rFonts w:hint="eastAsia" w:ascii="黑体" w:hAnsi="黑体" w:eastAsia="黑体"/>
          <w:sz w:val="32"/>
          <w:szCs w:val="32"/>
        </w:rPr>
      </w:pPr>
    </w:p>
    <w:p w14:paraId="5BD02E6F">
      <w:pPr>
        <w:pStyle w:val="39"/>
        <w:ind w:left="945" w:leftChars="450"/>
        <w:jc w:val="both"/>
        <w:rPr>
          <w:rFonts w:hint="eastAsia" w:ascii="黑体" w:hAnsi="黑体" w:eastAsia="黑体"/>
          <w:sz w:val="32"/>
          <w:szCs w:val="32"/>
        </w:rPr>
      </w:pPr>
    </w:p>
    <w:p w14:paraId="51D3F09C">
      <w:pPr>
        <w:pStyle w:val="39"/>
        <w:ind w:left="945" w:leftChars="450"/>
        <w:jc w:val="both"/>
        <w:rPr>
          <w:rFonts w:hint="eastAsia" w:ascii="黑体" w:hAnsi="黑体" w:eastAsia="黑体"/>
          <w:sz w:val="32"/>
          <w:szCs w:val="32"/>
        </w:rPr>
      </w:pPr>
    </w:p>
    <w:p w14:paraId="33437265">
      <w:pPr>
        <w:pStyle w:val="39"/>
        <w:ind w:left="945" w:leftChars="450"/>
        <w:jc w:val="both"/>
        <w:rPr>
          <w:rFonts w:hint="eastAsia" w:ascii="黑体" w:hAnsi="黑体" w:eastAsia="黑体"/>
          <w:sz w:val="32"/>
          <w:szCs w:val="32"/>
        </w:rPr>
      </w:pPr>
    </w:p>
    <w:p w14:paraId="642B41B5">
      <w:pPr>
        <w:pStyle w:val="39"/>
        <w:ind w:left="945" w:leftChars="450"/>
        <w:jc w:val="both"/>
        <w:rPr>
          <w:rFonts w:hint="eastAsia" w:ascii="黑体" w:hAnsi="黑体" w:eastAsia="黑体"/>
          <w:sz w:val="32"/>
          <w:szCs w:val="32"/>
        </w:rPr>
      </w:pPr>
    </w:p>
    <w:p w14:paraId="2DFC0CB5">
      <w:pPr>
        <w:pStyle w:val="39"/>
        <w:ind w:left="945" w:leftChars="450"/>
        <w:jc w:val="both"/>
        <w:rPr>
          <w:rFonts w:hint="eastAsia" w:ascii="黑体" w:hAnsi="黑体" w:eastAsia="黑体"/>
          <w:sz w:val="32"/>
          <w:szCs w:val="32"/>
        </w:rPr>
      </w:pPr>
    </w:p>
    <w:p w14:paraId="7BF3D27D">
      <w:pPr>
        <w:pStyle w:val="39"/>
        <w:ind w:left="945" w:leftChars="450"/>
        <w:jc w:val="both"/>
        <w:rPr>
          <w:rFonts w:hint="eastAsia" w:ascii="黑体" w:hAnsi="黑体" w:eastAsia="黑体"/>
          <w:sz w:val="32"/>
          <w:szCs w:val="32"/>
        </w:rPr>
      </w:pPr>
    </w:p>
    <w:p w14:paraId="2FD5938A">
      <w:pPr>
        <w:pStyle w:val="39"/>
        <w:ind w:left="945" w:leftChars="450"/>
        <w:jc w:val="both"/>
        <w:rPr>
          <w:rFonts w:hint="eastAsia" w:ascii="黑体" w:hAnsi="黑体" w:eastAsia="黑体"/>
          <w:sz w:val="32"/>
          <w:szCs w:val="32"/>
        </w:rPr>
      </w:pPr>
    </w:p>
    <w:p w14:paraId="57DE4C6F">
      <w:pPr>
        <w:pStyle w:val="39"/>
        <w:ind w:left="945" w:leftChars="450"/>
        <w:jc w:val="both"/>
        <w:rPr>
          <w:rFonts w:hint="eastAsia" w:ascii="黑体" w:hAnsi="黑体" w:eastAsia="黑体"/>
          <w:sz w:val="32"/>
          <w:szCs w:val="32"/>
        </w:rPr>
      </w:pPr>
    </w:p>
    <w:p w14:paraId="23FF3EA2">
      <w:pPr>
        <w:pStyle w:val="39"/>
        <w:ind w:left="945" w:leftChars="450"/>
        <w:jc w:val="both"/>
        <w:rPr>
          <w:rFonts w:hint="eastAsia" w:ascii="黑体" w:hAnsi="黑体" w:eastAsia="黑体"/>
          <w:sz w:val="32"/>
          <w:szCs w:val="32"/>
        </w:rPr>
      </w:pPr>
    </w:p>
    <w:p w14:paraId="6B140536">
      <w:pPr>
        <w:pStyle w:val="39"/>
        <w:ind w:left="945" w:leftChars="450"/>
        <w:jc w:val="both"/>
        <w:rPr>
          <w:rFonts w:hint="eastAsia" w:ascii="黑体" w:hAnsi="黑体" w:eastAsia="黑体"/>
          <w:sz w:val="32"/>
          <w:szCs w:val="32"/>
        </w:rPr>
      </w:pPr>
    </w:p>
    <w:p w14:paraId="25E291E8">
      <w:pPr>
        <w:pStyle w:val="39"/>
        <w:ind w:left="945" w:leftChars="450"/>
        <w:jc w:val="both"/>
        <w:rPr>
          <w:rFonts w:hint="eastAsia" w:ascii="黑体" w:hAnsi="黑体" w:eastAsia="黑体"/>
          <w:sz w:val="32"/>
          <w:szCs w:val="32"/>
        </w:rPr>
      </w:pPr>
    </w:p>
    <w:p w14:paraId="3BDBB089">
      <w:pPr>
        <w:pStyle w:val="39"/>
        <w:ind w:left="945" w:leftChars="450"/>
        <w:jc w:val="both"/>
        <w:rPr>
          <w:rFonts w:hint="eastAsia" w:ascii="黑体" w:hAnsi="黑体" w:eastAsia="黑体"/>
          <w:sz w:val="32"/>
          <w:szCs w:val="32"/>
        </w:rPr>
      </w:pPr>
    </w:p>
    <w:p w14:paraId="287A2B02">
      <w:pPr>
        <w:pStyle w:val="39"/>
        <w:rPr>
          <w:rFonts w:hint="eastAsia" w:ascii="黑体" w:hAnsi="黑体" w:eastAsia="黑体"/>
          <w:sz w:val="32"/>
          <w:szCs w:val="32"/>
        </w:rPr>
      </w:pPr>
      <w:r>
        <w:rPr>
          <w:rFonts w:hint="eastAsia" w:ascii="黑体" w:hAnsi="黑体" w:eastAsia="黑体"/>
          <w:sz w:val="32"/>
          <w:szCs w:val="32"/>
        </w:rPr>
        <w:t>二0二五</w:t>
      </w:r>
      <w:r>
        <w:rPr>
          <w:rFonts w:ascii="黑体" w:hAnsi="黑体" w:eastAsia="黑体"/>
          <w:sz w:val="32"/>
          <w:szCs w:val="32"/>
        </w:rPr>
        <w:t>年</w:t>
      </w:r>
      <w:r>
        <w:rPr>
          <w:rFonts w:hint="eastAsia" w:ascii="黑体" w:hAnsi="黑体" w:eastAsia="黑体"/>
          <w:sz w:val="32"/>
          <w:szCs w:val="32"/>
        </w:rPr>
        <w:t>五</w:t>
      </w:r>
      <w:r>
        <w:rPr>
          <w:rFonts w:ascii="黑体" w:hAnsi="黑体" w:eastAsia="黑体"/>
          <w:sz w:val="32"/>
          <w:szCs w:val="32"/>
        </w:rPr>
        <w:t>月</w:t>
      </w:r>
    </w:p>
    <w:p w14:paraId="4E92B677">
      <w:pPr>
        <w:pStyle w:val="39"/>
        <w:rPr>
          <w:rFonts w:hint="eastAsia" w:ascii="黑体" w:hAnsi="黑体" w:eastAsia="黑体"/>
          <w:sz w:val="32"/>
          <w:szCs w:val="32"/>
        </w:rPr>
        <w:sectPr>
          <w:headerReference r:id="rId3" w:type="default"/>
          <w:headerReference r:id="rId4" w:type="even"/>
          <w:footerReference r:id="rId5" w:type="even"/>
          <w:pgSz w:w="11906" w:h="16838"/>
          <w:pgMar w:top="1440" w:right="1800" w:bottom="1440" w:left="1800" w:header="851" w:footer="992" w:gutter="0"/>
          <w:cols w:space="720" w:num="1"/>
          <w:docGrid w:type="lines" w:linePitch="312" w:charSpace="0"/>
        </w:sectPr>
      </w:pPr>
    </w:p>
    <w:p w14:paraId="6EAB8857">
      <w:pPr>
        <w:spacing w:line="700" w:lineRule="exact"/>
        <w:jc w:val="center"/>
        <w:outlineLvl w:val="0"/>
        <w:rPr>
          <w:rFonts w:hint="eastAsia" w:ascii="方正小标宋简体" w:hAnsi="黑体" w:eastAsia="方正小标宋简体"/>
          <w:bCs/>
          <w:sz w:val="44"/>
          <w:szCs w:val="44"/>
          <w:lang w:eastAsia="zh-CN"/>
        </w:rPr>
      </w:pPr>
      <w:r>
        <w:rPr>
          <w:rFonts w:hint="eastAsia" w:ascii="方正小标宋简体" w:hAnsi="黑体" w:eastAsia="方正小标宋简体"/>
          <w:bCs/>
          <w:spacing w:val="10"/>
          <w:sz w:val="44"/>
          <w:szCs w:val="44"/>
        </w:rPr>
        <w:t>湖南铁道职业技术学院2025年内部审计服务项目询比采购公</w:t>
      </w:r>
      <w:r>
        <w:rPr>
          <w:rFonts w:hint="eastAsia" w:ascii="方正小标宋简体" w:hAnsi="黑体" w:eastAsia="方正小标宋简体"/>
          <w:bCs/>
          <w:sz w:val="44"/>
          <w:szCs w:val="44"/>
        </w:rPr>
        <w:t>告</w:t>
      </w:r>
      <w:r>
        <w:rPr>
          <w:rFonts w:hint="eastAsia" w:ascii="方正小标宋简体" w:hAnsi="黑体" w:eastAsia="方正小标宋简体"/>
          <w:bCs/>
          <w:sz w:val="44"/>
          <w:szCs w:val="44"/>
          <w:lang w:eastAsia="zh-CN"/>
        </w:rPr>
        <w:t>（第二次）</w:t>
      </w:r>
    </w:p>
    <w:p w14:paraId="0FA957A0">
      <w:pPr>
        <w:pStyle w:val="15"/>
        <w:snapToGrid w:val="0"/>
        <w:spacing w:before="234" w:beforeLines="75"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湖南铁道职业技术学院2025年内部审计服务项目需进行采购，现采用发布公告方式，邀请符合资格条件的供应商参与采购活动。</w:t>
      </w:r>
    </w:p>
    <w:p w14:paraId="474761BB">
      <w:pPr>
        <w:snapToGrid w:val="0"/>
        <w:spacing w:line="560" w:lineRule="exact"/>
        <w:ind w:firstLine="640" w:firstLineChars="200"/>
        <w:outlineLvl w:val="1"/>
        <w:rPr>
          <w:rFonts w:hint="eastAsia" w:ascii="黑体" w:hAnsi="黑体" w:eastAsia="黑体" w:cs="仿宋"/>
          <w:color w:val="333333"/>
          <w:kern w:val="0"/>
          <w:sz w:val="32"/>
          <w:szCs w:val="32"/>
        </w:rPr>
      </w:pPr>
      <w:bookmarkStart w:id="0" w:name="_Toc17794_WPSOffice_Level2"/>
      <w:bookmarkStart w:id="1" w:name="_Toc31662_WPSOffice_Level2"/>
      <w:bookmarkStart w:id="2" w:name="_Toc3564"/>
      <w:bookmarkStart w:id="3" w:name="_Toc4659"/>
      <w:bookmarkStart w:id="4" w:name="_Toc26475"/>
      <w:r>
        <w:rPr>
          <w:rFonts w:hint="eastAsia" w:ascii="黑体" w:hAnsi="黑体" w:eastAsia="黑体" w:cs="仿宋"/>
          <w:color w:val="333333"/>
          <w:kern w:val="0"/>
          <w:sz w:val="32"/>
          <w:szCs w:val="32"/>
        </w:rPr>
        <w:t>一、采购项目基本情况</w:t>
      </w:r>
      <w:bookmarkEnd w:id="0"/>
      <w:bookmarkEnd w:id="1"/>
      <w:bookmarkEnd w:id="2"/>
      <w:bookmarkEnd w:id="3"/>
      <w:bookmarkEnd w:id="4"/>
    </w:p>
    <w:p w14:paraId="41484206">
      <w:pPr>
        <w:pStyle w:val="15"/>
        <w:snapToGrid w:val="0"/>
        <w:spacing w:before="0" w:beforeAutospacing="0" w:after="0" w:line="560" w:lineRule="exact"/>
        <w:ind w:left="0" w:leftChars="0" w:firstLine="643" w:firstLineChars="200"/>
        <w:outlineLvl w:val="3"/>
        <w:rPr>
          <w:rFonts w:hint="eastAsia" w:ascii="仿宋_GB2312" w:hAnsi="仿宋" w:eastAsia="仿宋_GB2312"/>
          <w:b/>
          <w:bCs/>
          <w:sz w:val="32"/>
          <w:szCs w:val="32"/>
        </w:rPr>
      </w:pPr>
      <w:r>
        <w:rPr>
          <w:rFonts w:hint="eastAsia" w:ascii="仿宋_GB2312" w:hAnsi="仿宋" w:eastAsia="仿宋_GB2312"/>
          <w:b/>
          <w:bCs/>
          <w:sz w:val="32"/>
          <w:szCs w:val="32"/>
        </w:rPr>
        <w:t>1．项目名称</w:t>
      </w:r>
    </w:p>
    <w:p w14:paraId="4EF1E5F4">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2025年内部审计服务项目。</w:t>
      </w:r>
    </w:p>
    <w:p w14:paraId="3D570A03">
      <w:pPr>
        <w:pStyle w:val="15"/>
        <w:snapToGrid w:val="0"/>
        <w:spacing w:before="0" w:beforeAutospacing="0" w:after="0" w:line="560" w:lineRule="exact"/>
        <w:ind w:left="0" w:leftChars="0" w:firstLine="643" w:firstLineChars="200"/>
        <w:outlineLvl w:val="3"/>
        <w:rPr>
          <w:rFonts w:hint="eastAsia" w:ascii="仿宋_GB2312" w:hAnsi="仿宋" w:eastAsia="仿宋_GB2312"/>
          <w:b/>
          <w:bCs/>
          <w:sz w:val="32"/>
          <w:szCs w:val="32"/>
        </w:rPr>
      </w:pPr>
      <w:r>
        <w:rPr>
          <w:rFonts w:hint="eastAsia" w:ascii="仿宋_GB2312" w:hAnsi="仿宋" w:eastAsia="仿宋_GB2312"/>
          <w:b/>
          <w:bCs/>
          <w:sz w:val="32"/>
          <w:szCs w:val="32"/>
        </w:rPr>
        <w:t>2．项目概况</w:t>
      </w:r>
    </w:p>
    <w:p w14:paraId="44784280">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依据《关于组织开展</w:t>
      </w:r>
      <w:r>
        <w:rPr>
          <w:rFonts w:ascii="仿宋_GB2312" w:hAnsi="仿宋" w:eastAsia="仿宋_GB2312"/>
          <w:sz w:val="32"/>
          <w:szCs w:val="32"/>
        </w:rPr>
        <w:t>2024</w:t>
      </w:r>
      <w:r>
        <w:rPr>
          <w:rFonts w:hint="eastAsia" w:ascii="仿宋_GB2312" w:hAnsi="仿宋" w:eastAsia="仿宋_GB2312"/>
          <w:sz w:val="32"/>
          <w:szCs w:val="32"/>
        </w:rPr>
        <w:t>年度预算执行、学生资助资金绩效和学生食堂管理内部审计的通知》要求，重点围绕2024年度预算执行绩效、学生资助资金绩效、学生食堂管理和2024年度财务收支等开展内部审计。为确保符合文件规定的审计范围、程序及质量要求，需引入专业审计咨询服务。</w:t>
      </w:r>
    </w:p>
    <w:p w14:paraId="231ADA8D">
      <w:pPr>
        <w:pStyle w:val="15"/>
        <w:snapToGrid w:val="0"/>
        <w:spacing w:before="0" w:beforeAutospacing="0" w:after="0" w:line="560" w:lineRule="exact"/>
        <w:ind w:left="0" w:leftChars="0" w:firstLine="643" w:firstLineChars="200"/>
        <w:outlineLvl w:val="3"/>
        <w:rPr>
          <w:rFonts w:hint="eastAsia" w:ascii="仿宋_GB2312" w:hAnsi="仿宋" w:eastAsia="仿宋_GB2312"/>
          <w:b/>
          <w:bCs/>
          <w:sz w:val="32"/>
          <w:szCs w:val="32"/>
        </w:rPr>
      </w:pPr>
      <w:r>
        <w:rPr>
          <w:rFonts w:hint="eastAsia" w:ascii="仿宋_GB2312" w:hAnsi="仿宋" w:eastAsia="仿宋_GB2312"/>
          <w:b/>
          <w:bCs/>
          <w:sz w:val="32"/>
          <w:szCs w:val="32"/>
        </w:rPr>
        <w:t>3．服务内容</w:t>
      </w:r>
    </w:p>
    <w:p w14:paraId="5BF0E805">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对学校2024年度预算执行绩效情况、2</w:t>
      </w:r>
      <w:r>
        <w:rPr>
          <w:rFonts w:ascii="仿宋_GB2312" w:hAnsi="仿宋" w:eastAsia="仿宋_GB2312"/>
          <w:sz w:val="32"/>
          <w:szCs w:val="32"/>
        </w:rPr>
        <w:t>024年度</w:t>
      </w:r>
      <w:r>
        <w:rPr>
          <w:rFonts w:hint="eastAsia" w:ascii="仿宋_GB2312" w:hAnsi="仿宋" w:eastAsia="仿宋_GB2312"/>
          <w:sz w:val="32"/>
          <w:szCs w:val="32"/>
        </w:rPr>
        <w:t>学生资助资金绩效情况、2</w:t>
      </w:r>
      <w:r>
        <w:rPr>
          <w:rFonts w:ascii="仿宋_GB2312" w:hAnsi="仿宋" w:eastAsia="仿宋_GB2312"/>
          <w:sz w:val="32"/>
          <w:szCs w:val="32"/>
        </w:rPr>
        <w:t>024年度</w:t>
      </w:r>
      <w:r>
        <w:rPr>
          <w:rFonts w:hint="eastAsia" w:ascii="仿宋_GB2312" w:hAnsi="仿宋" w:eastAsia="仿宋_GB2312"/>
          <w:sz w:val="32"/>
          <w:szCs w:val="32"/>
        </w:rPr>
        <w:t>学生食堂管理情况和2024年度财务收支情况等4个项目进行专业咨询审计服务，提供审计报告及整改建议，具体内容详见《采购需求》。</w:t>
      </w:r>
    </w:p>
    <w:p w14:paraId="3E992BEB">
      <w:pPr>
        <w:pStyle w:val="15"/>
        <w:snapToGrid w:val="0"/>
        <w:spacing w:before="0" w:beforeAutospacing="0" w:after="0" w:line="560" w:lineRule="exact"/>
        <w:ind w:left="0" w:leftChars="0" w:firstLine="643" w:firstLineChars="200"/>
        <w:outlineLvl w:val="3"/>
        <w:rPr>
          <w:rFonts w:hint="eastAsia" w:ascii="仿宋_GB2312" w:hAnsi="仿宋" w:eastAsia="仿宋_GB2312"/>
          <w:b/>
          <w:bCs/>
          <w:sz w:val="32"/>
          <w:szCs w:val="32"/>
        </w:rPr>
      </w:pPr>
      <w:r>
        <w:rPr>
          <w:rFonts w:ascii="仿宋_GB2312" w:hAnsi="仿宋" w:eastAsia="仿宋_GB2312"/>
          <w:b/>
          <w:bCs/>
          <w:sz w:val="32"/>
          <w:szCs w:val="32"/>
        </w:rPr>
        <w:t>4</w:t>
      </w:r>
      <w:r>
        <w:rPr>
          <w:rFonts w:hint="eastAsia" w:ascii="仿宋_GB2312" w:hAnsi="仿宋" w:eastAsia="仿宋_GB2312"/>
          <w:b/>
          <w:bCs/>
          <w:sz w:val="32"/>
          <w:szCs w:val="32"/>
        </w:rPr>
        <w:t>．采购预算</w:t>
      </w:r>
    </w:p>
    <w:p w14:paraId="71947C1A">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ascii="仿宋_GB2312" w:hAnsi="仿宋" w:eastAsia="仿宋_GB2312"/>
          <w:sz w:val="32"/>
          <w:szCs w:val="32"/>
        </w:rPr>
        <w:t>19.80万元</w:t>
      </w:r>
      <w:r>
        <w:rPr>
          <w:rFonts w:hint="eastAsia" w:ascii="仿宋_GB2312" w:hAnsi="仿宋" w:eastAsia="仿宋_GB2312"/>
          <w:sz w:val="32"/>
          <w:szCs w:val="32"/>
        </w:rPr>
        <w:t>。</w:t>
      </w:r>
    </w:p>
    <w:p w14:paraId="453272DD">
      <w:pPr>
        <w:snapToGrid w:val="0"/>
        <w:spacing w:line="560" w:lineRule="exact"/>
        <w:ind w:firstLine="640" w:firstLineChars="200"/>
        <w:outlineLvl w:val="1"/>
        <w:rPr>
          <w:rFonts w:hint="eastAsia" w:ascii="黑体" w:hAnsi="黑体" w:eastAsia="黑体" w:cs="仿宋"/>
          <w:color w:val="333333"/>
          <w:kern w:val="0"/>
          <w:sz w:val="32"/>
          <w:szCs w:val="32"/>
        </w:rPr>
      </w:pPr>
      <w:r>
        <w:rPr>
          <w:rFonts w:hint="eastAsia" w:ascii="黑体" w:hAnsi="黑体" w:eastAsia="黑体" w:cs="仿宋"/>
          <w:color w:val="333333"/>
          <w:kern w:val="0"/>
          <w:sz w:val="32"/>
          <w:szCs w:val="32"/>
        </w:rPr>
        <w:t>二、投标人资格要求</w:t>
      </w:r>
    </w:p>
    <w:p w14:paraId="35A12FF3">
      <w:pPr>
        <w:pStyle w:val="15"/>
        <w:snapToGrid w:val="0"/>
        <w:spacing w:before="0" w:beforeAutospacing="0" w:after="0" w:line="560" w:lineRule="exact"/>
        <w:ind w:left="0" w:leftChars="0" w:firstLine="643" w:firstLineChars="200"/>
        <w:outlineLvl w:val="3"/>
        <w:rPr>
          <w:rFonts w:hint="eastAsia" w:ascii="仿宋_GB2312" w:hAnsi="仿宋" w:eastAsia="仿宋_GB2312"/>
          <w:b/>
          <w:bCs/>
          <w:sz w:val="32"/>
          <w:szCs w:val="32"/>
        </w:rPr>
      </w:pPr>
      <w:r>
        <w:rPr>
          <w:rFonts w:hint="eastAsia" w:ascii="仿宋_GB2312" w:hAnsi="仿宋" w:eastAsia="仿宋_GB2312"/>
          <w:b/>
          <w:bCs/>
          <w:sz w:val="32"/>
          <w:szCs w:val="32"/>
        </w:rPr>
        <w:t>1．基本资格条件</w:t>
      </w:r>
    </w:p>
    <w:p w14:paraId="62ECA4F5">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供应商必须是在中华人民共和国境内注册登记的法人、其他组织或者自然人，且应当符合下列规定，即：</w:t>
      </w:r>
    </w:p>
    <w:p w14:paraId="24CC3B8F">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（1）具有独立承担民事责任的能力。</w:t>
      </w:r>
    </w:p>
    <w:p w14:paraId="58A3351A">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（2）具有良好的商业信誉和健全的财务会计制度。</w:t>
      </w:r>
    </w:p>
    <w:p w14:paraId="069569FD">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（3）具有履行合同所必需的设备和专业技术能力。</w:t>
      </w:r>
    </w:p>
    <w:p w14:paraId="060D3645">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（4）有依法缴纳税收的良好记录。</w:t>
      </w:r>
    </w:p>
    <w:p w14:paraId="77978083">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（5）参加采购活动前三年内，在经营活动中没有重大违法记录。</w:t>
      </w:r>
    </w:p>
    <w:p w14:paraId="3AB4EB51">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（6）法律、行政法规规定的其他条件。</w:t>
      </w:r>
    </w:p>
    <w:p w14:paraId="67580527">
      <w:pPr>
        <w:pStyle w:val="15"/>
        <w:snapToGrid w:val="0"/>
        <w:spacing w:before="0" w:beforeAutospacing="0" w:after="0" w:line="560" w:lineRule="exact"/>
        <w:ind w:left="0" w:leftChars="0" w:firstLine="643" w:firstLineChars="200"/>
        <w:outlineLvl w:val="3"/>
        <w:rPr>
          <w:rFonts w:hint="eastAsia" w:ascii="仿宋_GB2312" w:hAnsi="仿宋" w:eastAsia="仿宋_GB2312"/>
          <w:b/>
          <w:bCs/>
          <w:sz w:val="32"/>
          <w:szCs w:val="32"/>
        </w:rPr>
      </w:pPr>
      <w:r>
        <w:rPr>
          <w:rFonts w:hint="eastAsia" w:ascii="仿宋_GB2312" w:hAnsi="仿宋" w:eastAsia="仿宋_GB2312"/>
          <w:b/>
          <w:bCs/>
          <w:sz w:val="32"/>
          <w:szCs w:val="32"/>
        </w:rPr>
        <w:t>2．特定资格条件</w:t>
      </w:r>
    </w:p>
    <w:p w14:paraId="072F082D">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必须具备会计师事务所执业证书。</w:t>
      </w:r>
    </w:p>
    <w:p w14:paraId="1C7DD9F2">
      <w:pPr>
        <w:pStyle w:val="15"/>
        <w:snapToGrid w:val="0"/>
        <w:spacing w:before="0" w:beforeAutospacing="0" w:after="0" w:line="560" w:lineRule="exact"/>
        <w:ind w:left="0" w:leftChars="0" w:firstLine="643" w:firstLineChars="200"/>
        <w:outlineLvl w:val="2"/>
        <w:rPr>
          <w:rFonts w:hint="eastAsia" w:ascii="楷体_GB2312" w:hAnsi="仿宋" w:eastAsia="楷体_GB2312"/>
          <w:b/>
          <w:bCs/>
          <w:sz w:val="32"/>
          <w:szCs w:val="32"/>
        </w:rPr>
      </w:pPr>
      <w:r>
        <w:rPr>
          <w:rFonts w:hint="eastAsia" w:ascii="楷体_GB2312" w:hAnsi="仿宋" w:eastAsia="楷体_GB2312"/>
          <w:b/>
          <w:bCs/>
          <w:sz w:val="32"/>
          <w:szCs w:val="32"/>
        </w:rPr>
        <w:t>3．其它</w:t>
      </w:r>
    </w:p>
    <w:p w14:paraId="4B673CBE">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不接受联合体投标。</w:t>
      </w:r>
    </w:p>
    <w:p w14:paraId="773A98C1">
      <w:pPr>
        <w:snapToGrid w:val="0"/>
        <w:spacing w:line="560" w:lineRule="exact"/>
        <w:ind w:firstLine="640" w:firstLineChars="200"/>
        <w:outlineLvl w:val="1"/>
        <w:rPr>
          <w:rFonts w:hint="eastAsia" w:ascii="黑体" w:hAnsi="黑体" w:eastAsia="黑体" w:cs="仿宋"/>
          <w:color w:val="333333"/>
          <w:kern w:val="0"/>
          <w:sz w:val="32"/>
          <w:szCs w:val="32"/>
        </w:rPr>
      </w:pPr>
      <w:bookmarkStart w:id="5" w:name="_Toc58335831"/>
      <w:r>
        <w:rPr>
          <w:rFonts w:hint="eastAsia" w:ascii="黑体" w:hAnsi="黑体" w:eastAsia="黑体" w:cs="仿宋"/>
          <w:color w:val="333333"/>
          <w:kern w:val="0"/>
          <w:sz w:val="32"/>
          <w:szCs w:val="32"/>
        </w:rPr>
        <w:t>三、响应文件提交的截止时间、开启时间及地点</w:t>
      </w:r>
      <w:bookmarkEnd w:id="5"/>
    </w:p>
    <w:p w14:paraId="2B88B787">
      <w:pPr>
        <w:pStyle w:val="15"/>
        <w:snapToGrid w:val="0"/>
        <w:spacing w:before="0" w:beforeAutospacing="0" w:after="0" w:line="560" w:lineRule="exact"/>
        <w:ind w:left="0" w:leftChars="0" w:firstLine="643" w:firstLineChars="200"/>
        <w:outlineLvl w:val="3"/>
        <w:rPr>
          <w:rFonts w:hint="eastAsia" w:ascii="仿宋_GB2312" w:hAnsi="仿宋" w:eastAsia="仿宋_GB2312"/>
          <w:b/>
          <w:bCs/>
          <w:sz w:val="32"/>
          <w:szCs w:val="32"/>
        </w:rPr>
      </w:pPr>
      <w:r>
        <w:rPr>
          <w:rFonts w:hint="eastAsia" w:ascii="仿宋_GB2312" w:hAnsi="仿宋" w:eastAsia="仿宋_GB2312"/>
          <w:b/>
          <w:bCs/>
          <w:sz w:val="32"/>
          <w:szCs w:val="32"/>
        </w:rPr>
        <w:t>1．响应文件的提交截止时间</w:t>
      </w:r>
    </w:p>
    <w:p w14:paraId="054E6273">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2025年</w:t>
      </w:r>
      <w:r>
        <w:rPr>
          <w:rFonts w:hint="eastAsia" w:ascii="仿宋_GB2312" w:hAnsi="仿宋" w:eastAsia="仿宋_GB2312"/>
          <w:sz w:val="32"/>
          <w:szCs w:val="32"/>
          <w:lang w:val="en-US" w:eastAsia="zh-CN"/>
        </w:rPr>
        <w:t>6</w:t>
      </w:r>
      <w:r>
        <w:rPr>
          <w:rFonts w:hint="eastAsia" w:ascii="仿宋_GB2312" w:hAnsi="仿宋" w:eastAsia="仿宋_GB2312"/>
          <w:sz w:val="32"/>
          <w:szCs w:val="32"/>
        </w:rPr>
        <w:t>月</w:t>
      </w:r>
      <w:r>
        <w:rPr>
          <w:rFonts w:hint="eastAsia" w:ascii="仿宋_GB2312" w:hAnsi="仿宋" w:eastAsia="仿宋_GB2312"/>
          <w:sz w:val="32"/>
          <w:szCs w:val="32"/>
          <w:lang w:val="en-US" w:eastAsia="zh-CN"/>
        </w:rPr>
        <w:t>4</w:t>
      </w:r>
      <w:r>
        <w:rPr>
          <w:rFonts w:hint="eastAsia" w:ascii="仿宋_GB2312" w:hAnsi="仿宋" w:eastAsia="仿宋_GB2312"/>
          <w:sz w:val="32"/>
          <w:szCs w:val="32"/>
        </w:rPr>
        <w:t>日</w:t>
      </w:r>
      <w:r>
        <w:rPr>
          <w:rFonts w:ascii="仿宋_GB2312" w:hAnsi="仿宋" w:eastAsia="仿宋_GB2312"/>
          <w:sz w:val="32"/>
          <w:szCs w:val="32"/>
        </w:rPr>
        <w:t>10</w:t>
      </w:r>
      <w:r>
        <w:rPr>
          <w:rFonts w:hint="eastAsia" w:ascii="仿宋_GB2312" w:hAnsi="仿宋" w:eastAsia="仿宋_GB2312"/>
          <w:sz w:val="32"/>
          <w:szCs w:val="32"/>
        </w:rPr>
        <w:t>时。</w:t>
      </w:r>
    </w:p>
    <w:p w14:paraId="0B608DF8">
      <w:pPr>
        <w:pStyle w:val="15"/>
        <w:snapToGrid w:val="0"/>
        <w:spacing w:before="0" w:beforeAutospacing="0" w:after="0" w:line="560" w:lineRule="exact"/>
        <w:ind w:left="0" w:leftChars="0" w:firstLine="643" w:firstLineChars="200"/>
        <w:outlineLvl w:val="3"/>
        <w:rPr>
          <w:rFonts w:hint="eastAsia" w:ascii="仿宋_GB2312" w:hAnsi="仿宋" w:eastAsia="仿宋_GB2312"/>
          <w:b/>
          <w:bCs/>
          <w:sz w:val="32"/>
          <w:szCs w:val="32"/>
        </w:rPr>
      </w:pPr>
      <w:r>
        <w:rPr>
          <w:rFonts w:hint="eastAsia" w:ascii="仿宋_GB2312" w:hAnsi="仿宋" w:eastAsia="仿宋_GB2312"/>
          <w:b/>
          <w:bCs/>
          <w:sz w:val="32"/>
          <w:szCs w:val="32"/>
        </w:rPr>
        <w:t>2．响应文件的开启时间</w:t>
      </w:r>
    </w:p>
    <w:p w14:paraId="5FCFB0A5">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2025年</w:t>
      </w:r>
      <w:r>
        <w:rPr>
          <w:rFonts w:hint="eastAsia" w:ascii="仿宋_GB2312" w:hAnsi="仿宋" w:eastAsia="仿宋_GB2312"/>
          <w:sz w:val="32"/>
          <w:szCs w:val="32"/>
          <w:lang w:val="en-US" w:eastAsia="zh-CN"/>
        </w:rPr>
        <w:t>6</w:t>
      </w:r>
      <w:r>
        <w:rPr>
          <w:rFonts w:hint="eastAsia" w:ascii="仿宋_GB2312" w:hAnsi="仿宋" w:eastAsia="仿宋_GB2312"/>
          <w:sz w:val="32"/>
          <w:szCs w:val="32"/>
        </w:rPr>
        <w:t>月</w:t>
      </w:r>
      <w:r>
        <w:rPr>
          <w:rFonts w:hint="eastAsia" w:ascii="仿宋_GB2312" w:hAnsi="仿宋" w:eastAsia="仿宋_GB2312"/>
          <w:sz w:val="32"/>
          <w:szCs w:val="32"/>
          <w:lang w:val="en-US" w:eastAsia="zh-CN"/>
        </w:rPr>
        <w:t>4</w:t>
      </w:r>
      <w:r>
        <w:rPr>
          <w:rFonts w:hint="eastAsia" w:ascii="仿宋_GB2312" w:hAnsi="仿宋" w:eastAsia="仿宋_GB2312"/>
          <w:sz w:val="32"/>
          <w:szCs w:val="32"/>
        </w:rPr>
        <w:t>日</w:t>
      </w:r>
      <w:r>
        <w:rPr>
          <w:rFonts w:ascii="仿宋_GB2312" w:hAnsi="仿宋" w:eastAsia="仿宋_GB2312"/>
          <w:sz w:val="32"/>
          <w:szCs w:val="32"/>
        </w:rPr>
        <w:t>10</w:t>
      </w:r>
      <w:r>
        <w:rPr>
          <w:rFonts w:hint="eastAsia" w:ascii="仿宋_GB2312" w:hAnsi="仿宋" w:eastAsia="仿宋_GB2312"/>
          <w:sz w:val="32"/>
          <w:szCs w:val="32"/>
        </w:rPr>
        <w:t>时。</w:t>
      </w:r>
    </w:p>
    <w:p w14:paraId="1C67C3E5">
      <w:pPr>
        <w:pStyle w:val="15"/>
        <w:snapToGrid w:val="0"/>
        <w:spacing w:before="0" w:beforeAutospacing="0" w:after="0" w:line="560" w:lineRule="exact"/>
        <w:ind w:left="0" w:leftChars="0" w:firstLine="643" w:firstLineChars="200"/>
        <w:outlineLvl w:val="3"/>
        <w:rPr>
          <w:rFonts w:hint="eastAsia" w:ascii="仿宋_GB2312" w:hAnsi="仿宋" w:eastAsia="仿宋_GB2312"/>
          <w:b/>
          <w:bCs/>
          <w:sz w:val="32"/>
          <w:szCs w:val="32"/>
        </w:rPr>
      </w:pPr>
      <w:r>
        <w:rPr>
          <w:rFonts w:hint="eastAsia" w:ascii="仿宋_GB2312" w:hAnsi="仿宋" w:eastAsia="仿宋_GB2312"/>
          <w:b/>
          <w:bCs/>
          <w:sz w:val="32"/>
          <w:szCs w:val="32"/>
        </w:rPr>
        <w:t>3．响应文件的开启地点</w:t>
      </w:r>
    </w:p>
    <w:p w14:paraId="63DB6ACB">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湖南铁道职业技术学院。</w:t>
      </w:r>
    </w:p>
    <w:p w14:paraId="35D4FC64">
      <w:pPr>
        <w:snapToGrid w:val="0"/>
        <w:spacing w:line="560" w:lineRule="exact"/>
        <w:ind w:firstLine="640" w:firstLineChars="200"/>
        <w:outlineLvl w:val="1"/>
        <w:rPr>
          <w:rFonts w:hint="eastAsia" w:ascii="黑体" w:hAnsi="黑体" w:eastAsia="黑体" w:cs="仿宋"/>
          <w:color w:val="333333"/>
          <w:kern w:val="0"/>
          <w:sz w:val="32"/>
          <w:szCs w:val="32"/>
        </w:rPr>
      </w:pPr>
      <w:bookmarkStart w:id="6" w:name="_Toc58335832"/>
      <w:r>
        <w:rPr>
          <w:rFonts w:hint="eastAsia" w:ascii="黑体" w:hAnsi="黑体" w:eastAsia="黑体" w:cs="仿宋"/>
          <w:color w:val="333333"/>
          <w:kern w:val="0"/>
          <w:sz w:val="32"/>
          <w:szCs w:val="32"/>
        </w:rPr>
        <w:t>四、公告期限</w:t>
      </w:r>
      <w:bookmarkEnd w:id="6"/>
    </w:p>
    <w:p w14:paraId="20F5FB5A">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本招标公告在湖南铁道职业技术学院官网（www.</w:t>
      </w:r>
      <w:r>
        <w:rPr>
          <w:rFonts w:ascii="仿宋_GB2312" w:hAnsi="仿宋" w:eastAsia="仿宋_GB2312"/>
          <w:sz w:val="32"/>
          <w:szCs w:val="32"/>
        </w:rPr>
        <w:t>hnrpc.com</w:t>
      </w:r>
      <w:r>
        <w:rPr>
          <w:rFonts w:hint="eastAsia" w:ascii="仿宋_GB2312" w:hAnsi="仿宋" w:eastAsia="仿宋_GB2312"/>
          <w:sz w:val="32"/>
          <w:szCs w:val="32"/>
        </w:rPr>
        <w:t>）发布。公告期限从本招标公告发布之日起3个工作日。</w:t>
      </w:r>
    </w:p>
    <w:p w14:paraId="0C946E80">
      <w:pPr>
        <w:snapToGrid w:val="0"/>
        <w:spacing w:line="560" w:lineRule="exact"/>
        <w:ind w:firstLine="640" w:firstLineChars="200"/>
        <w:outlineLvl w:val="1"/>
        <w:rPr>
          <w:rFonts w:hint="eastAsia" w:ascii="黑体" w:hAnsi="黑体" w:eastAsia="黑体" w:cs="仿宋"/>
          <w:color w:val="333333"/>
          <w:kern w:val="0"/>
          <w:sz w:val="32"/>
          <w:szCs w:val="32"/>
        </w:rPr>
      </w:pPr>
      <w:bookmarkStart w:id="7" w:name="_Toc58335833"/>
      <w:r>
        <w:rPr>
          <w:rFonts w:hint="eastAsia" w:ascii="黑体" w:hAnsi="黑体" w:eastAsia="黑体" w:cs="仿宋"/>
          <w:color w:val="333333"/>
          <w:kern w:val="0"/>
          <w:sz w:val="32"/>
          <w:szCs w:val="32"/>
        </w:rPr>
        <w:t>五、疑问及质疑</w:t>
      </w:r>
      <w:bookmarkEnd w:id="7"/>
    </w:p>
    <w:p w14:paraId="0487828B">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1．潜在投标人对采购活动事项如有疑问的，可以向采购人提出询问。采购人将在3个工作日内作出答复。</w:t>
      </w:r>
    </w:p>
    <w:p w14:paraId="21DBEE99">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2．潜在投标人认为招标文件或招标公告使自己的合法权益受到损害的，可以在收到招标文件之日或招标公告期限届满之日起7个工作日内，以书面形式向采购人提出质疑。</w:t>
      </w:r>
    </w:p>
    <w:p w14:paraId="42A84C11">
      <w:pPr>
        <w:snapToGrid w:val="0"/>
        <w:spacing w:line="560" w:lineRule="exact"/>
        <w:ind w:firstLine="640" w:firstLineChars="200"/>
        <w:outlineLvl w:val="1"/>
        <w:rPr>
          <w:rFonts w:hint="eastAsia" w:ascii="黑体" w:hAnsi="黑体" w:eastAsia="黑体" w:cs="仿宋"/>
          <w:color w:val="333333"/>
          <w:kern w:val="0"/>
          <w:sz w:val="32"/>
          <w:szCs w:val="32"/>
        </w:rPr>
      </w:pPr>
      <w:bookmarkStart w:id="8" w:name="_Toc58335834"/>
      <w:r>
        <w:rPr>
          <w:rFonts w:hint="eastAsia" w:ascii="黑体" w:hAnsi="黑体" w:eastAsia="黑体" w:cs="仿宋"/>
          <w:color w:val="333333"/>
          <w:kern w:val="0"/>
          <w:sz w:val="32"/>
          <w:szCs w:val="32"/>
        </w:rPr>
        <w:t>六、采购项目联系人姓名和电话</w:t>
      </w:r>
      <w:bookmarkEnd w:id="8"/>
    </w:p>
    <w:p w14:paraId="39A62B23">
      <w:pPr>
        <w:pStyle w:val="15"/>
        <w:snapToGrid w:val="0"/>
        <w:spacing w:before="0" w:beforeAutospacing="0" w:after="0" w:line="560" w:lineRule="exact"/>
        <w:ind w:left="0" w:leftChars="0" w:firstLine="643" w:firstLineChars="200"/>
        <w:outlineLvl w:val="3"/>
        <w:rPr>
          <w:rFonts w:hint="eastAsia" w:ascii="仿宋_GB2312" w:hAnsi="仿宋" w:eastAsia="仿宋_GB2312"/>
          <w:b/>
          <w:bCs/>
          <w:sz w:val="32"/>
          <w:szCs w:val="32"/>
        </w:rPr>
      </w:pPr>
      <w:r>
        <w:rPr>
          <w:rFonts w:hint="eastAsia" w:ascii="仿宋_GB2312" w:hAnsi="仿宋" w:eastAsia="仿宋_GB2312"/>
          <w:b/>
          <w:bCs/>
          <w:sz w:val="32"/>
          <w:szCs w:val="32"/>
        </w:rPr>
        <w:t>1．采购项目联系人</w:t>
      </w:r>
    </w:p>
    <w:p w14:paraId="3FA64961">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联系人：刘老师</w:t>
      </w:r>
    </w:p>
    <w:p w14:paraId="3B375338">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电  话：</w:t>
      </w:r>
      <w:r>
        <w:rPr>
          <w:rFonts w:ascii="仿宋_GB2312" w:hAnsi="仿宋" w:eastAsia="仿宋_GB2312"/>
          <w:sz w:val="32"/>
          <w:szCs w:val="32"/>
        </w:rPr>
        <w:t>13507335467</w:t>
      </w:r>
    </w:p>
    <w:p w14:paraId="77569E67">
      <w:pPr>
        <w:pStyle w:val="15"/>
        <w:snapToGrid w:val="0"/>
        <w:spacing w:before="0" w:beforeAutospacing="0" w:after="0" w:line="560" w:lineRule="exact"/>
        <w:ind w:left="0" w:leftChars="0" w:firstLine="643" w:firstLineChars="200"/>
        <w:outlineLvl w:val="3"/>
        <w:rPr>
          <w:rFonts w:hint="eastAsia" w:ascii="仿宋_GB2312" w:hAnsi="仿宋" w:eastAsia="仿宋_GB2312"/>
          <w:b/>
          <w:bCs/>
          <w:sz w:val="32"/>
          <w:szCs w:val="32"/>
        </w:rPr>
      </w:pPr>
      <w:r>
        <w:rPr>
          <w:rFonts w:hint="eastAsia" w:ascii="仿宋_GB2312" w:hAnsi="仿宋" w:eastAsia="仿宋_GB2312"/>
          <w:b/>
          <w:bCs/>
          <w:sz w:val="32"/>
          <w:szCs w:val="32"/>
        </w:rPr>
        <w:t>2．采购人信息</w:t>
      </w:r>
    </w:p>
    <w:p w14:paraId="7D39B19C">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名  称：湖南铁道职业技术学院</w:t>
      </w:r>
    </w:p>
    <w:p w14:paraId="6EF3EAB0">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地  址：株洲市石峰区田心路18号</w:t>
      </w:r>
    </w:p>
    <w:p w14:paraId="08D2C7E5">
      <w:pPr>
        <w:widowControl/>
        <w:jc w:val="left"/>
        <w:rPr>
          <w:rFonts w:hint="eastAsia" w:ascii="仿宋" w:hAnsi="仿宋" w:eastAsia="仿宋" w:cstheme="minorEastAsia"/>
          <w:sz w:val="24"/>
          <w:szCs w:val="24"/>
        </w:rPr>
      </w:pPr>
      <w:r>
        <w:rPr>
          <w:rFonts w:hint="eastAsia" w:ascii="仿宋" w:hAnsi="仿宋" w:eastAsia="仿宋" w:cstheme="minorEastAsia"/>
          <w:sz w:val="24"/>
          <w:szCs w:val="24"/>
        </w:rPr>
        <w:br w:type="page"/>
      </w:r>
    </w:p>
    <w:p w14:paraId="611302C1">
      <w:pPr>
        <w:spacing w:line="700" w:lineRule="exact"/>
        <w:jc w:val="center"/>
        <w:outlineLvl w:val="0"/>
        <w:rPr>
          <w:rFonts w:hint="eastAsia" w:ascii="方正小标宋简体" w:hAnsi="黑体" w:eastAsia="方正小标宋简体"/>
          <w:bCs/>
          <w:spacing w:val="10"/>
          <w:sz w:val="44"/>
          <w:szCs w:val="44"/>
        </w:rPr>
      </w:pPr>
      <w:r>
        <w:rPr>
          <w:rFonts w:ascii="方正小标宋简体" w:hAnsi="黑体" w:eastAsia="方正小标宋简体"/>
          <w:bCs/>
          <w:spacing w:val="10"/>
          <w:sz w:val="44"/>
          <w:szCs w:val="44"/>
        </w:rPr>
        <w:t>采购需求</w:t>
      </w:r>
    </w:p>
    <w:p w14:paraId="64323B37">
      <w:pPr>
        <w:snapToGrid w:val="0"/>
        <w:spacing w:line="560" w:lineRule="exact"/>
        <w:ind w:firstLine="640" w:firstLineChars="200"/>
        <w:outlineLvl w:val="1"/>
        <w:rPr>
          <w:rFonts w:hint="eastAsia" w:ascii="黑体" w:hAnsi="黑体" w:eastAsia="黑体" w:cs="仿宋"/>
          <w:color w:val="333333"/>
          <w:kern w:val="0"/>
          <w:sz w:val="32"/>
          <w:szCs w:val="32"/>
        </w:rPr>
      </w:pPr>
      <w:r>
        <w:rPr>
          <w:rFonts w:hint="eastAsia" w:ascii="黑体" w:hAnsi="黑体" w:eastAsia="黑体" w:cs="仿宋"/>
          <w:color w:val="333333"/>
          <w:kern w:val="0"/>
          <w:sz w:val="32"/>
          <w:szCs w:val="32"/>
        </w:rPr>
        <w:t>一、项目基本情况</w:t>
      </w:r>
    </w:p>
    <w:p w14:paraId="6817EE92">
      <w:pPr>
        <w:pStyle w:val="15"/>
        <w:snapToGrid w:val="0"/>
        <w:spacing w:before="0" w:beforeAutospacing="0" w:after="0" w:line="560" w:lineRule="exact"/>
        <w:ind w:left="0" w:leftChars="0" w:firstLine="643" w:firstLineChars="200"/>
        <w:outlineLvl w:val="3"/>
        <w:rPr>
          <w:rFonts w:hint="eastAsia" w:ascii="仿宋_GB2312" w:hAnsi="仿宋" w:eastAsia="仿宋_GB2312"/>
          <w:b/>
          <w:bCs/>
          <w:sz w:val="32"/>
          <w:szCs w:val="32"/>
        </w:rPr>
      </w:pPr>
      <w:r>
        <w:rPr>
          <w:rFonts w:hint="eastAsia" w:ascii="仿宋_GB2312" w:hAnsi="仿宋" w:eastAsia="仿宋_GB2312"/>
          <w:b/>
          <w:bCs/>
          <w:sz w:val="32"/>
          <w:szCs w:val="32"/>
        </w:rPr>
        <w:t>1．项目名称</w:t>
      </w:r>
    </w:p>
    <w:p w14:paraId="38292FCB">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2025年内部审计服务项目。</w:t>
      </w:r>
    </w:p>
    <w:p w14:paraId="2A47A9FA">
      <w:pPr>
        <w:pStyle w:val="15"/>
        <w:snapToGrid w:val="0"/>
        <w:spacing w:before="0" w:beforeAutospacing="0" w:after="0" w:line="560" w:lineRule="exact"/>
        <w:ind w:left="0" w:leftChars="0" w:firstLine="643" w:firstLineChars="200"/>
        <w:outlineLvl w:val="3"/>
        <w:rPr>
          <w:rFonts w:hint="eastAsia" w:ascii="仿宋_GB2312" w:hAnsi="仿宋" w:eastAsia="仿宋_GB2312"/>
          <w:b/>
          <w:bCs/>
          <w:sz w:val="32"/>
          <w:szCs w:val="32"/>
        </w:rPr>
      </w:pPr>
      <w:r>
        <w:rPr>
          <w:rFonts w:hint="eastAsia" w:ascii="仿宋_GB2312" w:hAnsi="仿宋" w:eastAsia="仿宋_GB2312"/>
          <w:b/>
          <w:bCs/>
          <w:sz w:val="32"/>
          <w:szCs w:val="32"/>
        </w:rPr>
        <w:t>2．服务期限</w:t>
      </w:r>
    </w:p>
    <w:p w14:paraId="5A3630E4">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按审计委托协议的约定。</w:t>
      </w:r>
    </w:p>
    <w:p w14:paraId="60F11589">
      <w:pPr>
        <w:snapToGrid w:val="0"/>
        <w:spacing w:line="560" w:lineRule="exact"/>
        <w:ind w:firstLine="640" w:firstLineChars="200"/>
        <w:outlineLvl w:val="1"/>
        <w:rPr>
          <w:rFonts w:hint="eastAsia" w:ascii="黑体" w:hAnsi="黑体" w:eastAsia="黑体" w:cs="仿宋"/>
          <w:color w:val="333333"/>
          <w:kern w:val="0"/>
          <w:sz w:val="32"/>
          <w:szCs w:val="32"/>
        </w:rPr>
      </w:pPr>
      <w:r>
        <w:rPr>
          <w:rFonts w:hint="eastAsia" w:ascii="黑体" w:hAnsi="黑体" w:eastAsia="黑体" w:cs="仿宋"/>
          <w:color w:val="333333"/>
          <w:kern w:val="0"/>
          <w:sz w:val="32"/>
          <w:szCs w:val="32"/>
        </w:rPr>
        <w:t>二、服务内容及要求</w:t>
      </w:r>
    </w:p>
    <w:p w14:paraId="56927168">
      <w:pPr>
        <w:spacing w:line="560" w:lineRule="exact"/>
        <w:ind w:firstLine="643" w:firstLineChars="200"/>
        <w:outlineLvl w:val="2"/>
        <w:rPr>
          <w:rFonts w:hint="eastAsia" w:ascii="楷体_GB2312" w:hAnsi="仿宋" w:eastAsia="楷体_GB2312" w:cs="仿宋"/>
          <w:b/>
          <w:bCs/>
          <w:color w:val="333333"/>
          <w:kern w:val="0"/>
          <w:sz w:val="32"/>
          <w:szCs w:val="32"/>
        </w:rPr>
      </w:pPr>
      <w:r>
        <w:rPr>
          <w:rFonts w:hint="eastAsia" w:ascii="楷体_GB2312" w:hAnsi="仿宋" w:eastAsia="楷体_GB2312" w:cs="仿宋"/>
          <w:b/>
          <w:bCs/>
          <w:color w:val="333333"/>
          <w:kern w:val="0"/>
          <w:sz w:val="32"/>
          <w:szCs w:val="32"/>
        </w:rPr>
        <w:t>（一）预算执行绩效审计</w:t>
      </w:r>
    </w:p>
    <w:p w14:paraId="4B1594AC">
      <w:pPr>
        <w:pStyle w:val="15"/>
        <w:snapToGrid w:val="0"/>
        <w:spacing w:before="0" w:beforeAutospacing="0" w:after="0" w:line="560" w:lineRule="exact"/>
        <w:ind w:left="0" w:leftChars="0" w:firstLine="643" w:firstLineChars="200"/>
        <w:outlineLvl w:val="3"/>
        <w:rPr>
          <w:rFonts w:hint="eastAsia" w:ascii="仿宋_GB2312" w:hAnsi="仿宋" w:eastAsia="仿宋_GB2312"/>
          <w:b/>
          <w:bCs/>
          <w:sz w:val="32"/>
          <w:szCs w:val="32"/>
        </w:rPr>
      </w:pPr>
      <w:r>
        <w:rPr>
          <w:rFonts w:ascii="仿宋_GB2312" w:hAnsi="仿宋" w:eastAsia="仿宋_GB2312"/>
          <w:b/>
          <w:bCs/>
          <w:sz w:val="32"/>
          <w:szCs w:val="32"/>
        </w:rPr>
        <w:t>1</w:t>
      </w:r>
      <w:r>
        <w:rPr>
          <w:rFonts w:hint="eastAsia" w:ascii="仿宋_GB2312" w:hAnsi="仿宋" w:eastAsia="仿宋_GB2312"/>
          <w:b/>
          <w:bCs/>
          <w:sz w:val="32"/>
          <w:szCs w:val="32"/>
        </w:rPr>
        <w:t>．预算管理</w:t>
      </w:r>
    </w:p>
    <w:p w14:paraId="15F567EC">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审查预算项目库是否健全，预算编制是否结合学校事业发展规划，是否存在项目重复申报、资金分配不合理等问题。核查预算调整是否履行审批程序，调整理由是否充分，是否存在随意调整预算规避监管的情况。检查决算编制是否真实反映预算执行结果，账表是否一致，有无虚增或隐瞒收支。</w:t>
      </w:r>
    </w:p>
    <w:p w14:paraId="02A08F9F">
      <w:pPr>
        <w:pStyle w:val="15"/>
        <w:snapToGrid w:val="0"/>
        <w:spacing w:before="0" w:beforeAutospacing="0" w:after="0" w:line="560" w:lineRule="exact"/>
        <w:ind w:left="0" w:leftChars="0" w:firstLine="643" w:firstLineChars="200"/>
        <w:outlineLvl w:val="3"/>
        <w:rPr>
          <w:rFonts w:hint="eastAsia" w:ascii="仿宋_GB2312" w:hAnsi="仿宋" w:eastAsia="仿宋_GB2312"/>
          <w:b/>
          <w:bCs/>
          <w:sz w:val="32"/>
          <w:szCs w:val="32"/>
        </w:rPr>
      </w:pPr>
      <w:r>
        <w:rPr>
          <w:rFonts w:ascii="仿宋_GB2312" w:hAnsi="仿宋" w:eastAsia="仿宋_GB2312"/>
          <w:b/>
          <w:bCs/>
          <w:sz w:val="32"/>
          <w:szCs w:val="32"/>
        </w:rPr>
        <w:t>2</w:t>
      </w:r>
      <w:r>
        <w:rPr>
          <w:rFonts w:hint="eastAsia" w:ascii="仿宋_GB2312" w:hAnsi="仿宋" w:eastAsia="仿宋_GB2312"/>
          <w:b/>
          <w:bCs/>
          <w:sz w:val="32"/>
          <w:szCs w:val="32"/>
        </w:rPr>
        <w:t>．收入管理</w:t>
      </w:r>
    </w:p>
    <w:p w14:paraId="64B273CB">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全面核对学费、住宿费、科研收入等各项收入是否及时足额上缴财政，是否存在截留收入用于“小金库”、坐支挪用等违规行为。重点排查国有资产出租收入、捐赠收入等非财政拨款收入是否纳入统一管理，是否存在收入脱离财政监管的情况。</w:t>
      </w:r>
    </w:p>
    <w:p w14:paraId="2D1112F5">
      <w:pPr>
        <w:pStyle w:val="15"/>
        <w:snapToGrid w:val="0"/>
        <w:spacing w:before="0" w:beforeAutospacing="0" w:after="0" w:line="560" w:lineRule="exact"/>
        <w:ind w:left="0" w:leftChars="0" w:firstLine="643" w:firstLineChars="200"/>
        <w:outlineLvl w:val="3"/>
        <w:rPr>
          <w:rFonts w:hint="eastAsia" w:ascii="仿宋_GB2312" w:hAnsi="仿宋" w:eastAsia="仿宋_GB2312"/>
          <w:b/>
          <w:bCs/>
          <w:sz w:val="32"/>
          <w:szCs w:val="32"/>
        </w:rPr>
      </w:pPr>
      <w:r>
        <w:rPr>
          <w:rFonts w:ascii="仿宋_GB2312" w:hAnsi="仿宋" w:eastAsia="仿宋_GB2312"/>
          <w:b/>
          <w:bCs/>
          <w:sz w:val="32"/>
          <w:szCs w:val="32"/>
        </w:rPr>
        <w:t>3</w:t>
      </w:r>
      <w:r>
        <w:rPr>
          <w:rFonts w:hint="eastAsia" w:ascii="仿宋_GB2312" w:hAnsi="仿宋" w:eastAsia="仿宋_GB2312"/>
          <w:b/>
          <w:bCs/>
          <w:sz w:val="32"/>
          <w:szCs w:val="32"/>
        </w:rPr>
        <w:t>．支出管理</w:t>
      </w:r>
    </w:p>
    <w:p w14:paraId="0311142E">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审查各项支出是否严格执行预算，有无超预算、无预算支出，尤其是“三公经费”、会议费等是否符合开支标准。核查专项资金使用是否专款专用，是否存在虚列项目套取资金、资金长期闲置未使用或违规改变用途等问题。分析支出结构合理性，重点关注人员经费、公用经费、项目经费占比是否符合政策要求，是否存在资源浪费。</w:t>
      </w:r>
    </w:p>
    <w:p w14:paraId="413FCDA7">
      <w:pPr>
        <w:pStyle w:val="15"/>
        <w:snapToGrid w:val="0"/>
        <w:spacing w:before="0" w:beforeAutospacing="0" w:after="0" w:line="560" w:lineRule="exact"/>
        <w:ind w:left="0" w:leftChars="0" w:firstLine="643" w:firstLineChars="200"/>
        <w:outlineLvl w:val="3"/>
        <w:rPr>
          <w:rFonts w:hint="eastAsia" w:ascii="仿宋_GB2312" w:hAnsi="仿宋" w:eastAsia="仿宋_GB2312"/>
          <w:b/>
          <w:bCs/>
          <w:sz w:val="32"/>
          <w:szCs w:val="32"/>
        </w:rPr>
      </w:pPr>
      <w:r>
        <w:rPr>
          <w:rFonts w:ascii="仿宋_GB2312" w:hAnsi="仿宋" w:eastAsia="仿宋_GB2312"/>
          <w:b/>
          <w:bCs/>
          <w:sz w:val="32"/>
          <w:szCs w:val="32"/>
        </w:rPr>
        <w:t>4</w:t>
      </w:r>
      <w:r>
        <w:rPr>
          <w:rFonts w:hint="eastAsia" w:ascii="仿宋_GB2312" w:hAnsi="仿宋" w:eastAsia="仿宋_GB2312"/>
          <w:b/>
          <w:bCs/>
          <w:sz w:val="32"/>
          <w:szCs w:val="32"/>
        </w:rPr>
        <w:t>．绩效管理</w:t>
      </w:r>
    </w:p>
    <w:p w14:paraId="47C14833">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评估绩效目标设定是否科学可量化，是否与预算项目紧密匹配，是否存在目标空洞、难以考核的情况。检查绩效监控是否贯穿预算执行全过程，是否及时纠正偏离目标的行为；绩效评价是否客观反映资金实际效益，有无走过场现象。</w:t>
      </w:r>
    </w:p>
    <w:p w14:paraId="5CFBB6C6">
      <w:pPr>
        <w:pStyle w:val="15"/>
        <w:snapToGrid w:val="0"/>
        <w:spacing w:before="0" w:beforeAutospacing="0" w:after="0" w:line="560" w:lineRule="exact"/>
        <w:ind w:left="0" w:leftChars="0" w:firstLine="643" w:firstLineChars="200"/>
        <w:outlineLvl w:val="3"/>
        <w:rPr>
          <w:rFonts w:hint="eastAsia" w:ascii="仿宋_GB2312" w:hAnsi="仿宋" w:eastAsia="仿宋_GB2312"/>
          <w:b/>
          <w:bCs/>
          <w:sz w:val="32"/>
          <w:szCs w:val="32"/>
        </w:rPr>
      </w:pPr>
      <w:r>
        <w:rPr>
          <w:rFonts w:ascii="仿宋_GB2312" w:hAnsi="仿宋" w:eastAsia="仿宋_GB2312"/>
          <w:b/>
          <w:bCs/>
          <w:sz w:val="32"/>
          <w:szCs w:val="32"/>
        </w:rPr>
        <w:t>5</w:t>
      </w:r>
      <w:r>
        <w:rPr>
          <w:rFonts w:hint="eastAsia" w:ascii="仿宋_GB2312" w:hAnsi="仿宋" w:eastAsia="仿宋_GB2312"/>
          <w:b/>
          <w:bCs/>
          <w:sz w:val="32"/>
          <w:szCs w:val="32"/>
        </w:rPr>
        <w:t>．内部控制</w:t>
      </w:r>
    </w:p>
    <w:p w14:paraId="3F9FB980">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审查学校内部控制制度是否覆盖预算、收支、采购等关键环节，制度执行是否有效，如印鉴分管、审批流程是否合规。排查资金管理、资产处置等领域的风险点，评估内部控制是否有效防范舞弊和管理漏洞。</w:t>
      </w:r>
    </w:p>
    <w:p w14:paraId="6D9C28BB">
      <w:pPr>
        <w:pStyle w:val="15"/>
        <w:snapToGrid w:val="0"/>
        <w:spacing w:before="0" w:beforeAutospacing="0" w:after="0" w:line="560" w:lineRule="exact"/>
        <w:ind w:left="0" w:leftChars="0" w:firstLine="643" w:firstLineChars="200"/>
        <w:outlineLvl w:val="3"/>
        <w:rPr>
          <w:rFonts w:hint="eastAsia" w:ascii="仿宋_GB2312" w:hAnsi="仿宋" w:eastAsia="仿宋_GB2312"/>
          <w:b/>
          <w:bCs/>
          <w:sz w:val="32"/>
          <w:szCs w:val="32"/>
        </w:rPr>
      </w:pPr>
      <w:r>
        <w:rPr>
          <w:rFonts w:ascii="仿宋_GB2312" w:hAnsi="仿宋" w:eastAsia="仿宋_GB2312"/>
          <w:b/>
          <w:bCs/>
          <w:sz w:val="32"/>
          <w:szCs w:val="32"/>
        </w:rPr>
        <w:t>6</w:t>
      </w:r>
      <w:r>
        <w:rPr>
          <w:rFonts w:hint="eastAsia" w:ascii="仿宋_GB2312" w:hAnsi="仿宋" w:eastAsia="仿宋_GB2312"/>
          <w:b/>
          <w:bCs/>
          <w:sz w:val="32"/>
          <w:szCs w:val="32"/>
        </w:rPr>
        <w:t>．问题整改</w:t>
      </w:r>
    </w:p>
    <w:p w14:paraId="1AD387D8">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对照上年度巡视、审计反馈问题清单，逐项核查整改措施是否落实，整改结果是否到位，有无虚假整改或屡改屡犯情况。</w:t>
      </w:r>
    </w:p>
    <w:p w14:paraId="400F3153">
      <w:pPr>
        <w:spacing w:line="560" w:lineRule="exact"/>
        <w:ind w:firstLine="643" w:firstLineChars="200"/>
        <w:outlineLvl w:val="2"/>
        <w:rPr>
          <w:rFonts w:hint="eastAsia" w:ascii="楷体_GB2312" w:hAnsi="仿宋" w:eastAsia="楷体_GB2312" w:cs="仿宋"/>
          <w:b/>
          <w:bCs/>
          <w:color w:val="333333"/>
          <w:kern w:val="0"/>
          <w:sz w:val="32"/>
          <w:szCs w:val="32"/>
        </w:rPr>
      </w:pPr>
      <w:r>
        <w:rPr>
          <w:rFonts w:hint="eastAsia" w:ascii="楷体_GB2312" w:hAnsi="仿宋" w:eastAsia="楷体_GB2312" w:cs="仿宋"/>
          <w:b/>
          <w:bCs/>
          <w:color w:val="333333"/>
          <w:kern w:val="0"/>
          <w:sz w:val="32"/>
          <w:szCs w:val="32"/>
        </w:rPr>
        <w:t>（二）学生资助资金绩效审计</w:t>
      </w:r>
    </w:p>
    <w:p w14:paraId="21E41E69">
      <w:pPr>
        <w:pStyle w:val="15"/>
        <w:snapToGrid w:val="0"/>
        <w:spacing w:before="0" w:beforeAutospacing="0" w:after="0" w:line="560" w:lineRule="exact"/>
        <w:ind w:left="0" w:leftChars="0" w:firstLine="643" w:firstLineChars="200"/>
        <w:outlineLvl w:val="3"/>
        <w:rPr>
          <w:rFonts w:hint="eastAsia" w:ascii="仿宋_GB2312" w:hAnsi="仿宋" w:eastAsia="仿宋_GB2312"/>
          <w:b/>
          <w:bCs/>
          <w:sz w:val="32"/>
          <w:szCs w:val="32"/>
        </w:rPr>
      </w:pPr>
      <w:r>
        <w:rPr>
          <w:rFonts w:ascii="仿宋_GB2312" w:hAnsi="仿宋" w:eastAsia="仿宋_GB2312"/>
          <w:b/>
          <w:bCs/>
          <w:sz w:val="32"/>
          <w:szCs w:val="32"/>
        </w:rPr>
        <w:t>1</w:t>
      </w:r>
      <w:r>
        <w:rPr>
          <w:rFonts w:hint="eastAsia" w:ascii="仿宋_GB2312" w:hAnsi="仿宋" w:eastAsia="仿宋_GB2312"/>
          <w:b/>
          <w:bCs/>
          <w:sz w:val="32"/>
          <w:szCs w:val="32"/>
        </w:rPr>
        <w:t>．政策落实</w:t>
      </w:r>
    </w:p>
    <w:p w14:paraId="476F7324">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核查国家奖学金、助学金等资助政策是否精准落地，资助对象认定是否严格遵循“公开、公平、公正”原则，是否存在优亲厚友、虚报身份（如隐瞒家庭经济状况）等违规认定情况。检查资助标准是否符合国家及省级规定，有无擅自提高或降低标准；资助发放流程是否规范，是否通过“一卡通”直接发放至学生账户，有无截留、克扣现象。</w:t>
      </w:r>
    </w:p>
    <w:p w14:paraId="19A1137B">
      <w:pPr>
        <w:pStyle w:val="15"/>
        <w:snapToGrid w:val="0"/>
        <w:spacing w:before="0" w:beforeAutospacing="0" w:after="0" w:line="560" w:lineRule="exact"/>
        <w:ind w:left="0" w:leftChars="0" w:firstLine="643" w:firstLineChars="200"/>
        <w:outlineLvl w:val="3"/>
        <w:rPr>
          <w:rFonts w:hint="eastAsia" w:ascii="仿宋_GB2312" w:hAnsi="仿宋" w:eastAsia="仿宋_GB2312"/>
          <w:b/>
          <w:bCs/>
          <w:sz w:val="32"/>
          <w:szCs w:val="32"/>
        </w:rPr>
      </w:pPr>
      <w:r>
        <w:rPr>
          <w:rFonts w:ascii="仿宋_GB2312" w:hAnsi="仿宋" w:eastAsia="仿宋_GB2312"/>
          <w:b/>
          <w:bCs/>
          <w:sz w:val="32"/>
          <w:szCs w:val="32"/>
        </w:rPr>
        <w:t>2</w:t>
      </w:r>
      <w:r>
        <w:rPr>
          <w:rFonts w:hint="eastAsia" w:ascii="仿宋_GB2312" w:hAnsi="仿宋" w:eastAsia="仿宋_GB2312"/>
          <w:b/>
          <w:bCs/>
          <w:sz w:val="32"/>
          <w:szCs w:val="32"/>
        </w:rPr>
        <w:t>．经费计提使用</w:t>
      </w:r>
    </w:p>
    <w:p w14:paraId="537522A2">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按学校学费收入总额的特定比例（如政策规定的</w:t>
      </w:r>
      <w:r>
        <w:rPr>
          <w:rFonts w:ascii="仿宋_GB2312" w:hAnsi="仿宋" w:eastAsia="仿宋_GB2312"/>
          <w:sz w:val="32"/>
          <w:szCs w:val="32"/>
        </w:rPr>
        <w:t>4%-6%</w:t>
      </w:r>
      <w:r>
        <w:rPr>
          <w:rFonts w:hint="eastAsia" w:ascii="仿宋_GB2312" w:hAnsi="仿宋" w:eastAsia="仿宋_GB2312"/>
          <w:sz w:val="32"/>
          <w:szCs w:val="32"/>
        </w:rPr>
        <w:t>），核查是否足额计提学生资助经费，是否存在应提未提或计提不足的情况。审查计提经费是否专项用于资助学生，有无挪用至其他行政开支、基建项目等违规用途。</w:t>
      </w:r>
    </w:p>
    <w:p w14:paraId="4FBE8F98">
      <w:pPr>
        <w:pStyle w:val="15"/>
        <w:snapToGrid w:val="0"/>
        <w:spacing w:before="0" w:beforeAutospacing="0" w:after="0" w:line="560" w:lineRule="exact"/>
        <w:ind w:left="0" w:leftChars="0" w:firstLine="643" w:firstLineChars="200"/>
        <w:outlineLvl w:val="3"/>
        <w:rPr>
          <w:rFonts w:hint="eastAsia" w:ascii="仿宋_GB2312" w:hAnsi="仿宋" w:eastAsia="仿宋_GB2312"/>
          <w:b/>
          <w:bCs/>
          <w:sz w:val="32"/>
          <w:szCs w:val="32"/>
        </w:rPr>
      </w:pPr>
      <w:r>
        <w:rPr>
          <w:rFonts w:ascii="仿宋_GB2312" w:hAnsi="仿宋" w:eastAsia="仿宋_GB2312"/>
          <w:b/>
          <w:bCs/>
          <w:sz w:val="32"/>
          <w:szCs w:val="32"/>
        </w:rPr>
        <w:t>3</w:t>
      </w:r>
      <w:r>
        <w:rPr>
          <w:rFonts w:hint="eastAsia" w:ascii="仿宋_GB2312" w:hAnsi="仿宋" w:eastAsia="仿宋_GB2312"/>
          <w:b/>
          <w:bCs/>
          <w:sz w:val="32"/>
          <w:szCs w:val="32"/>
        </w:rPr>
        <w:t>．资金管理</w:t>
      </w:r>
    </w:p>
    <w:p w14:paraId="5C97A5E4">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检查资助资金预算编制是否合理，是否与实际资助需求匹配；资金拨付是否及时，有无拖延发放影响学生权益的问题。重点排查是否存在通过虚构学生信息、伪造申请材料等方式虚报冒领资金，或拆分资金用于非资助用途的行为。</w:t>
      </w:r>
    </w:p>
    <w:p w14:paraId="40C3F657">
      <w:pPr>
        <w:pStyle w:val="15"/>
        <w:snapToGrid w:val="0"/>
        <w:spacing w:before="0" w:beforeAutospacing="0" w:after="0" w:line="560" w:lineRule="exact"/>
        <w:ind w:left="0" w:leftChars="0" w:firstLine="643" w:firstLineChars="200"/>
        <w:outlineLvl w:val="3"/>
        <w:rPr>
          <w:rFonts w:hint="eastAsia" w:ascii="仿宋_GB2312" w:hAnsi="仿宋" w:eastAsia="仿宋_GB2312"/>
          <w:b/>
          <w:bCs/>
          <w:sz w:val="32"/>
          <w:szCs w:val="32"/>
        </w:rPr>
      </w:pPr>
      <w:r>
        <w:rPr>
          <w:rFonts w:ascii="仿宋_GB2312" w:hAnsi="仿宋" w:eastAsia="仿宋_GB2312"/>
          <w:b/>
          <w:bCs/>
          <w:sz w:val="32"/>
          <w:szCs w:val="32"/>
        </w:rPr>
        <w:t>4</w:t>
      </w:r>
      <w:r>
        <w:rPr>
          <w:rFonts w:hint="eastAsia" w:ascii="仿宋_GB2312" w:hAnsi="仿宋" w:eastAsia="仿宋_GB2312"/>
          <w:b/>
          <w:bCs/>
          <w:sz w:val="32"/>
          <w:szCs w:val="32"/>
        </w:rPr>
        <w:t>．档案管理</w:t>
      </w:r>
    </w:p>
    <w:p w14:paraId="38CE51A1">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核查资助档案（如申请表、家庭经济困难证明、发放记录等）是否完整齐全，是否按年度分类归档，电子信息是否安全存储，有无泄露学生隐私的风险。</w:t>
      </w:r>
    </w:p>
    <w:p w14:paraId="5E1E6826">
      <w:pPr>
        <w:pStyle w:val="15"/>
        <w:snapToGrid w:val="0"/>
        <w:spacing w:before="0" w:beforeAutospacing="0" w:after="0" w:line="560" w:lineRule="exact"/>
        <w:ind w:left="0" w:leftChars="0" w:firstLine="643" w:firstLineChars="200"/>
        <w:outlineLvl w:val="3"/>
        <w:rPr>
          <w:rFonts w:hint="eastAsia" w:ascii="仿宋_GB2312" w:hAnsi="仿宋" w:eastAsia="仿宋_GB2312"/>
          <w:b/>
          <w:bCs/>
          <w:sz w:val="32"/>
          <w:szCs w:val="32"/>
        </w:rPr>
      </w:pPr>
      <w:r>
        <w:rPr>
          <w:rFonts w:ascii="仿宋_GB2312" w:hAnsi="仿宋" w:eastAsia="仿宋_GB2312"/>
          <w:b/>
          <w:bCs/>
          <w:sz w:val="32"/>
          <w:szCs w:val="32"/>
        </w:rPr>
        <w:t>5</w:t>
      </w:r>
      <w:r>
        <w:rPr>
          <w:rFonts w:hint="eastAsia" w:ascii="仿宋_GB2312" w:hAnsi="仿宋" w:eastAsia="仿宋_GB2312"/>
          <w:b/>
          <w:bCs/>
          <w:sz w:val="32"/>
          <w:szCs w:val="32"/>
        </w:rPr>
        <w:t>．资助育人</w:t>
      </w:r>
    </w:p>
    <w:p w14:paraId="4F8E71C4">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评估学校是否开展励志教育、感恩教育等资助育人活动，是否通过勤工俭学、心理辅导等方式帮助学生提升综合能力，有无将资助工作等同于“资金发放”的形式主义问题。</w:t>
      </w:r>
    </w:p>
    <w:p w14:paraId="26AF3EA0">
      <w:pPr>
        <w:spacing w:line="560" w:lineRule="exact"/>
        <w:ind w:firstLine="643" w:firstLineChars="200"/>
        <w:outlineLvl w:val="2"/>
        <w:rPr>
          <w:rFonts w:hint="eastAsia" w:ascii="楷体_GB2312" w:hAnsi="仿宋" w:eastAsia="楷体_GB2312" w:cs="仿宋"/>
          <w:b/>
          <w:bCs/>
          <w:color w:val="333333"/>
          <w:kern w:val="0"/>
          <w:sz w:val="32"/>
          <w:szCs w:val="32"/>
        </w:rPr>
      </w:pPr>
      <w:r>
        <w:rPr>
          <w:rFonts w:hint="eastAsia" w:ascii="楷体_GB2312" w:hAnsi="仿宋" w:eastAsia="楷体_GB2312" w:cs="仿宋"/>
          <w:b/>
          <w:bCs/>
          <w:color w:val="333333"/>
          <w:kern w:val="0"/>
          <w:sz w:val="32"/>
          <w:szCs w:val="32"/>
        </w:rPr>
        <w:t>（三）学生食堂管理内部审计</w:t>
      </w:r>
    </w:p>
    <w:p w14:paraId="2C025279">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ascii="仿宋_GB2312" w:hAnsi="仿宋" w:eastAsia="仿宋_GB2312"/>
          <w:sz w:val="32"/>
          <w:szCs w:val="32"/>
        </w:rPr>
        <w:t>根据《湖南省高校学生食堂突出问题专项整治工作方案》（湘教通〔2025〕67号）要求，重点审查食堂经营管理“三落实”、食堂食品安全“三到位”情况。</w:t>
      </w:r>
    </w:p>
    <w:p w14:paraId="7022B755">
      <w:pPr>
        <w:spacing w:line="560" w:lineRule="exact"/>
        <w:ind w:firstLine="643" w:firstLineChars="200"/>
        <w:outlineLvl w:val="2"/>
        <w:rPr>
          <w:rFonts w:hint="eastAsia" w:ascii="楷体_GB2312" w:hAnsi="仿宋" w:eastAsia="楷体_GB2312" w:cs="仿宋"/>
          <w:b/>
          <w:bCs/>
          <w:color w:val="333333"/>
          <w:kern w:val="0"/>
          <w:sz w:val="32"/>
          <w:szCs w:val="32"/>
        </w:rPr>
      </w:pPr>
      <w:r>
        <w:rPr>
          <w:rFonts w:hint="eastAsia" w:ascii="楷体_GB2312" w:hAnsi="仿宋" w:eastAsia="楷体_GB2312" w:cs="仿宋"/>
          <w:b/>
          <w:bCs/>
          <w:color w:val="333333"/>
          <w:kern w:val="0"/>
          <w:sz w:val="32"/>
          <w:szCs w:val="32"/>
        </w:rPr>
        <w:t>（四）2024年度财务收支审计</w:t>
      </w:r>
    </w:p>
    <w:p w14:paraId="7EE02DBD">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重点审计基本建设工程、重大资金使用、物资采购、科研经费、实训室项目建设、三公经费等方面是否存在重大违法违纪问题，核实收支的合法性、合规性。</w:t>
      </w:r>
    </w:p>
    <w:p w14:paraId="7947A138">
      <w:pPr>
        <w:spacing w:line="560" w:lineRule="exact"/>
        <w:ind w:firstLine="643" w:firstLineChars="200"/>
        <w:outlineLvl w:val="2"/>
        <w:rPr>
          <w:rFonts w:hint="eastAsia" w:ascii="楷体_GB2312" w:hAnsi="仿宋" w:eastAsia="楷体_GB2312" w:cs="仿宋"/>
          <w:b/>
          <w:bCs/>
          <w:color w:val="333333"/>
          <w:kern w:val="0"/>
          <w:sz w:val="32"/>
          <w:szCs w:val="32"/>
        </w:rPr>
      </w:pPr>
      <w:r>
        <w:rPr>
          <w:rFonts w:hint="eastAsia" w:ascii="楷体_GB2312" w:hAnsi="仿宋" w:eastAsia="楷体_GB2312" w:cs="仿宋"/>
          <w:b/>
          <w:bCs/>
          <w:color w:val="333333"/>
          <w:kern w:val="0"/>
          <w:sz w:val="32"/>
          <w:szCs w:val="32"/>
        </w:rPr>
        <w:t>（五）其它</w:t>
      </w:r>
    </w:p>
    <w:p w14:paraId="4C00E165">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协助学校完成对审计底稿数据在中普审计系统中的采集、整理、分析及底稿生成全过程。审计完成提交整个完整的审计底稿资料。</w:t>
      </w:r>
    </w:p>
    <w:p w14:paraId="130BDE49">
      <w:pPr>
        <w:snapToGrid w:val="0"/>
        <w:spacing w:line="560" w:lineRule="exact"/>
        <w:ind w:firstLine="640" w:firstLineChars="200"/>
        <w:outlineLvl w:val="1"/>
        <w:rPr>
          <w:rFonts w:hint="eastAsia" w:ascii="黑体" w:hAnsi="黑体" w:eastAsia="黑体" w:cs="仿宋"/>
          <w:color w:val="333333"/>
          <w:kern w:val="0"/>
          <w:sz w:val="32"/>
          <w:szCs w:val="32"/>
        </w:rPr>
      </w:pPr>
      <w:r>
        <w:rPr>
          <w:rFonts w:hint="eastAsia" w:ascii="黑体" w:hAnsi="黑体" w:eastAsia="黑体" w:cs="仿宋"/>
          <w:color w:val="333333"/>
          <w:kern w:val="0"/>
          <w:sz w:val="32"/>
          <w:szCs w:val="32"/>
        </w:rPr>
        <w:t>三、服务质量要求</w:t>
      </w:r>
    </w:p>
    <w:p w14:paraId="2ECBE52C">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ascii="仿宋_GB2312" w:hAnsi="仿宋" w:eastAsia="仿宋_GB2312"/>
          <w:sz w:val="32"/>
          <w:szCs w:val="32"/>
        </w:rPr>
        <w:t>1</w:t>
      </w:r>
      <w:r>
        <w:rPr>
          <w:rFonts w:hint="eastAsia" w:ascii="仿宋_GB2312" w:hAnsi="仿宋" w:eastAsia="仿宋_GB2312"/>
          <w:sz w:val="32"/>
          <w:szCs w:val="32"/>
        </w:rPr>
        <w:t>．出具独立审计报告，内容需包含具体问题、整改建议及绩效评价结论，审计结束后提交审计工作底稿。</w:t>
      </w:r>
    </w:p>
    <w:p w14:paraId="5F239183">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2．审计过程和审计报告应符合《中国注册会计师执业准则》的要求，数据准确、结论明确。</w:t>
      </w:r>
    </w:p>
    <w:p w14:paraId="6CBDAE6B">
      <w:pPr>
        <w:snapToGrid w:val="0"/>
        <w:spacing w:line="560" w:lineRule="exact"/>
        <w:ind w:firstLine="640" w:firstLineChars="200"/>
        <w:outlineLvl w:val="1"/>
        <w:rPr>
          <w:rFonts w:hint="eastAsia" w:ascii="黑体" w:hAnsi="黑体" w:eastAsia="黑体" w:cs="仿宋"/>
          <w:color w:val="333333"/>
          <w:kern w:val="0"/>
          <w:sz w:val="32"/>
          <w:szCs w:val="32"/>
        </w:rPr>
      </w:pPr>
      <w:r>
        <w:rPr>
          <w:rFonts w:hint="eastAsia" w:ascii="黑体" w:hAnsi="黑体" w:eastAsia="黑体" w:cs="仿宋"/>
          <w:color w:val="333333"/>
          <w:kern w:val="0"/>
          <w:sz w:val="32"/>
          <w:szCs w:val="32"/>
        </w:rPr>
        <w:t>四、服务质量检查考核标准和方法</w:t>
      </w:r>
    </w:p>
    <w:p w14:paraId="3C7DCFAE">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同上。</w:t>
      </w:r>
    </w:p>
    <w:p w14:paraId="07B64B92">
      <w:pPr>
        <w:snapToGrid w:val="0"/>
        <w:spacing w:line="560" w:lineRule="exact"/>
        <w:ind w:firstLine="640" w:firstLineChars="200"/>
        <w:outlineLvl w:val="1"/>
        <w:rPr>
          <w:rFonts w:hint="eastAsia" w:ascii="黑体" w:hAnsi="黑体" w:eastAsia="黑体" w:cs="仿宋"/>
          <w:color w:val="333333"/>
          <w:kern w:val="0"/>
          <w:sz w:val="32"/>
          <w:szCs w:val="32"/>
        </w:rPr>
      </w:pPr>
      <w:r>
        <w:rPr>
          <w:rFonts w:hint="eastAsia" w:ascii="黑体" w:hAnsi="黑体" w:eastAsia="黑体" w:cs="仿宋"/>
          <w:color w:val="333333"/>
          <w:kern w:val="0"/>
          <w:sz w:val="32"/>
          <w:szCs w:val="32"/>
        </w:rPr>
        <w:t>五、投标报价说明</w:t>
      </w:r>
    </w:p>
    <w:p w14:paraId="26FDA341">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本项目招标上限价为</w:t>
      </w:r>
      <w:r>
        <w:rPr>
          <w:rFonts w:ascii="仿宋_GB2312" w:hAnsi="仿宋" w:eastAsia="仿宋_GB2312"/>
          <w:sz w:val="32"/>
          <w:szCs w:val="32"/>
        </w:rPr>
        <w:t>19.80</w:t>
      </w:r>
      <w:r>
        <w:rPr>
          <w:rFonts w:hint="eastAsia" w:ascii="仿宋_GB2312" w:hAnsi="仿宋" w:eastAsia="仿宋_GB2312"/>
          <w:sz w:val="32"/>
          <w:szCs w:val="32"/>
        </w:rPr>
        <w:t>万元，报价为一次性报价。</w:t>
      </w:r>
    </w:p>
    <w:p w14:paraId="2D3BB43D">
      <w:pPr>
        <w:snapToGrid w:val="0"/>
        <w:spacing w:line="560" w:lineRule="exact"/>
        <w:ind w:firstLine="640" w:firstLineChars="200"/>
        <w:outlineLvl w:val="1"/>
        <w:rPr>
          <w:rFonts w:hint="eastAsia" w:ascii="黑体" w:hAnsi="黑体" w:eastAsia="黑体" w:cs="仿宋"/>
          <w:color w:val="333333"/>
          <w:kern w:val="0"/>
          <w:sz w:val="32"/>
          <w:szCs w:val="32"/>
        </w:rPr>
      </w:pPr>
      <w:r>
        <w:rPr>
          <w:rFonts w:hint="eastAsia" w:ascii="黑体" w:hAnsi="黑体" w:eastAsia="黑体" w:cs="仿宋"/>
          <w:color w:val="333333"/>
          <w:kern w:val="0"/>
          <w:sz w:val="32"/>
          <w:szCs w:val="32"/>
        </w:rPr>
        <w:t>六、合同价款和履行时间及服务质量要求</w:t>
      </w:r>
    </w:p>
    <w:p w14:paraId="2936BA9D">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本合同为含税总价包干，询比公告后成交供应商及时与采购人取得联系，应在1</w:t>
      </w:r>
      <w:r>
        <w:rPr>
          <w:rFonts w:ascii="仿宋_GB2312" w:hAnsi="仿宋" w:eastAsia="仿宋_GB2312"/>
          <w:sz w:val="32"/>
          <w:szCs w:val="32"/>
        </w:rPr>
        <w:t>5个工作日</w:t>
      </w:r>
      <w:r>
        <w:rPr>
          <w:rFonts w:hint="eastAsia" w:ascii="仿宋_GB2312" w:hAnsi="仿宋" w:eastAsia="仿宋_GB2312"/>
          <w:sz w:val="32"/>
          <w:szCs w:val="32"/>
        </w:rPr>
        <w:t>内签订合同。</w:t>
      </w:r>
    </w:p>
    <w:p w14:paraId="60CEE356">
      <w:pPr>
        <w:snapToGrid w:val="0"/>
        <w:spacing w:line="560" w:lineRule="exact"/>
        <w:ind w:firstLine="640" w:firstLineChars="200"/>
        <w:outlineLvl w:val="1"/>
        <w:rPr>
          <w:rFonts w:hint="eastAsia" w:ascii="黑体" w:hAnsi="黑体" w:eastAsia="黑体" w:cs="仿宋"/>
          <w:color w:val="333333"/>
          <w:kern w:val="0"/>
          <w:sz w:val="32"/>
          <w:szCs w:val="32"/>
        </w:rPr>
      </w:pPr>
      <w:r>
        <w:rPr>
          <w:rFonts w:hint="eastAsia" w:ascii="黑体" w:hAnsi="黑体" w:eastAsia="黑体" w:cs="仿宋"/>
          <w:color w:val="333333"/>
          <w:kern w:val="0"/>
          <w:sz w:val="32"/>
          <w:szCs w:val="32"/>
        </w:rPr>
        <w:t>七、付款方式</w:t>
      </w:r>
    </w:p>
    <w:p w14:paraId="07208C7E">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合同签订后，项目完成经甲方</w:t>
      </w:r>
      <w:r>
        <w:rPr>
          <w:rFonts w:ascii="仿宋_GB2312" w:hAnsi="仿宋" w:eastAsia="仿宋_GB2312"/>
          <w:sz w:val="32"/>
          <w:szCs w:val="32"/>
        </w:rPr>
        <w:t>验收合格</w:t>
      </w:r>
      <w:r>
        <w:rPr>
          <w:rFonts w:hint="eastAsia" w:ascii="仿宋_GB2312" w:hAnsi="仿宋" w:eastAsia="仿宋_GB2312"/>
          <w:sz w:val="32"/>
          <w:szCs w:val="32"/>
        </w:rPr>
        <w:t>后</w:t>
      </w:r>
      <w:r>
        <w:rPr>
          <w:rFonts w:ascii="仿宋_GB2312" w:hAnsi="仿宋" w:eastAsia="仿宋_GB2312"/>
          <w:sz w:val="32"/>
          <w:szCs w:val="32"/>
        </w:rPr>
        <w:t>支付合同总金额的</w:t>
      </w:r>
      <w:r>
        <w:rPr>
          <w:rFonts w:hint="eastAsia" w:ascii="仿宋_GB2312" w:hAnsi="仿宋" w:eastAsia="仿宋_GB2312"/>
          <w:sz w:val="32"/>
          <w:szCs w:val="32"/>
        </w:rPr>
        <w:t>100</w:t>
      </w:r>
      <w:r>
        <w:rPr>
          <w:rFonts w:ascii="仿宋_GB2312" w:hAnsi="仿宋" w:eastAsia="仿宋_GB2312"/>
          <w:sz w:val="32"/>
          <w:szCs w:val="32"/>
        </w:rPr>
        <w:t>%。</w:t>
      </w:r>
      <w:r>
        <w:rPr>
          <w:rFonts w:hint="eastAsia" w:ascii="仿宋_GB2312" w:hAnsi="仿宋" w:eastAsia="仿宋_GB2312"/>
          <w:sz w:val="32"/>
          <w:szCs w:val="32"/>
        </w:rPr>
        <w:t>具体以签订的合同为准。</w:t>
      </w:r>
    </w:p>
    <w:p w14:paraId="124CDEC5">
      <w:pPr>
        <w:snapToGrid w:val="0"/>
        <w:spacing w:line="560" w:lineRule="exact"/>
        <w:ind w:firstLine="640" w:firstLineChars="200"/>
        <w:outlineLvl w:val="1"/>
        <w:rPr>
          <w:rFonts w:hint="eastAsia" w:ascii="黑体" w:hAnsi="黑体" w:eastAsia="黑体" w:cs="仿宋"/>
          <w:color w:val="333333"/>
          <w:kern w:val="0"/>
          <w:sz w:val="32"/>
          <w:szCs w:val="32"/>
        </w:rPr>
      </w:pPr>
      <w:r>
        <w:rPr>
          <w:rFonts w:hint="eastAsia" w:ascii="黑体" w:hAnsi="黑体" w:eastAsia="黑体" w:cs="仿宋"/>
          <w:color w:val="333333"/>
          <w:kern w:val="0"/>
          <w:sz w:val="32"/>
          <w:szCs w:val="32"/>
        </w:rPr>
        <w:t>八、其他说明</w:t>
      </w:r>
    </w:p>
    <w:p w14:paraId="311C4EA4">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参与投标的单位中标后须是湖南省政府采购电子卖场的合格供应商。</w:t>
      </w:r>
    </w:p>
    <w:p w14:paraId="1C4C043F">
      <w:pPr>
        <w:widowControl/>
        <w:jc w:val="left"/>
        <w:rPr>
          <w:rFonts w:hint="eastAsia" w:ascii="仿宋_GB2312" w:hAnsi="仿宋" w:eastAsia="仿宋_GB2312"/>
          <w:sz w:val="32"/>
          <w:szCs w:val="32"/>
        </w:rPr>
      </w:pPr>
      <w:r>
        <w:rPr>
          <w:rFonts w:hint="eastAsia" w:ascii="仿宋_GB2312" w:hAnsi="仿宋" w:eastAsia="仿宋_GB2312"/>
          <w:sz w:val="32"/>
          <w:szCs w:val="32"/>
        </w:rPr>
        <w:br w:type="page"/>
      </w:r>
    </w:p>
    <w:p w14:paraId="223FEA38">
      <w:pPr>
        <w:spacing w:line="700" w:lineRule="exact"/>
        <w:jc w:val="center"/>
        <w:outlineLvl w:val="0"/>
        <w:rPr>
          <w:rFonts w:hint="eastAsia" w:ascii="方正小标宋简体" w:hAnsi="黑体" w:eastAsia="方正小标宋简体"/>
          <w:bCs/>
          <w:spacing w:val="10"/>
          <w:sz w:val="44"/>
          <w:szCs w:val="44"/>
        </w:rPr>
      </w:pPr>
      <w:r>
        <w:rPr>
          <w:rFonts w:hint="eastAsia" w:ascii="方正小标宋简体" w:hAnsi="黑体" w:eastAsia="方正小标宋简体"/>
          <w:bCs/>
          <w:spacing w:val="10"/>
          <w:sz w:val="44"/>
          <w:szCs w:val="44"/>
        </w:rPr>
        <w:t>评审办法及标准</w:t>
      </w:r>
    </w:p>
    <w:p w14:paraId="1D34B143">
      <w:pPr>
        <w:snapToGrid w:val="0"/>
        <w:spacing w:line="560" w:lineRule="exact"/>
        <w:ind w:firstLine="640" w:firstLineChars="200"/>
        <w:outlineLvl w:val="1"/>
        <w:rPr>
          <w:rFonts w:hint="eastAsia" w:ascii="黑体" w:hAnsi="黑体" w:eastAsia="黑体" w:cs="仿宋"/>
          <w:color w:val="333333"/>
          <w:kern w:val="0"/>
          <w:sz w:val="32"/>
          <w:szCs w:val="32"/>
        </w:rPr>
      </w:pPr>
      <w:r>
        <w:rPr>
          <w:rFonts w:hint="eastAsia" w:ascii="黑体" w:hAnsi="黑体" w:eastAsia="黑体" w:cs="仿宋"/>
          <w:color w:val="333333"/>
          <w:kern w:val="0"/>
          <w:sz w:val="32"/>
          <w:szCs w:val="32"/>
        </w:rPr>
        <w:t>一、询比小组</w:t>
      </w:r>
    </w:p>
    <w:p w14:paraId="2EF6FFB2">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评审由采购人组建评审小组，评审小组一般为三人及以上单数。</w:t>
      </w:r>
    </w:p>
    <w:p w14:paraId="4781B1CD">
      <w:pPr>
        <w:snapToGrid w:val="0"/>
        <w:spacing w:line="560" w:lineRule="exact"/>
        <w:ind w:firstLine="640" w:firstLineChars="200"/>
        <w:outlineLvl w:val="1"/>
        <w:rPr>
          <w:rFonts w:hint="eastAsia" w:ascii="黑体" w:hAnsi="黑体" w:eastAsia="黑体" w:cs="仿宋"/>
          <w:color w:val="333333"/>
          <w:kern w:val="0"/>
          <w:sz w:val="32"/>
          <w:szCs w:val="32"/>
        </w:rPr>
      </w:pPr>
      <w:r>
        <w:rPr>
          <w:rFonts w:hint="eastAsia" w:ascii="黑体" w:hAnsi="黑体" w:eastAsia="黑体" w:cs="仿宋"/>
          <w:color w:val="333333"/>
          <w:kern w:val="0"/>
          <w:sz w:val="32"/>
          <w:szCs w:val="32"/>
        </w:rPr>
        <w:t>二、评审方法</w:t>
      </w:r>
    </w:p>
    <w:p w14:paraId="1173428D">
      <w:pPr>
        <w:pStyle w:val="15"/>
        <w:snapToGrid w:val="0"/>
        <w:spacing w:before="0" w:beforeAutospacing="0" w:after="0" w:line="560" w:lineRule="exact"/>
        <w:ind w:left="0" w:leftChars="0" w:firstLine="643" w:firstLineChars="200"/>
        <w:outlineLvl w:val="3"/>
        <w:rPr>
          <w:rFonts w:hint="eastAsia" w:ascii="仿宋_GB2312" w:hAnsi="仿宋" w:eastAsia="仿宋_GB2312"/>
          <w:b/>
          <w:bCs/>
          <w:sz w:val="32"/>
          <w:szCs w:val="32"/>
        </w:rPr>
      </w:pPr>
      <w:r>
        <w:rPr>
          <w:rFonts w:hint="eastAsia" w:ascii="仿宋_GB2312" w:hAnsi="仿宋" w:eastAsia="仿宋_GB2312"/>
          <w:b/>
          <w:bCs/>
          <w:sz w:val="32"/>
          <w:szCs w:val="32"/>
        </w:rPr>
        <w:t>1．评审方法</w:t>
      </w:r>
    </w:p>
    <w:p w14:paraId="3177D42E">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综合评分法，即响应文件能够最大限度的满足询比采购文件规定的各项综合评价标准且经评审得分最高的供应商为成交供应商的评标方法。</w:t>
      </w:r>
    </w:p>
    <w:p w14:paraId="066A2BF6">
      <w:pPr>
        <w:pStyle w:val="15"/>
        <w:snapToGrid w:val="0"/>
        <w:spacing w:before="0" w:beforeAutospacing="0" w:after="0" w:line="560" w:lineRule="exact"/>
        <w:ind w:left="0" w:leftChars="0" w:firstLine="643" w:firstLineChars="200"/>
        <w:outlineLvl w:val="3"/>
        <w:rPr>
          <w:rFonts w:hint="eastAsia" w:ascii="仿宋_GB2312" w:hAnsi="仿宋" w:eastAsia="仿宋_GB2312"/>
          <w:b/>
          <w:bCs/>
          <w:sz w:val="32"/>
          <w:szCs w:val="32"/>
        </w:rPr>
      </w:pPr>
      <w:r>
        <w:rPr>
          <w:rFonts w:hint="eastAsia" w:ascii="仿宋_GB2312" w:hAnsi="仿宋" w:eastAsia="仿宋_GB2312"/>
          <w:b/>
          <w:bCs/>
          <w:sz w:val="32"/>
          <w:szCs w:val="32"/>
        </w:rPr>
        <w:t>2．评审因素与标准</w:t>
      </w:r>
    </w:p>
    <w:p w14:paraId="25A04307">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见表1</w:t>
      </w:r>
    </w:p>
    <w:p w14:paraId="74E22D22">
      <w:pPr>
        <w:snapToGrid w:val="0"/>
        <w:spacing w:line="560" w:lineRule="exact"/>
        <w:ind w:firstLine="640" w:firstLineChars="200"/>
        <w:outlineLvl w:val="1"/>
        <w:rPr>
          <w:rFonts w:hint="eastAsia" w:ascii="黑体" w:hAnsi="黑体" w:eastAsia="黑体" w:cs="仿宋"/>
          <w:color w:val="333333"/>
          <w:kern w:val="0"/>
          <w:sz w:val="32"/>
          <w:szCs w:val="32"/>
        </w:rPr>
      </w:pPr>
      <w:r>
        <w:rPr>
          <w:rFonts w:hint="eastAsia" w:ascii="黑体" w:hAnsi="黑体" w:eastAsia="黑体" w:cs="仿宋"/>
          <w:color w:val="333333"/>
          <w:kern w:val="0"/>
          <w:sz w:val="32"/>
          <w:szCs w:val="32"/>
        </w:rPr>
        <w:t>三、比较与评价</w:t>
      </w:r>
    </w:p>
    <w:p w14:paraId="62FFDF99">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1．询比小组应按照询比采购文件中规定的评审方法、标准和评标因素，对资格性检查和符合性检查合格的响应文件进行评估，综合比较与评价。</w:t>
      </w:r>
    </w:p>
    <w:p w14:paraId="3F3E0DEE">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2．询比小组以最终报价为基础。</w:t>
      </w:r>
    </w:p>
    <w:p w14:paraId="26FD6BFF">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3．价格分采用按评审因素和标准表格内评分标准执行。</w:t>
      </w:r>
    </w:p>
    <w:p w14:paraId="6842793B">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4．评审时，询比小组各成员应当独立对每个供应商的响应文件进行评价、评分，然后汇总每个供应商项评分因素的得分。</w:t>
      </w:r>
    </w:p>
    <w:p w14:paraId="42AAA546">
      <w:pPr>
        <w:widowControl/>
        <w:jc w:val="left"/>
        <w:rPr>
          <w:rFonts w:hint="eastAsia" w:ascii="仿宋_GB2312" w:hAnsi="仿宋" w:eastAsia="仿宋_GB2312"/>
          <w:sz w:val="32"/>
          <w:szCs w:val="32"/>
        </w:rPr>
      </w:pPr>
      <w:r>
        <w:rPr>
          <w:rFonts w:hint="eastAsia" w:ascii="仿宋_GB2312" w:hAnsi="仿宋" w:eastAsia="仿宋_GB2312"/>
          <w:sz w:val="32"/>
          <w:szCs w:val="32"/>
        </w:rPr>
        <w:br w:type="page"/>
      </w:r>
    </w:p>
    <w:p w14:paraId="776B2C61">
      <w:pPr>
        <w:pStyle w:val="15"/>
        <w:spacing w:before="0" w:beforeAutospacing="0" w:after="0" w:line="460" w:lineRule="exact"/>
        <w:ind w:left="0" w:leftChars="0" w:firstLine="0"/>
        <w:jc w:val="center"/>
        <w:rPr>
          <w:rFonts w:hint="eastAsia" w:ascii="黑体" w:hAnsi="黑体" w:eastAsia="黑体"/>
          <w:bCs/>
          <w:sz w:val="28"/>
          <w:szCs w:val="28"/>
        </w:rPr>
      </w:pPr>
      <w:r>
        <w:rPr>
          <w:rFonts w:ascii="黑体" w:hAnsi="黑体" w:eastAsia="黑体"/>
          <w:bCs/>
          <w:sz w:val="28"/>
          <w:szCs w:val="28"/>
        </w:rPr>
        <w:t>表</w:t>
      </w:r>
      <w:r>
        <w:rPr>
          <w:rFonts w:hint="eastAsia" w:ascii="黑体" w:hAnsi="黑体" w:eastAsia="黑体"/>
          <w:bCs/>
          <w:sz w:val="28"/>
          <w:szCs w:val="28"/>
        </w:rPr>
        <w:t xml:space="preserve">1 </w:t>
      </w:r>
      <w:r>
        <w:rPr>
          <w:rFonts w:ascii="黑体" w:hAnsi="黑体" w:eastAsia="黑体"/>
          <w:bCs/>
          <w:sz w:val="28"/>
          <w:szCs w:val="28"/>
        </w:rPr>
        <w:t xml:space="preserve">  </w:t>
      </w:r>
      <w:r>
        <w:rPr>
          <w:rFonts w:hint="eastAsia" w:ascii="黑体" w:hAnsi="黑体" w:eastAsia="黑体"/>
          <w:bCs/>
          <w:sz w:val="28"/>
          <w:szCs w:val="28"/>
        </w:rPr>
        <w:t>评审因素和标准</w:t>
      </w:r>
    </w:p>
    <w:tbl>
      <w:tblPr>
        <w:tblStyle w:val="16"/>
        <w:tblW w:w="910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97"/>
        <w:gridCol w:w="1276"/>
        <w:gridCol w:w="6631"/>
      </w:tblGrid>
      <w:tr w14:paraId="600C27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Align w:val="center"/>
          </w:tcPr>
          <w:p w14:paraId="5FAEA2CF">
            <w:pPr>
              <w:adjustRightInd w:val="0"/>
              <w:spacing w:line="320" w:lineRule="exact"/>
              <w:jc w:val="center"/>
              <w:rPr>
                <w:rFonts w:hint="eastAsia" w:ascii="黑体" w:hAnsi="黑体" w:eastAsia="黑体"/>
                <w:bCs/>
                <w:sz w:val="24"/>
                <w:szCs w:val="24"/>
              </w:rPr>
            </w:pPr>
            <w:r>
              <w:rPr>
                <w:rFonts w:hint="eastAsia" w:ascii="黑体" w:hAnsi="黑体" w:eastAsia="黑体"/>
                <w:bCs/>
                <w:sz w:val="24"/>
                <w:szCs w:val="24"/>
              </w:rPr>
              <w:t>评审内容</w:t>
            </w:r>
          </w:p>
        </w:tc>
        <w:tc>
          <w:tcPr>
            <w:tcW w:w="1276" w:type="dxa"/>
            <w:vAlign w:val="center"/>
          </w:tcPr>
          <w:p w14:paraId="49A8D775">
            <w:pPr>
              <w:adjustRightInd w:val="0"/>
              <w:spacing w:line="320" w:lineRule="exact"/>
              <w:jc w:val="center"/>
              <w:rPr>
                <w:rFonts w:hint="eastAsia" w:ascii="黑体" w:hAnsi="黑体" w:eastAsia="黑体"/>
                <w:bCs/>
                <w:sz w:val="24"/>
                <w:szCs w:val="24"/>
              </w:rPr>
            </w:pPr>
            <w:r>
              <w:rPr>
                <w:rFonts w:hint="eastAsia" w:ascii="黑体" w:hAnsi="黑体" w:eastAsia="黑体"/>
                <w:bCs/>
                <w:sz w:val="24"/>
                <w:szCs w:val="24"/>
              </w:rPr>
              <w:t>评审因素</w:t>
            </w:r>
          </w:p>
        </w:tc>
        <w:tc>
          <w:tcPr>
            <w:tcW w:w="6631" w:type="dxa"/>
            <w:vAlign w:val="center"/>
          </w:tcPr>
          <w:p w14:paraId="6D5E91CC">
            <w:pPr>
              <w:adjustRightInd w:val="0"/>
              <w:spacing w:line="320" w:lineRule="exact"/>
              <w:jc w:val="center"/>
              <w:rPr>
                <w:rFonts w:hint="eastAsia" w:ascii="黑体" w:hAnsi="黑体" w:eastAsia="黑体"/>
                <w:bCs/>
                <w:sz w:val="24"/>
                <w:szCs w:val="24"/>
              </w:rPr>
            </w:pPr>
            <w:r>
              <w:rPr>
                <w:rFonts w:hint="eastAsia" w:ascii="黑体" w:hAnsi="黑体" w:eastAsia="黑体"/>
                <w:bCs/>
                <w:sz w:val="24"/>
                <w:szCs w:val="24"/>
              </w:rPr>
              <w:t>评分标准</w:t>
            </w:r>
          </w:p>
        </w:tc>
      </w:tr>
      <w:tr w14:paraId="4CEEBD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Merge w:val="restart"/>
            <w:vAlign w:val="center"/>
          </w:tcPr>
          <w:p w14:paraId="4D4DDB31">
            <w:pPr>
              <w:adjustRightInd w:val="0"/>
              <w:spacing w:line="320" w:lineRule="exact"/>
              <w:jc w:val="center"/>
              <w:rPr>
                <w:rFonts w:hint="eastAsia" w:ascii="仿宋_GB2312" w:hAnsi="仿宋" w:eastAsia="仿宋_GB2312"/>
                <w:b/>
                <w:sz w:val="24"/>
                <w:szCs w:val="24"/>
              </w:rPr>
            </w:pPr>
            <w:r>
              <w:rPr>
                <w:rFonts w:hint="eastAsia" w:ascii="仿宋_GB2312" w:hAnsi="仿宋" w:eastAsia="仿宋_GB2312"/>
                <w:b/>
                <w:sz w:val="24"/>
                <w:szCs w:val="24"/>
              </w:rPr>
              <w:t>技术部分</w:t>
            </w:r>
          </w:p>
          <w:p w14:paraId="3EDED58C">
            <w:pPr>
              <w:adjustRightInd w:val="0"/>
              <w:spacing w:line="320" w:lineRule="exact"/>
              <w:jc w:val="center"/>
              <w:rPr>
                <w:rFonts w:hint="eastAsia" w:ascii="仿宋_GB2312" w:hAnsi="仿宋" w:eastAsia="仿宋_GB2312"/>
                <w:b/>
                <w:sz w:val="24"/>
                <w:szCs w:val="24"/>
              </w:rPr>
            </w:pPr>
            <w:r>
              <w:rPr>
                <w:rFonts w:hint="eastAsia" w:ascii="仿宋_GB2312" w:hAnsi="仿宋" w:eastAsia="仿宋_GB2312"/>
                <w:b/>
                <w:sz w:val="24"/>
                <w:szCs w:val="24"/>
              </w:rPr>
              <w:t>(40分)</w:t>
            </w:r>
          </w:p>
        </w:tc>
        <w:tc>
          <w:tcPr>
            <w:tcW w:w="1276" w:type="dxa"/>
            <w:vAlign w:val="center"/>
          </w:tcPr>
          <w:p w14:paraId="05B3212C">
            <w:pPr>
              <w:adjustRightInd w:val="0"/>
              <w:spacing w:line="320" w:lineRule="exact"/>
              <w:jc w:val="center"/>
              <w:rPr>
                <w:rFonts w:hint="eastAsia" w:ascii="仿宋_GB2312" w:hAnsi="仿宋" w:eastAsia="仿宋_GB2312"/>
                <w:b/>
                <w:sz w:val="24"/>
                <w:szCs w:val="24"/>
              </w:rPr>
            </w:pPr>
            <w:r>
              <w:rPr>
                <w:rFonts w:hint="eastAsia" w:ascii="仿宋_GB2312" w:hAnsi="仿宋" w:eastAsia="仿宋_GB2312"/>
                <w:b/>
                <w:sz w:val="24"/>
                <w:szCs w:val="24"/>
              </w:rPr>
              <w:t>总体实施方案</w:t>
            </w:r>
          </w:p>
          <w:p w14:paraId="440C4922">
            <w:pPr>
              <w:adjustRightInd w:val="0"/>
              <w:spacing w:line="320" w:lineRule="exact"/>
              <w:jc w:val="center"/>
              <w:rPr>
                <w:rFonts w:hint="eastAsia" w:ascii="仿宋_GB2312" w:hAnsi="仿宋" w:eastAsia="仿宋_GB2312"/>
                <w:b/>
                <w:sz w:val="24"/>
                <w:szCs w:val="24"/>
              </w:rPr>
            </w:pPr>
            <w:r>
              <w:rPr>
                <w:rFonts w:hint="eastAsia" w:ascii="仿宋_GB2312" w:hAnsi="仿宋" w:eastAsia="仿宋_GB2312"/>
                <w:b/>
                <w:sz w:val="24"/>
                <w:szCs w:val="24"/>
              </w:rPr>
              <w:t>（12分）</w:t>
            </w:r>
          </w:p>
        </w:tc>
        <w:tc>
          <w:tcPr>
            <w:tcW w:w="6631" w:type="dxa"/>
            <w:vAlign w:val="center"/>
          </w:tcPr>
          <w:p w14:paraId="265E8761">
            <w:pPr>
              <w:adjustRightInd w:val="0"/>
              <w:snapToGrid w:val="0"/>
              <w:spacing w:line="320" w:lineRule="exact"/>
              <w:rPr>
                <w:rFonts w:hint="eastAsia" w:ascii="仿宋_GB2312" w:hAnsi="仿宋" w:eastAsia="仿宋_GB2312"/>
                <w:sz w:val="24"/>
                <w:szCs w:val="24"/>
              </w:rPr>
            </w:pPr>
            <w:r>
              <w:rPr>
                <w:rFonts w:hint="eastAsia" w:ascii="仿宋_GB2312" w:hAnsi="仿宋" w:eastAsia="仿宋_GB2312"/>
                <w:sz w:val="24"/>
                <w:szCs w:val="24"/>
              </w:rPr>
              <w:t>1.结合采购人实际情况，投标人审计实施方案合理、结构清晰，各审计人员职责任务明确、人员数量和人员专业结构配备合理的，计3分，有缺漏项或不合理处的，每项扣1分，扣完为止。</w:t>
            </w:r>
          </w:p>
          <w:p w14:paraId="137C488B">
            <w:pPr>
              <w:adjustRightInd w:val="0"/>
              <w:snapToGrid w:val="0"/>
              <w:spacing w:line="320" w:lineRule="exact"/>
              <w:rPr>
                <w:rFonts w:hint="eastAsia" w:ascii="仿宋_GB2312" w:hAnsi="仿宋" w:eastAsia="仿宋_GB2312"/>
                <w:sz w:val="24"/>
                <w:szCs w:val="24"/>
              </w:rPr>
            </w:pPr>
            <w:r>
              <w:rPr>
                <w:rFonts w:hint="eastAsia" w:ascii="仿宋_GB2312" w:hAnsi="仿宋" w:eastAsia="仿宋_GB2312"/>
                <w:sz w:val="24"/>
                <w:szCs w:val="24"/>
              </w:rPr>
              <w:t>2.结合采购人实际情况，投标人审计程序规范、工作流程设计详细合理的计3分，有不合理处的，每项扣0.5分，扣完为止。未提供审计程序方案或审计程序不能满足要求的不计分。</w:t>
            </w:r>
          </w:p>
          <w:p w14:paraId="34EA835B">
            <w:pPr>
              <w:adjustRightInd w:val="0"/>
              <w:snapToGrid w:val="0"/>
              <w:spacing w:line="320" w:lineRule="exact"/>
              <w:rPr>
                <w:rFonts w:hint="eastAsia" w:ascii="仿宋_GB2312" w:hAnsi="仿宋" w:eastAsia="仿宋_GB2312"/>
                <w:sz w:val="24"/>
                <w:szCs w:val="24"/>
              </w:rPr>
            </w:pPr>
            <w:r>
              <w:rPr>
                <w:rFonts w:hint="eastAsia" w:ascii="仿宋_GB2312" w:hAnsi="仿宋" w:eastAsia="仿宋_GB2312"/>
                <w:sz w:val="24"/>
                <w:szCs w:val="24"/>
              </w:rPr>
              <w:t>3.结合采购人实际情况，制定总体工作计划和项目具体工作进度安排，审计计划、时间进度安排合理的计3分，不合理的不计分。</w:t>
            </w:r>
          </w:p>
          <w:p w14:paraId="23BE0C68">
            <w:pPr>
              <w:adjustRightInd w:val="0"/>
              <w:spacing w:line="320" w:lineRule="exact"/>
              <w:rPr>
                <w:rFonts w:hint="eastAsia" w:ascii="仿宋_GB2312" w:hAnsi="仿宋" w:eastAsia="仿宋_GB2312"/>
                <w:sz w:val="24"/>
                <w:szCs w:val="24"/>
              </w:rPr>
            </w:pPr>
            <w:r>
              <w:rPr>
                <w:rFonts w:hint="eastAsia" w:ascii="仿宋_GB2312" w:hAnsi="仿宋" w:eastAsia="仿宋_GB2312"/>
                <w:sz w:val="24"/>
                <w:szCs w:val="24"/>
              </w:rPr>
              <w:t>4.结合采购人实际情况，投标人提供的审计重点内容及方法合理，操作性和可行性强的计3分，操作性和可行性一般的计1分，未提供的不计分。</w:t>
            </w:r>
          </w:p>
        </w:tc>
      </w:tr>
      <w:tr w14:paraId="23F3AA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Merge w:val="continue"/>
            <w:vAlign w:val="center"/>
          </w:tcPr>
          <w:p w14:paraId="7DDB9D64">
            <w:pPr>
              <w:adjustRightInd w:val="0"/>
              <w:spacing w:line="320" w:lineRule="exact"/>
              <w:jc w:val="center"/>
              <w:rPr>
                <w:rFonts w:hint="eastAsia" w:ascii="仿宋_GB2312" w:hAnsi="仿宋" w:eastAsia="仿宋_GB2312"/>
                <w:b/>
                <w:sz w:val="24"/>
                <w:szCs w:val="24"/>
              </w:rPr>
            </w:pPr>
          </w:p>
        </w:tc>
        <w:tc>
          <w:tcPr>
            <w:tcW w:w="1276" w:type="dxa"/>
            <w:vAlign w:val="center"/>
          </w:tcPr>
          <w:p w14:paraId="6D31FAD0">
            <w:pPr>
              <w:adjustRightInd w:val="0"/>
              <w:spacing w:line="320" w:lineRule="exact"/>
              <w:jc w:val="center"/>
              <w:rPr>
                <w:rFonts w:hint="eastAsia" w:ascii="仿宋_GB2312" w:hAnsi="仿宋" w:eastAsia="仿宋_GB2312"/>
                <w:b/>
                <w:color w:val="000000" w:themeColor="text1"/>
                <w:sz w:val="24"/>
                <w:szCs w:val="24"/>
                <w14:textFill>
                  <w14:solidFill>
                    <w14:schemeClr w14:val="tx1"/>
                  </w14:solidFill>
                </w14:textFill>
              </w:rPr>
            </w:pPr>
            <w:r>
              <w:rPr>
                <w:rFonts w:hint="eastAsia" w:ascii="仿宋_GB2312" w:hAnsi="仿宋" w:eastAsia="仿宋_GB2312"/>
                <w:b/>
                <w:color w:val="000000" w:themeColor="text1"/>
                <w:sz w:val="24"/>
                <w:szCs w:val="24"/>
                <w14:textFill>
                  <w14:solidFill>
                    <w14:schemeClr w14:val="tx1"/>
                  </w14:solidFill>
                </w14:textFill>
              </w:rPr>
              <w:t>人员配置</w:t>
            </w:r>
          </w:p>
          <w:p w14:paraId="316FF693">
            <w:pPr>
              <w:adjustRightInd w:val="0"/>
              <w:spacing w:line="320" w:lineRule="exact"/>
              <w:jc w:val="center"/>
              <w:rPr>
                <w:rFonts w:hint="eastAsia" w:ascii="仿宋_GB2312" w:hAnsi="仿宋" w:eastAsia="仿宋_GB2312"/>
                <w:b/>
                <w:color w:val="000000" w:themeColor="text1"/>
                <w:sz w:val="24"/>
                <w:szCs w:val="24"/>
                <w14:textFill>
                  <w14:solidFill>
                    <w14:schemeClr w14:val="tx1"/>
                  </w14:solidFill>
                </w14:textFill>
              </w:rPr>
            </w:pPr>
            <w:r>
              <w:rPr>
                <w:rFonts w:hint="eastAsia" w:ascii="仿宋_GB2312" w:hAnsi="仿宋" w:eastAsia="仿宋_GB2312"/>
                <w:b/>
                <w:color w:val="000000" w:themeColor="text1"/>
                <w:sz w:val="24"/>
                <w:szCs w:val="24"/>
                <w14:textFill>
                  <w14:solidFill>
                    <w14:schemeClr w14:val="tx1"/>
                  </w14:solidFill>
                </w14:textFill>
              </w:rPr>
              <w:t>（10分）</w:t>
            </w:r>
          </w:p>
        </w:tc>
        <w:tc>
          <w:tcPr>
            <w:tcW w:w="6631" w:type="dxa"/>
            <w:vAlign w:val="center"/>
          </w:tcPr>
          <w:p w14:paraId="2F53265E">
            <w:pPr>
              <w:adjustRightInd w:val="0"/>
              <w:snapToGrid w:val="0"/>
              <w:spacing w:line="320" w:lineRule="exact"/>
              <w:rPr>
                <w:rFonts w:hint="eastAsia" w:ascii="仿宋_GB2312" w:hAnsi="仿宋" w:eastAsia="仿宋_GB2312"/>
                <w:color w:val="000000" w:themeColor="text1"/>
                <w:sz w:val="24"/>
                <w:szCs w:val="24"/>
                <w14:textFill>
                  <w14:solidFill>
                    <w14:schemeClr w14:val="tx1"/>
                  </w14:solidFill>
                </w14:textFill>
              </w:rPr>
            </w:pPr>
            <w:r>
              <w:rPr>
                <w:rFonts w:hint="eastAsia" w:ascii="仿宋_GB2312" w:hAnsi="仿宋" w:eastAsia="仿宋_GB2312"/>
                <w:color w:val="000000" w:themeColor="text1"/>
                <w:sz w:val="24"/>
                <w:szCs w:val="24"/>
                <w14:textFill>
                  <w14:solidFill>
                    <w14:schemeClr w14:val="tx1"/>
                  </w14:solidFill>
                </w14:textFill>
              </w:rPr>
              <w:t>人员配置总数最低标准：参与本项目实施的人员需不少于6人，其中注册会计师不少于2人，满足该标准的计6分；每增加注册会计师1人的计1分，加满2分为止。每增加实施人员1人的计0.5分，加满2分为止。（提供证书复印件以及近半年内连续三个月社保证明加盖公章，未提供不计分）</w:t>
            </w:r>
          </w:p>
        </w:tc>
      </w:tr>
      <w:tr w14:paraId="12A362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Merge w:val="continue"/>
            <w:vAlign w:val="center"/>
          </w:tcPr>
          <w:p w14:paraId="55D2A6DA">
            <w:pPr>
              <w:adjustRightInd w:val="0"/>
              <w:spacing w:line="320" w:lineRule="exact"/>
              <w:jc w:val="center"/>
              <w:rPr>
                <w:rFonts w:hint="eastAsia" w:ascii="仿宋_GB2312" w:hAnsi="仿宋" w:eastAsia="仿宋_GB2312"/>
                <w:b/>
                <w:sz w:val="24"/>
                <w:szCs w:val="24"/>
              </w:rPr>
            </w:pPr>
          </w:p>
        </w:tc>
        <w:tc>
          <w:tcPr>
            <w:tcW w:w="1276" w:type="dxa"/>
            <w:vAlign w:val="center"/>
          </w:tcPr>
          <w:p w14:paraId="0D57E47F">
            <w:pPr>
              <w:adjustRightInd w:val="0"/>
              <w:spacing w:line="320" w:lineRule="exact"/>
              <w:jc w:val="center"/>
              <w:rPr>
                <w:rFonts w:hint="eastAsia" w:ascii="仿宋_GB2312" w:hAnsi="仿宋" w:eastAsia="仿宋_GB2312"/>
                <w:b/>
                <w:color w:val="000000" w:themeColor="text1"/>
                <w:sz w:val="24"/>
                <w:szCs w:val="24"/>
                <w14:textFill>
                  <w14:solidFill>
                    <w14:schemeClr w14:val="tx1"/>
                  </w14:solidFill>
                </w14:textFill>
              </w:rPr>
            </w:pPr>
            <w:r>
              <w:rPr>
                <w:rFonts w:hint="eastAsia" w:ascii="仿宋_GB2312" w:hAnsi="仿宋" w:eastAsia="仿宋_GB2312"/>
                <w:b/>
                <w:color w:val="000000" w:themeColor="text1"/>
                <w:sz w:val="24"/>
                <w:szCs w:val="24"/>
                <w14:textFill>
                  <w14:solidFill>
                    <w14:schemeClr w14:val="tx1"/>
                  </w14:solidFill>
                </w14:textFill>
              </w:rPr>
              <w:t>项目负责人</w:t>
            </w:r>
          </w:p>
          <w:p w14:paraId="7FE593CE">
            <w:pPr>
              <w:adjustRightInd w:val="0"/>
              <w:spacing w:line="320" w:lineRule="exact"/>
              <w:jc w:val="center"/>
              <w:rPr>
                <w:rFonts w:hint="eastAsia" w:ascii="仿宋_GB2312" w:hAnsi="仿宋" w:eastAsia="仿宋_GB2312"/>
                <w:b/>
                <w:color w:val="000000" w:themeColor="text1"/>
                <w:sz w:val="24"/>
                <w:szCs w:val="24"/>
                <w14:textFill>
                  <w14:solidFill>
                    <w14:schemeClr w14:val="tx1"/>
                  </w14:solidFill>
                </w14:textFill>
              </w:rPr>
            </w:pPr>
            <w:r>
              <w:rPr>
                <w:rFonts w:hint="eastAsia" w:ascii="仿宋_GB2312" w:hAnsi="仿宋" w:eastAsia="仿宋_GB2312"/>
                <w:b/>
                <w:color w:val="000000" w:themeColor="text1"/>
                <w:sz w:val="24"/>
                <w:szCs w:val="24"/>
                <w14:textFill>
                  <w14:solidFill>
                    <w14:schemeClr w14:val="tx1"/>
                  </w14:solidFill>
                </w14:textFill>
              </w:rPr>
              <w:t>（16分）</w:t>
            </w:r>
          </w:p>
        </w:tc>
        <w:tc>
          <w:tcPr>
            <w:tcW w:w="6631" w:type="dxa"/>
            <w:vAlign w:val="center"/>
          </w:tcPr>
          <w:p w14:paraId="25644477">
            <w:pPr>
              <w:pStyle w:val="41"/>
              <w:adjustRightInd w:val="0"/>
              <w:spacing w:line="320" w:lineRule="exact"/>
              <w:ind w:firstLine="0" w:firstLineChars="0"/>
              <w:rPr>
                <w:rFonts w:hint="eastAsia" w:ascii="仿宋_GB2312" w:hAnsi="仿宋" w:eastAsia="仿宋_GB2312" w:cs="Times New Roman"/>
                <w:bCs w:val="0"/>
                <w:color w:val="000000" w:themeColor="text1"/>
                <w:sz w:val="24"/>
                <w:szCs w:val="24"/>
                <w14:textFill>
                  <w14:solidFill>
                    <w14:schemeClr w14:val="tx1"/>
                  </w14:solidFill>
                </w14:textFill>
              </w:rPr>
            </w:pPr>
            <w:r>
              <w:rPr>
                <w:rFonts w:hint="eastAsia" w:ascii="仿宋_GB2312" w:hAnsi="仿宋" w:eastAsia="仿宋_GB2312" w:cs="Times New Roman"/>
                <w:bCs w:val="0"/>
                <w:color w:val="000000" w:themeColor="text1"/>
                <w:sz w:val="24"/>
                <w:szCs w:val="24"/>
                <w14:textFill>
                  <w14:solidFill>
                    <w14:schemeClr w14:val="tx1"/>
                  </w14:solidFill>
                </w14:textFill>
              </w:rPr>
              <w:t>投标人项目负责人自2022年以来（以合同签订时间为准）承接过</w:t>
            </w:r>
            <w:r>
              <w:rPr>
                <w:rFonts w:hint="eastAsia" w:ascii="仿宋" w:hAnsi="仿宋" w:eastAsia="仿宋"/>
                <w:color w:val="000000" w:themeColor="text1"/>
                <w:kern w:val="0"/>
                <w:sz w:val="24"/>
                <w:szCs w:val="24"/>
                <w14:textFill>
                  <w14:solidFill>
                    <w14:schemeClr w14:val="tx1"/>
                  </w14:solidFill>
                </w14:textFill>
              </w:rPr>
              <w:t>类似审计业务类型：</w:t>
            </w:r>
            <w:r>
              <w:rPr>
                <w:rFonts w:hint="eastAsia" w:ascii="仿宋_GB2312" w:hAnsi="仿宋" w:eastAsia="仿宋_GB2312"/>
                <w:color w:val="000000" w:themeColor="text1"/>
                <w:sz w:val="24"/>
                <w:szCs w:val="24"/>
                <w14:textFill>
                  <w14:solidFill>
                    <w14:schemeClr w14:val="tx1"/>
                  </w14:solidFill>
                </w14:textFill>
              </w:rPr>
              <w:t>预算执行绩效审计、学生资助资金绩效审计、学生食堂管理审计和财务收支审计</w:t>
            </w:r>
            <w:r>
              <w:rPr>
                <w:rFonts w:hint="eastAsia" w:ascii="仿宋_GB2312" w:hAnsi="仿宋" w:eastAsia="仿宋_GB2312" w:cs="Times New Roman"/>
                <w:bCs w:val="0"/>
                <w:color w:val="000000" w:themeColor="text1"/>
                <w:sz w:val="24"/>
                <w:szCs w:val="24"/>
                <w14:textFill>
                  <w14:solidFill>
                    <w14:schemeClr w14:val="tx1"/>
                  </w14:solidFill>
                </w14:textFill>
              </w:rPr>
              <w:t>的，每</w:t>
            </w:r>
            <w:r>
              <w:rPr>
                <w:rFonts w:hint="eastAsia" w:ascii="仿宋_GB2312" w:hAnsi="仿宋" w:eastAsia="仿宋_GB2312"/>
                <w:color w:val="000000" w:themeColor="text1"/>
                <w:sz w:val="24"/>
                <w:szCs w:val="24"/>
                <w14:textFill>
                  <w14:solidFill>
                    <w14:schemeClr w14:val="tx1"/>
                  </w14:solidFill>
                </w14:textFill>
              </w:rPr>
              <w:t>提供一种</w:t>
            </w:r>
            <w:r>
              <w:rPr>
                <w:rFonts w:hint="eastAsia" w:ascii="仿宋_GB2312" w:hAnsi="仿宋" w:eastAsia="仿宋_GB2312" w:cs="Times New Roman"/>
                <w:bCs w:val="0"/>
                <w:color w:val="000000" w:themeColor="text1"/>
                <w:sz w:val="24"/>
                <w:szCs w:val="24"/>
                <w14:textFill>
                  <w14:solidFill>
                    <w14:schemeClr w14:val="tx1"/>
                  </w14:solidFill>
                </w14:textFill>
              </w:rPr>
              <w:t>项目</w:t>
            </w:r>
            <w:r>
              <w:rPr>
                <w:rFonts w:hint="eastAsia" w:ascii="仿宋_GB2312" w:hAnsi="仿宋" w:eastAsia="仿宋_GB2312"/>
                <w:color w:val="000000" w:themeColor="text1"/>
                <w:sz w:val="24"/>
                <w:szCs w:val="24"/>
                <w14:textFill>
                  <w14:solidFill>
                    <w14:schemeClr w14:val="tx1"/>
                  </w14:solidFill>
                </w14:textFill>
              </w:rPr>
              <w:t>类型的</w:t>
            </w:r>
            <w:r>
              <w:rPr>
                <w:rFonts w:hint="eastAsia" w:ascii="仿宋_GB2312" w:hAnsi="仿宋" w:eastAsia="仿宋_GB2312" w:cs="Times New Roman"/>
                <w:bCs w:val="0"/>
                <w:color w:val="000000" w:themeColor="text1"/>
                <w:sz w:val="24"/>
                <w:szCs w:val="24"/>
                <w14:textFill>
                  <w14:solidFill>
                    <w14:schemeClr w14:val="tx1"/>
                  </w14:solidFill>
                </w14:textFill>
              </w:rPr>
              <w:t>计2</w:t>
            </w:r>
            <w:r>
              <w:rPr>
                <w:rFonts w:hint="eastAsia" w:ascii="仿宋_GB2312" w:hAnsi="仿宋" w:eastAsia="仿宋_GB2312"/>
                <w:color w:val="000000" w:themeColor="text1"/>
                <w:sz w:val="24"/>
                <w:szCs w:val="24"/>
                <w14:textFill>
                  <w14:solidFill>
                    <w14:schemeClr w14:val="tx1"/>
                  </w14:solidFill>
                </w14:textFill>
              </w:rPr>
              <w:t>分，每种</w:t>
            </w:r>
            <w:r>
              <w:rPr>
                <w:rFonts w:hint="eastAsia" w:ascii="仿宋_GB2312" w:hAnsi="仿宋" w:eastAsia="仿宋_GB2312" w:cs="Times New Roman"/>
                <w:bCs w:val="0"/>
                <w:color w:val="000000" w:themeColor="text1"/>
                <w:sz w:val="24"/>
                <w:szCs w:val="24"/>
                <w14:textFill>
                  <w14:solidFill>
                    <w14:schemeClr w14:val="tx1"/>
                  </w14:solidFill>
                </w14:textFill>
              </w:rPr>
              <w:t>项目</w:t>
            </w:r>
            <w:r>
              <w:rPr>
                <w:rFonts w:hint="eastAsia" w:ascii="仿宋_GB2312" w:hAnsi="仿宋" w:eastAsia="仿宋_GB2312"/>
                <w:color w:val="000000" w:themeColor="text1"/>
                <w:sz w:val="24"/>
                <w:szCs w:val="24"/>
                <w14:textFill>
                  <w14:solidFill>
                    <w14:schemeClr w14:val="tx1"/>
                  </w14:solidFill>
                </w14:textFill>
              </w:rPr>
              <w:t>类型</w:t>
            </w:r>
            <w:r>
              <w:rPr>
                <w:rFonts w:hint="eastAsia" w:ascii="仿宋_GB2312" w:hAnsi="仿宋" w:eastAsia="仿宋_GB2312" w:cs="Times New Roman"/>
                <w:bCs w:val="0"/>
                <w:color w:val="000000" w:themeColor="text1"/>
                <w:sz w:val="24"/>
                <w:szCs w:val="24"/>
                <w14:textFill>
                  <w14:solidFill>
                    <w14:schemeClr w14:val="tx1"/>
                  </w14:solidFill>
                </w14:textFill>
              </w:rPr>
              <w:t>最多计4分。（</w:t>
            </w:r>
            <w:r>
              <w:rPr>
                <w:rFonts w:hint="eastAsia" w:ascii="仿宋_GB2312" w:hAnsi="仿宋" w:eastAsia="仿宋_GB2312" w:cs="Times New Roman"/>
                <w:color w:val="000000" w:themeColor="text1"/>
                <w:sz w:val="24"/>
                <w:szCs w:val="24"/>
                <w14:textFill>
                  <w14:solidFill>
                    <w14:schemeClr w14:val="tx1"/>
                  </w14:solidFill>
                </w14:textFill>
              </w:rPr>
              <w:t>提供佐证材料复印件加盖公章，未提供不计分）</w:t>
            </w:r>
          </w:p>
        </w:tc>
      </w:tr>
      <w:tr w14:paraId="1ED0C1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Merge w:val="continue"/>
            <w:vAlign w:val="center"/>
          </w:tcPr>
          <w:p w14:paraId="20F9FCC4">
            <w:pPr>
              <w:adjustRightInd w:val="0"/>
              <w:spacing w:line="320" w:lineRule="exact"/>
              <w:jc w:val="center"/>
              <w:rPr>
                <w:rFonts w:hint="eastAsia" w:ascii="仿宋_GB2312" w:hAnsi="仿宋" w:eastAsia="仿宋_GB2312"/>
                <w:b/>
                <w:sz w:val="24"/>
                <w:szCs w:val="24"/>
              </w:rPr>
            </w:pPr>
          </w:p>
        </w:tc>
        <w:tc>
          <w:tcPr>
            <w:tcW w:w="1276" w:type="dxa"/>
            <w:vAlign w:val="center"/>
          </w:tcPr>
          <w:p w14:paraId="3162A952">
            <w:pPr>
              <w:adjustRightInd w:val="0"/>
              <w:spacing w:line="320" w:lineRule="exact"/>
              <w:jc w:val="center"/>
              <w:rPr>
                <w:rFonts w:hint="eastAsia" w:ascii="仿宋_GB2312" w:hAnsi="仿宋" w:eastAsia="仿宋_GB2312"/>
                <w:b/>
                <w:color w:val="000000" w:themeColor="text1"/>
                <w:sz w:val="24"/>
                <w:szCs w:val="24"/>
                <w14:textFill>
                  <w14:solidFill>
                    <w14:schemeClr w14:val="tx1"/>
                  </w14:solidFill>
                </w14:textFill>
              </w:rPr>
            </w:pPr>
            <w:r>
              <w:rPr>
                <w:rFonts w:hint="eastAsia" w:ascii="仿宋_GB2312" w:hAnsi="仿宋" w:eastAsia="仿宋_GB2312"/>
                <w:b/>
                <w:color w:val="000000" w:themeColor="text1"/>
                <w:sz w:val="24"/>
                <w:szCs w:val="24"/>
                <w14:textFill>
                  <w14:solidFill>
                    <w14:schemeClr w14:val="tx1"/>
                  </w14:solidFill>
                </w14:textFill>
              </w:rPr>
              <w:t>服务承诺</w:t>
            </w:r>
          </w:p>
          <w:p w14:paraId="31067885">
            <w:pPr>
              <w:pStyle w:val="42"/>
              <w:adjustRightInd w:val="0"/>
              <w:spacing w:line="320" w:lineRule="exact"/>
              <w:jc w:val="center"/>
              <w:rPr>
                <w:rFonts w:hint="eastAsia" w:ascii="仿宋_GB2312" w:hAnsi="仿宋" w:eastAsia="仿宋_GB2312"/>
                <w:b/>
                <w:color w:val="000000" w:themeColor="text1"/>
                <w:sz w:val="24"/>
                <w:szCs w:val="24"/>
                <w14:textFill>
                  <w14:solidFill>
                    <w14:schemeClr w14:val="tx1"/>
                  </w14:solidFill>
                </w14:textFill>
              </w:rPr>
            </w:pPr>
            <w:r>
              <w:rPr>
                <w:rFonts w:hint="eastAsia" w:ascii="仿宋_GB2312" w:hAnsi="仿宋" w:eastAsia="仿宋_GB2312"/>
                <w:b/>
                <w:color w:val="000000" w:themeColor="text1"/>
                <w:sz w:val="24"/>
                <w:szCs w:val="24"/>
                <w14:textFill>
                  <w14:solidFill>
                    <w14:schemeClr w14:val="tx1"/>
                  </w14:solidFill>
                </w14:textFill>
              </w:rPr>
              <w:t>（2分）</w:t>
            </w:r>
          </w:p>
        </w:tc>
        <w:tc>
          <w:tcPr>
            <w:tcW w:w="6631" w:type="dxa"/>
            <w:vAlign w:val="center"/>
          </w:tcPr>
          <w:p w14:paraId="604A55F7">
            <w:pPr>
              <w:adjustRightInd w:val="0"/>
              <w:spacing w:line="320" w:lineRule="exact"/>
              <w:rPr>
                <w:rFonts w:hint="eastAsia" w:ascii="仿宋_GB2312" w:hAnsi="仿宋" w:eastAsia="仿宋_GB2312"/>
                <w:color w:val="000000" w:themeColor="text1"/>
                <w:sz w:val="24"/>
                <w:szCs w:val="24"/>
                <w14:textFill>
                  <w14:solidFill>
                    <w14:schemeClr w14:val="tx1"/>
                  </w14:solidFill>
                </w14:textFill>
              </w:rPr>
            </w:pPr>
            <w:r>
              <w:rPr>
                <w:rFonts w:hint="eastAsia" w:ascii="仿宋_GB2312" w:hAnsi="仿宋" w:eastAsia="仿宋_GB2312"/>
                <w:color w:val="000000" w:themeColor="text1"/>
                <w:sz w:val="24"/>
                <w:szCs w:val="24"/>
                <w14:textFill>
                  <w14:solidFill>
                    <w14:schemeClr w14:val="tx1"/>
                  </w14:solidFill>
                </w14:textFill>
              </w:rPr>
              <w:t>协助完成对审计底稿数据在中普审计系统中的采集、整理、分析及底稿生成全过程。审计完成提交整个完整的审计底稿资料。</w:t>
            </w:r>
          </w:p>
        </w:tc>
      </w:tr>
      <w:tr w14:paraId="4F684A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Merge w:val="restart"/>
            <w:vAlign w:val="center"/>
          </w:tcPr>
          <w:p w14:paraId="49A75326">
            <w:pPr>
              <w:adjustRightInd w:val="0"/>
              <w:spacing w:line="320" w:lineRule="exact"/>
              <w:jc w:val="center"/>
              <w:rPr>
                <w:rFonts w:hint="eastAsia" w:ascii="仿宋_GB2312" w:hAnsi="仿宋" w:eastAsia="仿宋_GB2312"/>
                <w:b/>
                <w:sz w:val="24"/>
                <w:szCs w:val="24"/>
              </w:rPr>
            </w:pPr>
            <w:r>
              <w:rPr>
                <w:rFonts w:hint="eastAsia" w:ascii="仿宋_GB2312" w:hAnsi="仿宋" w:eastAsia="仿宋_GB2312"/>
                <w:b/>
                <w:sz w:val="24"/>
                <w:szCs w:val="24"/>
              </w:rPr>
              <w:t>商务部分</w:t>
            </w:r>
          </w:p>
          <w:p w14:paraId="332DC0CE">
            <w:pPr>
              <w:adjustRightInd w:val="0"/>
              <w:spacing w:line="320" w:lineRule="exact"/>
              <w:jc w:val="center"/>
              <w:rPr>
                <w:rFonts w:hint="eastAsia" w:ascii="仿宋_GB2312" w:hAnsi="仿宋" w:eastAsia="仿宋_GB2312"/>
                <w:b/>
                <w:sz w:val="24"/>
                <w:szCs w:val="24"/>
              </w:rPr>
            </w:pPr>
            <w:r>
              <w:rPr>
                <w:rFonts w:hint="eastAsia" w:ascii="仿宋_GB2312" w:hAnsi="仿宋" w:eastAsia="仿宋_GB2312"/>
                <w:b/>
                <w:sz w:val="24"/>
                <w:szCs w:val="24"/>
              </w:rPr>
              <w:t>(30分)</w:t>
            </w:r>
          </w:p>
        </w:tc>
        <w:tc>
          <w:tcPr>
            <w:tcW w:w="1276" w:type="dxa"/>
            <w:vAlign w:val="center"/>
          </w:tcPr>
          <w:p w14:paraId="7D4A7D2B">
            <w:pPr>
              <w:adjustRightInd w:val="0"/>
              <w:spacing w:line="320" w:lineRule="exact"/>
              <w:jc w:val="center"/>
              <w:rPr>
                <w:rFonts w:hint="eastAsia" w:ascii="仿宋_GB2312" w:hAnsi="仿宋" w:eastAsia="仿宋_GB2312"/>
                <w:b/>
                <w:color w:val="000000" w:themeColor="text1"/>
                <w:sz w:val="24"/>
                <w:szCs w:val="24"/>
                <w14:textFill>
                  <w14:solidFill>
                    <w14:schemeClr w14:val="tx1"/>
                  </w14:solidFill>
                </w14:textFill>
              </w:rPr>
            </w:pPr>
            <w:r>
              <w:rPr>
                <w:rFonts w:hint="eastAsia" w:ascii="仿宋_GB2312" w:hAnsi="仿宋" w:eastAsia="仿宋_GB2312"/>
                <w:b/>
                <w:color w:val="000000" w:themeColor="text1"/>
                <w:sz w:val="24"/>
                <w:szCs w:val="24"/>
                <w14:textFill>
                  <w14:solidFill>
                    <w14:schemeClr w14:val="tx1"/>
                  </w14:solidFill>
                </w14:textFill>
              </w:rPr>
              <w:t>技术力量</w:t>
            </w:r>
          </w:p>
          <w:p w14:paraId="2DB0CEC3">
            <w:pPr>
              <w:adjustRightInd w:val="0"/>
              <w:spacing w:line="320" w:lineRule="exact"/>
              <w:jc w:val="center"/>
              <w:rPr>
                <w:rFonts w:hint="eastAsia" w:ascii="仿宋_GB2312" w:hAnsi="仿宋" w:eastAsia="仿宋_GB2312"/>
                <w:b/>
                <w:color w:val="000000" w:themeColor="text1"/>
                <w:sz w:val="24"/>
                <w:szCs w:val="24"/>
                <w14:textFill>
                  <w14:solidFill>
                    <w14:schemeClr w14:val="tx1"/>
                  </w14:solidFill>
                </w14:textFill>
              </w:rPr>
            </w:pPr>
            <w:r>
              <w:rPr>
                <w:rFonts w:hint="eastAsia" w:ascii="仿宋_GB2312" w:hAnsi="仿宋" w:eastAsia="仿宋_GB2312"/>
                <w:b/>
                <w:color w:val="000000" w:themeColor="text1"/>
                <w:sz w:val="24"/>
                <w:szCs w:val="24"/>
                <w14:textFill>
                  <w14:solidFill>
                    <w14:schemeClr w14:val="tx1"/>
                  </w14:solidFill>
                </w14:textFill>
              </w:rPr>
              <w:t>（15分）</w:t>
            </w:r>
          </w:p>
        </w:tc>
        <w:tc>
          <w:tcPr>
            <w:tcW w:w="6631" w:type="dxa"/>
            <w:vAlign w:val="center"/>
          </w:tcPr>
          <w:p w14:paraId="72F8D74B">
            <w:pPr>
              <w:adjustRightInd w:val="0"/>
              <w:snapToGrid w:val="0"/>
              <w:spacing w:line="320" w:lineRule="exact"/>
              <w:rPr>
                <w:rFonts w:hint="eastAsia" w:ascii="仿宋_GB2312" w:hAnsi="仿宋" w:eastAsia="仿宋_GB2312"/>
                <w:color w:val="000000" w:themeColor="text1"/>
                <w:sz w:val="24"/>
                <w:szCs w:val="24"/>
                <w14:textFill>
                  <w14:solidFill>
                    <w14:schemeClr w14:val="tx1"/>
                  </w14:solidFill>
                </w14:textFill>
              </w:rPr>
            </w:pPr>
            <w:r>
              <w:rPr>
                <w:rFonts w:hint="eastAsia" w:ascii="仿宋_GB2312" w:hAnsi="仿宋" w:eastAsia="仿宋_GB2312"/>
                <w:color w:val="000000" w:themeColor="text1"/>
                <w:sz w:val="24"/>
                <w:szCs w:val="24"/>
                <w14:textFill>
                  <w14:solidFill>
                    <w14:schemeClr w14:val="tx1"/>
                  </w14:solidFill>
                </w14:textFill>
              </w:rPr>
              <w:t>投标单位注册并在岗人员中，注册会计师人数20人及以上计15分，10至19人计10分，4至9人计5分，4人以下不计分。（提供注册会计师资格证书原件电子扫描件以及近半年内连续三个月社保证明加盖公章，未提供不计分）</w:t>
            </w:r>
          </w:p>
        </w:tc>
      </w:tr>
      <w:tr w14:paraId="0C985F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Merge w:val="continue"/>
            <w:vAlign w:val="center"/>
          </w:tcPr>
          <w:p w14:paraId="6F0DBD01">
            <w:pPr>
              <w:adjustRightInd w:val="0"/>
              <w:spacing w:line="320" w:lineRule="exact"/>
              <w:jc w:val="center"/>
              <w:rPr>
                <w:rFonts w:hint="eastAsia" w:ascii="仿宋_GB2312" w:hAnsi="仿宋" w:eastAsia="仿宋_GB2312"/>
                <w:b/>
                <w:sz w:val="24"/>
                <w:szCs w:val="24"/>
              </w:rPr>
            </w:pPr>
          </w:p>
        </w:tc>
        <w:tc>
          <w:tcPr>
            <w:tcW w:w="1276" w:type="dxa"/>
            <w:vAlign w:val="center"/>
          </w:tcPr>
          <w:p w14:paraId="7D18C7B2">
            <w:pPr>
              <w:adjustRightInd w:val="0"/>
              <w:spacing w:line="320" w:lineRule="exact"/>
              <w:jc w:val="center"/>
              <w:rPr>
                <w:rFonts w:hint="eastAsia" w:ascii="仿宋_GB2312" w:hAnsi="仿宋" w:eastAsia="仿宋_GB2312"/>
                <w:b/>
                <w:color w:val="000000" w:themeColor="text1"/>
                <w:sz w:val="24"/>
                <w:szCs w:val="24"/>
                <w14:textFill>
                  <w14:solidFill>
                    <w14:schemeClr w14:val="tx1"/>
                  </w14:solidFill>
                </w14:textFill>
              </w:rPr>
            </w:pPr>
            <w:r>
              <w:rPr>
                <w:rFonts w:hint="eastAsia" w:ascii="仿宋_GB2312" w:hAnsi="仿宋" w:eastAsia="仿宋_GB2312"/>
                <w:b/>
                <w:color w:val="000000" w:themeColor="text1"/>
                <w:sz w:val="24"/>
                <w:szCs w:val="24"/>
                <w14:textFill>
                  <w14:solidFill>
                    <w14:schemeClr w14:val="tx1"/>
                  </w14:solidFill>
                </w14:textFill>
              </w:rPr>
              <w:t>类似业绩</w:t>
            </w:r>
          </w:p>
          <w:p w14:paraId="3AB1ED14">
            <w:pPr>
              <w:adjustRightInd w:val="0"/>
              <w:spacing w:line="320" w:lineRule="exact"/>
              <w:jc w:val="center"/>
              <w:rPr>
                <w:rFonts w:hint="eastAsia" w:ascii="仿宋_GB2312" w:hAnsi="仿宋" w:eastAsia="仿宋_GB2312"/>
                <w:b/>
                <w:color w:val="000000" w:themeColor="text1"/>
                <w:sz w:val="24"/>
                <w:szCs w:val="24"/>
                <w14:textFill>
                  <w14:solidFill>
                    <w14:schemeClr w14:val="tx1"/>
                  </w14:solidFill>
                </w14:textFill>
              </w:rPr>
            </w:pPr>
            <w:r>
              <w:rPr>
                <w:rFonts w:hint="eastAsia" w:ascii="仿宋_GB2312" w:hAnsi="仿宋" w:eastAsia="仿宋_GB2312"/>
                <w:b/>
                <w:color w:val="000000" w:themeColor="text1"/>
                <w:sz w:val="24"/>
                <w:szCs w:val="24"/>
                <w14:textFill>
                  <w14:solidFill>
                    <w14:schemeClr w14:val="tx1"/>
                  </w14:solidFill>
                </w14:textFill>
              </w:rPr>
              <w:t>（15分）</w:t>
            </w:r>
          </w:p>
        </w:tc>
        <w:tc>
          <w:tcPr>
            <w:tcW w:w="6631" w:type="dxa"/>
            <w:vAlign w:val="center"/>
          </w:tcPr>
          <w:p w14:paraId="56E0E404">
            <w:pPr>
              <w:adjustRightInd w:val="0"/>
              <w:spacing w:line="320" w:lineRule="exact"/>
              <w:rPr>
                <w:rFonts w:hint="eastAsia" w:ascii="仿宋_GB2312" w:hAnsi="仿宋" w:eastAsia="仿宋_GB2312"/>
                <w:color w:val="000000" w:themeColor="text1"/>
                <w:sz w:val="24"/>
                <w:szCs w:val="24"/>
                <w14:textFill>
                  <w14:solidFill>
                    <w14:schemeClr w14:val="tx1"/>
                  </w14:solidFill>
                </w14:textFill>
              </w:rPr>
            </w:pPr>
            <w:r>
              <w:rPr>
                <w:rFonts w:hint="eastAsia" w:ascii="仿宋_GB2312" w:hAnsi="仿宋" w:eastAsia="仿宋_GB2312"/>
                <w:color w:val="000000" w:themeColor="text1"/>
                <w:sz w:val="24"/>
                <w:szCs w:val="24"/>
                <w14:textFill>
                  <w14:solidFill>
                    <w14:schemeClr w14:val="tx1"/>
                  </w14:solidFill>
                </w14:textFill>
              </w:rPr>
              <w:t>投标人提供2022年以来（以合同签订时间为准）承接过</w:t>
            </w:r>
            <w:r>
              <w:rPr>
                <w:rFonts w:hint="eastAsia" w:ascii="仿宋" w:hAnsi="仿宋" w:eastAsia="仿宋"/>
                <w:color w:val="000000" w:themeColor="text1"/>
                <w:kern w:val="0"/>
                <w:sz w:val="24"/>
                <w:szCs w:val="24"/>
                <w14:textFill>
                  <w14:solidFill>
                    <w14:schemeClr w14:val="tx1"/>
                  </w14:solidFill>
                </w14:textFill>
              </w:rPr>
              <w:t>类似审计业务类型：</w:t>
            </w:r>
            <w:r>
              <w:rPr>
                <w:rFonts w:hint="eastAsia" w:ascii="仿宋_GB2312" w:hAnsi="仿宋" w:eastAsia="仿宋_GB2312"/>
                <w:color w:val="000000" w:themeColor="text1"/>
                <w:sz w:val="24"/>
                <w:szCs w:val="24"/>
                <w14:textFill>
                  <w14:solidFill>
                    <w14:schemeClr w14:val="tx1"/>
                  </w14:solidFill>
                </w14:textFill>
              </w:rPr>
              <w:t>预算执行绩效审计项目、学生资助资金绩效审计、学生食堂管理审计和财务收支审计的，每提供一种项目类型合同的计1分，最多计13分。</w:t>
            </w:r>
            <w:r>
              <w:rPr>
                <w:rFonts w:hint="eastAsia" w:ascii="仿宋_GB2312" w:hAnsi="仿宋" w:eastAsia="仿宋_GB2312" w:cs="仿宋_GB2312"/>
                <w:color w:val="000000" w:themeColor="text1"/>
                <w:sz w:val="24"/>
                <w14:textFill>
                  <w14:solidFill>
                    <w14:schemeClr w14:val="tx1"/>
                  </w14:solidFill>
                </w14:textFill>
              </w:rPr>
              <w:t>高校预算执行绩效审计项目被省教育厅评审为优秀等级的加2分。</w:t>
            </w:r>
            <w:r>
              <w:rPr>
                <w:rFonts w:hint="eastAsia" w:ascii="仿宋_GB2312" w:hAnsi="仿宋" w:eastAsia="仿宋_GB2312"/>
                <w:color w:val="000000" w:themeColor="text1"/>
                <w:sz w:val="24"/>
                <w:szCs w:val="24"/>
                <w14:textFill>
                  <w14:solidFill>
                    <w14:schemeClr w14:val="tx1"/>
                  </w14:solidFill>
                </w14:textFill>
              </w:rPr>
              <w:t>（提供佐证材料复印件加盖公章，未提供不计分）</w:t>
            </w:r>
          </w:p>
        </w:tc>
      </w:tr>
      <w:tr w14:paraId="554A7F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Align w:val="center"/>
          </w:tcPr>
          <w:p w14:paraId="4C9FCFA1">
            <w:pPr>
              <w:adjustRightInd w:val="0"/>
              <w:spacing w:line="320" w:lineRule="exact"/>
              <w:jc w:val="center"/>
              <w:rPr>
                <w:rFonts w:hint="eastAsia" w:ascii="仿宋_GB2312" w:hAnsi="仿宋" w:eastAsia="仿宋_GB2312"/>
                <w:b/>
                <w:sz w:val="24"/>
                <w:szCs w:val="24"/>
              </w:rPr>
            </w:pPr>
            <w:bookmarkStart w:id="9" w:name="OLE_LINK7"/>
            <w:bookmarkStart w:id="10" w:name="OLE_LINK6"/>
            <w:r>
              <w:rPr>
                <w:rFonts w:hint="eastAsia" w:ascii="仿宋_GB2312" w:hAnsi="仿宋" w:eastAsia="仿宋_GB2312"/>
                <w:b/>
                <w:sz w:val="24"/>
                <w:szCs w:val="24"/>
              </w:rPr>
              <w:t>报价部分(30分</w:t>
            </w:r>
            <w:bookmarkEnd w:id="9"/>
            <w:bookmarkEnd w:id="10"/>
            <w:r>
              <w:rPr>
                <w:rFonts w:hint="eastAsia" w:ascii="仿宋_GB2312" w:hAnsi="仿宋" w:eastAsia="仿宋_GB2312"/>
                <w:b/>
                <w:sz w:val="24"/>
                <w:szCs w:val="24"/>
              </w:rPr>
              <w:t>)</w:t>
            </w:r>
          </w:p>
        </w:tc>
        <w:tc>
          <w:tcPr>
            <w:tcW w:w="1276" w:type="dxa"/>
            <w:vAlign w:val="center"/>
          </w:tcPr>
          <w:p w14:paraId="29ED2802">
            <w:pPr>
              <w:adjustRightInd w:val="0"/>
              <w:spacing w:line="320" w:lineRule="exact"/>
              <w:jc w:val="center"/>
              <w:rPr>
                <w:rFonts w:hint="eastAsia" w:ascii="仿宋_GB2312" w:hAnsi="仿宋" w:eastAsia="仿宋_GB2312"/>
                <w:b/>
                <w:color w:val="000000" w:themeColor="text1"/>
                <w:sz w:val="24"/>
                <w:szCs w:val="24"/>
                <w14:textFill>
                  <w14:solidFill>
                    <w14:schemeClr w14:val="tx1"/>
                  </w14:solidFill>
                </w14:textFill>
              </w:rPr>
            </w:pPr>
            <w:r>
              <w:rPr>
                <w:rFonts w:hint="eastAsia" w:ascii="仿宋_GB2312" w:hAnsi="仿宋" w:eastAsia="仿宋_GB2312"/>
                <w:b/>
                <w:color w:val="000000" w:themeColor="text1"/>
                <w:sz w:val="24"/>
                <w:szCs w:val="24"/>
                <w14:textFill>
                  <w14:solidFill>
                    <w14:schemeClr w14:val="tx1"/>
                  </w14:solidFill>
                </w14:textFill>
              </w:rPr>
              <w:t>投标报价</w:t>
            </w:r>
          </w:p>
          <w:p w14:paraId="0A24AA60">
            <w:pPr>
              <w:adjustRightInd w:val="0"/>
              <w:spacing w:line="320" w:lineRule="exact"/>
              <w:jc w:val="center"/>
              <w:rPr>
                <w:rFonts w:hint="eastAsia" w:ascii="仿宋_GB2312" w:hAnsi="仿宋" w:eastAsia="仿宋_GB2312"/>
                <w:b/>
                <w:color w:val="000000" w:themeColor="text1"/>
                <w:sz w:val="24"/>
                <w:szCs w:val="24"/>
                <w14:textFill>
                  <w14:solidFill>
                    <w14:schemeClr w14:val="tx1"/>
                  </w14:solidFill>
                </w14:textFill>
              </w:rPr>
            </w:pPr>
            <w:r>
              <w:rPr>
                <w:rFonts w:hint="eastAsia" w:ascii="仿宋_GB2312" w:hAnsi="仿宋" w:eastAsia="仿宋_GB2312"/>
                <w:b/>
                <w:color w:val="000000" w:themeColor="text1"/>
                <w:sz w:val="24"/>
                <w:szCs w:val="24"/>
                <w14:textFill>
                  <w14:solidFill>
                    <w14:schemeClr w14:val="tx1"/>
                  </w14:solidFill>
                </w14:textFill>
              </w:rPr>
              <w:t>（30分）</w:t>
            </w:r>
          </w:p>
        </w:tc>
        <w:tc>
          <w:tcPr>
            <w:tcW w:w="6631" w:type="dxa"/>
            <w:vAlign w:val="center"/>
          </w:tcPr>
          <w:p w14:paraId="3BA8C997">
            <w:pPr>
              <w:adjustRightInd w:val="0"/>
              <w:spacing w:line="320" w:lineRule="exact"/>
              <w:rPr>
                <w:rFonts w:hint="eastAsia" w:ascii="仿宋_GB2312" w:hAnsi="仿宋" w:eastAsia="仿宋_GB2312"/>
                <w:color w:val="000000" w:themeColor="text1"/>
                <w:sz w:val="24"/>
                <w:szCs w:val="24"/>
                <w14:textFill>
                  <w14:solidFill>
                    <w14:schemeClr w14:val="tx1"/>
                  </w14:solidFill>
                </w14:textFill>
              </w:rPr>
            </w:pPr>
            <w:r>
              <w:rPr>
                <w:rFonts w:hint="eastAsia" w:ascii="仿宋_GB2312" w:hAnsi="仿宋" w:eastAsia="仿宋_GB2312"/>
                <w:color w:val="000000" w:themeColor="text1"/>
                <w:sz w:val="24"/>
                <w:szCs w:val="24"/>
                <w14:textFill>
                  <w14:solidFill>
                    <w14:schemeClr w14:val="tx1"/>
                  </w14:solidFill>
                </w14:textFill>
              </w:rPr>
              <w:t>满足比选文件要求且投标报价中最低的投标报价为评标基准价，其价格分为满分；其他投标人的价格分统一按照以下公式计算：投标报价得分=（评标基准价/投标报价）×30。</w:t>
            </w:r>
          </w:p>
        </w:tc>
      </w:tr>
      <w:tr w14:paraId="4808DB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Align w:val="center"/>
          </w:tcPr>
          <w:p w14:paraId="26176114">
            <w:pPr>
              <w:adjustRightInd w:val="0"/>
              <w:spacing w:line="320" w:lineRule="exact"/>
              <w:jc w:val="center"/>
              <w:rPr>
                <w:rFonts w:hint="eastAsia" w:ascii="仿宋_GB2312" w:hAnsi="仿宋" w:eastAsia="仿宋_GB2312"/>
                <w:b/>
                <w:sz w:val="24"/>
                <w:szCs w:val="24"/>
              </w:rPr>
            </w:pPr>
            <w:r>
              <w:rPr>
                <w:rFonts w:hint="eastAsia" w:ascii="仿宋_GB2312" w:hAnsi="仿宋" w:eastAsia="仿宋_GB2312"/>
                <w:b/>
                <w:sz w:val="24"/>
                <w:szCs w:val="24"/>
              </w:rPr>
              <w:t>总分</w:t>
            </w:r>
          </w:p>
        </w:tc>
        <w:tc>
          <w:tcPr>
            <w:tcW w:w="1276" w:type="dxa"/>
            <w:vAlign w:val="center"/>
          </w:tcPr>
          <w:p w14:paraId="69F40D69">
            <w:pPr>
              <w:adjustRightInd w:val="0"/>
              <w:spacing w:line="320" w:lineRule="exact"/>
              <w:jc w:val="center"/>
              <w:rPr>
                <w:rFonts w:hint="eastAsia" w:ascii="仿宋_GB2312" w:hAnsi="仿宋" w:eastAsia="仿宋_GB2312"/>
                <w:b/>
                <w:sz w:val="24"/>
                <w:szCs w:val="24"/>
              </w:rPr>
            </w:pPr>
            <w:r>
              <w:rPr>
                <w:rFonts w:hint="eastAsia" w:ascii="仿宋_GB2312" w:hAnsi="仿宋" w:eastAsia="仿宋_GB2312"/>
                <w:b/>
                <w:sz w:val="24"/>
                <w:szCs w:val="24"/>
              </w:rPr>
              <w:t>100分</w:t>
            </w:r>
          </w:p>
        </w:tc>
        <w:tc>
          <w:tcPr>
            <w:tcW w:w="6631" w:type="dxa"/>
            <w:vAlign w:val="center"/>
          </w:tcPr>
          <w:p w14:paraId="52B36A7B">
            <w:pPr>
              <w:adjustRightInd w:val="0"/>
              <w:spacing w:line="320" w:lineRule="exact"/>
              <w:jc w:val="center"/>
              <w:rPr>
                <w:rFonts w:hint="eastAsia" w:ascii="仿宋_GB2312" w:hAnsi="仿宋" w:eastAsia="仿宋_GB2312"/>
                <w:sz w:val="24"/>
                <w:szCs w:val="24"/>
              </w:rPr>
            </w:pPr>
          </w:p>
        </w:tc>
      </w:tr>
    </w:tbl>
    <w:p w14:paraId="6F496C76">
      <w:pPr>
        <w:widowControl/>
        <w:jc w:val="left"/>
        <w:rPr>
          <w:rFonts w:hint="eastAsia" w:ascii="仿宋_GB2312" w:hAnsi="仿宋" w:eastAsia="仿宋_GB2312"/>
          <w:sz w:val="32"/>
          <w:szCs w:val="32"/>
        </w:rPr>
      </w:pPr>
      <w:r>
        <w:rPr>
          <w:rFonts w:hint="eastAsia" w:ascii="仿宋_GB2312" w:hAnsi="仿宋" w:eastAsia="仿宋_GB2312"/>
          <w:sz w:val="32"/>
          <w:szCs w:val="32"/>
        </w:rPr>
        <w:br w:type="page"/>
      </w:r>
    </w:p>
    <w:p w14:paraId="5077E8EB">
      <w:pPr>
        <w:spacing w:line="700" w:lineRule="exact"/>
        <w:jc w:val="center"/>
        <w:outlineLvl w:val="0"/>
        <w:rPr>
          <w:rFonts w:hint="eastAsia" w:ascii="方正小标宋简体" w:hAnsi="黑体" w:eastAsia="方正小标宋简体"/>
          <w:bCs/>
          <w:spacing w:val="10"/>
          <w:sz w:val="44"/>
          <w:szCs w:val="44"/>
        </w:rPr>
      </w:pPr>
      <w:r>
        <w:rPr>
          <w:rFonts w:hint="eastAsia" w:ascii="方正小标宋简体" w:hAnsi="黑体" w:eastAsia="方正小标宋简体"/>
          <w:bCs/>
          <w:spacing w:val="10"/>
          <w:sz w:val="44"/>
          <w:szCs w:val="44"/>
        </w:rPr>
        <w:t>响应文件组成</w:t>
      </w:r>
    </w:p>
    <w:p w14:paraId="2F2E6B5F">
      <w:pPr>
        <w:snapToGrid w:val="0"/>
        <w:spacing w:line="560" w:lineRule="exact"/>
        <w:ind w:firstLine="640" w:firstLineChars="200"/>
        <w:outlineLvl w:val="1"/>
        <w:rPr>
          <w:rFonts w:hint="eastAsia" w:ascii="黑体" w:hAnsi="黑体" w:eastAsia="黑体" w:cs="仿宋"/>
          <w:color w:val="333333"/>
          <w:kern w:val="0"/>
          <w:sz w:val="32"/>
          <w:szCs w:val="32"/>
        </w:rPr>
      </w:pPr>
      <w:r>
        <w:rPr>
          <w:rFonts w:hint="eastAsia" w:ascii="黑体" w:hAnsi="黑体" w:eastAsia="黑体" w:cs="仿宋"/>
          <w:color w:val="333333"/>
          <w:kern w:val="0"/>
          <w:sz w:val="32"/>
          <w:szCs w:val="32"/>
        </w:rPr>
        <w:t>一、询比响应声明</w:t>
      </w:r>
    </w:p>
    <w:p w14:paraId="29379492">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见附件1</w:t>
      </w:r>
    </w:p>
    <w:p w14:paraId="62E87CE5">
      <w:pPr>
        <w:snapToGrid w:val="0"/>
        <w:spacing w:line="560" w:lineRule="exact"/>
        <w:ind w:firstLine="640" w:firstLineChars="200"/>
        <w:outlineLvl w:val="1"/>
        <w:rPr>
          <w:rFonts w:hint="eastAsia" w:ascii="黑体" w:hAnsi="黑体" w:eastAsia="黑体" w:cs="仿宋"/>
          <w:color w:val="333333"/>
          <w:kern w:val="0"/>
          <w:sz w:val="32"/>
          <w:szCs w:val="32"/>
        </w:rPr>
      </w:pPr>
      <w:r>
        <w:rPr>
          <w:rFonts w:ascii="黑体" w:hAnsi="黑体" w:eastAsia="黑体" w:cs="仿宋"/>
          <w:color w:val="333333"/>
          <w:kern w:val="0"/>
          <w:sz w:val="32"/>
          <w:szCs w:val="32"/>
        </w:rPr>
        <w:t>二、</w:t>
      </w:r>
      <w:r>
        <w:rPr>
          <w:rFonts w:hint="eastAsia" w:ascii="黑体" w:hAnsi="黑体" w:eastAsia="黑体" w:cs="仿宋"/>
          <w:color w:val="333333"/>
          <w:kern w:val="0"/>
          <w:sz w:val="32"/>
          <w:szCs w:val="32"/>
        </w:rPr>
        <w:t>投标人资格要求证明资料</w:t>
      </w:r>
    </w:p>
    <w:p w14:paraId="2F5436D0">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营业执照副本复印件、近三个月依法缴纳税收证明材料的复印件、近三年内在经营活动中没有重大违法记录的书面声明。</w:t>
      </w:r>
    </w:p>
    <w:p w14:paraId="507C07F8">
      <w:pPr>
        <w:snapToGrid w:val="0"/>
        <w:spacing w:line="560" w:lineRule="exact"/>
        <w:ind w:firstLine="640" w:firstLineChars="200"/>
        <w:outlineLvl w:val="1"/>
        <w:rPr>
          <w:rFonts w:hint="eastAsia" w:ascii="黑体" w:hAnsi="黑体" w:eastAsia="黑体" w:cs="仿宋"/>
          <w:color w:val="333333"/>
          <w:kern w:val="0"/>
          <w:sz w:val="32"/>
          <w:szCs w:val="32"/>
        </w:rPr>
      </w:pPr>
      <w:r>
        <w:rPr>
          <w:rFonts w:hint="eastAsia" w:ascii="黑体" w:hAnsi="黑体" w:eastAsia="黑体" w:cs="仿宋"/>
          <w:color w:val="333333"/>
          <w:kern w:val="0"/>
          <w:sz w:val="32"/>
          <w:szCs w:val="32"/>
        </w:rPr>
        <w:t>三、供应商认为需要提供的资料</w:t>
      </w:r>
    </w:p>
    <w:p w14:paraId="2E83347C">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请根据评审因素和标准自行提供资料。</w:t>
      </w:r>
    </w:p>
    <w:p w14:paraId="279B34E6">
      <w:pPr>
        <w:snapToGrid w:val="0"/>
        <w:spacing w:line="560" w:lineRule="exact"/>
        <w:ind w:firstLine="640" w:firstLineChars="200"/>
        <w:outlineLvl w:val="1"/>
        <w:rPr>
          <w:rFonts w:hint="eastAsia" w:ascii="黑体" w:hAnsi="黑体" w:eastAsia="黑体" w:cs="仿宋"/>
          <w:color w:val="333333"/>
          <w:kern w:val="0"/>
          <w:sz w:val="32"/>
          <w:szCs w:val="32"/>
        </w:rPr>
      </w:pPr>
      <w:r>
        <w:rPr>
          <w:rFonts w:ascii="黑体" w:hAnsi="黑体" w:eastAsia="黑体" w:cs="仿宋"/>
          <w:color w:val="333333"/>
          <w:kern w:val="0"/>
          <w:sz w:val="32"/>
          <w:szCs w:val="32"/>
        </w:rPr>
        <w:t>四</w:t>
      </w:r>
      <w:r>
        <w:rPr>
          <w:rFonts w:hint="eastAsia" w:ascii="黑体" w:hAnsi="黑体" w:eastAsia="黑体" w:cs="仿宋"/>
          <w:color w:val="333333"/>
          <w:kern w:val="0"/>
          <w:sz w:val="32"/>
          <w:szCs w:val="32"/>
        </w:rPr>
        <w:t>、</w:t>
      </w:r>
      <w:r>
        <w:rPr>
          <w:rFonts w:ascii="黑体" w:hAnsi="黑体" w:eastAsia="黑体" w:cs="仿宋"/>
          <w:color w:val="333333"/>
          <w:kern w:val="0"/>
          <w:sz w:val="32"/>
          <w:szCs w:val="32"/>
        </w:rPr>
        <w:t>报价</w:t>
      </w:r>
      <w:r>
        <w:rPr>
          <w:rFonts w:hint="eastAsia" w:ascii="黑体" w:hAnsi="黑体" w:eastAsia="黑体" w:cs="仿宋"/>
          <w:color w:val="333333"/>
          <w:kern w:val="0"/>
          <w:sz w:val="32"/>
          <w:szCs w:val="32"/>
        </w:rPr>
        <w:t>函</w:t>
      </w:r>
    </w:p>
    <w:p w14:paraId="18F19F73">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见附件</w:t>
      </w:r>
      <w:r>
        <w:rPr>
          <w:rFonts w:ascii="仿宋_GB2312" w:hAnsi="仿宋" w:eastAsia="仿宋_GB2312"/>
          <w:sz w:val="32"/>
          <w:szCs w:val="32"/>
        </w:rPr>
        <w:t>2</w:t>
      </w:r>
    </w:p>
    <w:p w14:paraId="083C3535">
      <w:pPr>
        <w:widowControl/>
        <w:jc w:val="left"/>
      </w:pPr>
      <w:r>
        <w:br w:type="page"/>
      </w:r>
    </w:p>
    <w:p w14:paraId="4DFEE8F5">
      <w:pPr>
        <w:spacing w:line="700" w:lineRule="exact"/>
        <w:jc w:val="center"/>
        <w:outlineLvl w:val="0"/>
        <w:rPr>
          <w:rFonts w:hint="eastAsia" w:ascii="方正小标宋简体" w:hAnsi="黑体" w:eastAsia="方正小标宋简体"/>
          <w:bCs/>
          <w:spacing w:val="10"/>
          <w:sz w:val="44"/>
          <w:szCs w:val="44"/>
        </w:rPr>
      </w:pPr>
      <w:r>
        <w:rPr>
          <w:rFonts w:hint="eastAsia" w:ascii="方正小标宋简体" w:hAnsi="黑体" w:eastAsia="方正小标宋简体"/>
          <w:bCs/>
          <w:spacing w:val="10"/>
          <w:sz w:val="44"/>
          <w:szCs w:val="44"/>
        </w:rPr>
        <w:t>响应文件要求</w:t>
      </w:r>
    </w:p>
    <w:p w14:paraId="15CD718D">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1．响应文件应密封包装，加贴封条，并在封套的封口处加盖投标人单位章。</w:t>
      </w:r>
    </w:p>
    <w:p w14:paraId="57EF916D">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2．响应文件正本壹份、副本贰份，并装订。</w:t>
      </w:r>
    </w:p>
    <w:p w14:paraId="078107D2">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3．响应文件正本和副本应按要求每页或签章处盖单位章；不得任何加行、涂改、增删，否则，将导致响应文件无效。</w:t>
      </w:r>
    </w:p>
    <w:p w14:paraId="3BA2FD4C">
      <w:pPr>
        <w:pStyle w:val="15"/>
        <w:snapToGrid w:val="0"/>
        <w:spacing w:before="0" w:beforeAutospacing="0" w:after="0" w:line="560" w:lineRule="exact"/>
        <w:ind w:left="0" w:leftChars="0" w:firstLine="640" w:firstLineChars="200"/>
        <w:rPr>
          <w:rFonts w:hint="eastAsia" w:ascii="仿宋_GB2312" w:hAnsi="仿宋" w:eastAsia="仿宋_GB2312"/>
          <w:sz w:val="32"/>
          <w:szCs w:val="32"/>
        </w:rPr>
      </w:pPr>
      <w:r>
        <w:rPr>
          <w:rFonts w:hint="eastAsia" w:ascii="仿宋_GB2312" w:hAnsi="仿宋" w:eastAsia="仿宋_GB2312"/>
          <w:sz w:val="32"/>
          <w:szCs w:val="32"/>
        </w:rPr>
        <w:t>4．报价不得超过采购预算价格，否则为无效投标。</w:t>
      </w:r>
    </w:p>
    <w:p w14:paraId="59C8DE00">
      <w:pPr>
        <w:widowControl/>
        <w:jc w:val="left"/>
        <w:rPr>
          <w:rFonts w:hint="eastAsia" w:ascii="仿宋" w:hAnsi="仿宋" w:eastAsia="仿宋"/>
          <w:b/>
          <w:kern w:val="0"/>
          <w:sz w:val="24"/>
          <w:szCs w:val="24"/>
        </w:rPr>
      </w:pPr>
      <w:r>
        <w:rPr>
          <w:rFonts w:hint="eastAsia" w:ascii="仿宋" w:hAnsi="仿宋" w:eastAsia="仿宋"/>
          <w:b/>
          <w:sz w:val="24"/>
          <w:szCs w:val="24"/>
        </w:rPr>
        <w:br w:type="page"/>
      </w:r>
    </w:p>
    <w:p w14:paraId="3D89340A">
      <w:pPr>
        <w:spacing w:line="560" w:lineRule="exact"/>
        <w:rPr>
          <w:rFonts w:hint="eastAsia" w:ascii="仿宋" w:hAnsi="仿宋" w:eastAsia="仿宋"/>
          <w:b/>
          <w:sz w:val="24"/>
          <w:szCs w:val="24"/>
        </w:rPr>
      </w:pPr>
      <w:r>
        <w:rPr>
          <w:rFonts w:hint="eastAsia" w:ascii="黑体" w:hAnsi="黑体" w:eastAsia="黑体"/>
          <w:bCs/>
          <w:spacing w:val="10"/>
          <w:sz w:val="32"/>
          <w:szCs w:val="32"/>
        </w:rPr>
        <w:t>附件1：</w:t>
      </w:r>
    </w:p>
    <w:p w14:paraId="563661CD">
      <w:pPr>
        <w:spacing w:line="700" w:lineRule="exact"/>
        <w:jc w:val="center"/>
        <w:outlineLvl w:val="0"/>
        <w:rPr>
          <w:rFonts w:hint="eastAsia" w:ascii="仿宋_GB2312" w:hAnsi="宋体" w:eastAsia="仿宋_GB2312"/>
          <w:sz w:val="24"/>
          <w:szCs w:val="24"/>
        </w:rPr>
      </w:pPr>
      <w:r>
        <w:rPr>
          <w:rFonts w:hint="eastAsia" w:ascii="方正小标宋简体" w:hAnsi="黑体" w:eastAsia="方正小标宋简体"/>
          <w:bCs/>
          <w:spacing w:val="10"/>
          <w:sz w:val="44"/>
          <w:szCs w:val="44"/>
        </w:rPr>
        <w:t>询比响应声明</w:t>
      </w:r>
    </w:p>
    <w:p w14:paraId="3B40E189">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致</w:t>
      </w:r>
      <w:r>
        <w:rPr>
          <w:rFonts w:hint="eastAsia" w:ascii="仿宋_GB2312" w:hAnsi="仿宋" w:eastAsia="仿宋_GB2312"/>
          <w:sz w:val="32"/>
          <w:szCs w:val="32"/>
          <w:u w:val="single"/>
        </w:rPr>
        <w:t xml:space="preserve"> 湖南铁道职业技术学院</w:t>
      </w:r>
      <w:r>
        <w:rPr>
          <w:rFonts w:hint="eastAsia" w:ascii="仿宋_GB2312" w:hAnsi="仿宋" w:eastAsia="仿宋_GB2312"/>
          <w:sz w:val="32"/>
          <w:szCs w:val="32"/>
        </w:rPr>
        <w:t>：</w:t>
      </w:r>
    </w:p>
    <w:p w14:paraId="67A3DD73">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我方已仔细研究了</w:t>
      </w:r>
      <w:r>
        <w:rPr>
          <w:rFonts w:hint="eastAsia" w:ascii="仿宋_GB2312" w:hAnsi="仿宋" w:eastAsia="仿宋_GB2312"/>
          <w:sz w:val="32"/>
          <w:szCs w:val="32"/>
          <w:u w:val="single"/>
        </w:rPr>
        <w:t xml:space="preserve">           (</w:t>
      </w:r>
      <w:r>
        <w:rPr>
          <w:rFonts w:hint="eastAsia" w:ascii="仿宋_GB2312" w:hAnsi="仿宋" w:eastAsia="仿宋_GB2312"/>
          <w:sz w:val="32"/>
          <w:szCs w:val="32"/>
        </w:rPr>
        <w:t>项目名称)的询比采购文件的全部内容，知悉参加询比的风险，我方承诺接受询比采购文件的全部条款且无任何异议。</w:t>
      </w:r>
    </w:p>
    <w:p w14:paraId="6FC4EBF3">
      <w:pPr>
        <w:pStyle w:val="10"/>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一、我方同意在询比采购文件中规定的提交响应文件截止时间起</w:t>
      </w:r>
      <w:r>
        <w:rPr>
          <w:rFonts w:hint="eastAsia" w:ascii="仿宋_GB2312" w:hAnsi="仿宋" w:eastAsia="仿宋_GB2312"/>
          <w:sz w:val="32"/>
          <w:szCs w:val="32"/>
          <w:u w:val="single"/>
        </w:rPr>
        <w:t xml:space="preserve">    </w:t>
      </w:r>
      <w:r>
        <w:rPr>
          <w:rFonts w:hint="eastAsia" w:ascii="仿宋_GB2312" w:hAnsi="仿宋" w:eastAsia="仿宋_GB2312"/>
          <w:sz w:val="32"/>
          <w:szCs w:val="32"/>
        </w:rPr>
        <w:t>日内(响应文件有效期)遵守本响应文件中的承诺且在此期限期满之前均具有法律约束力。</w:t>
      </w:r>
    </w:p>
    <w:p w14:paraId="7F4328C6">
      <w:pPr>
        <w:pStyle w:val="10"/>
        <w:adjustRightInd w:val="0"/>
        <w:snapToGrid w:val="0"/>
        <w:spacing w:line="560" w:lineRule="exact"/>
        <w:ind w:firstLine="640" w:firstLineChars="200"/>
        <w:rPr>
          <w:rFonts w:hint="eastAsia" w:ascii="仿宋_GB2312" w:hAnsi="仿宋" w:eastAsia="仿宋_GB2312"/>
          <w:bCs/>
          <w:sz w:val="32"/>
          <w:szCs w:val="32"/>
        </w:rPr>
      </w:pPr>
      <w:r>
        <w:rPr>
          <w:rFonts w:hint="eastAsia" w:ascii="仿宋_GB2312" w:hAnsi="仿宋" w:eastAsia="仿宋_GB2312"/>
          <w:sz w:val="32"/>
          <w:szCs w:val="32"/>
        </w:rPr>
        <w:t>二、我方提交响应文件正本一份和副本一式</w:t>
      </w:r>
      <w:r>
        <w:rPr>
          <w:rFonts w:hint="eastAsia" w:ascii="仿宋_GB2312" w:hAnsi="仿宋" w:eastAsia="仿宋_GB2312"/>
          <w:sz w:val="32"/>
          <w:szCs w:val="32"/>
          <w:u w:val="single"/>
        </w:rPr>
        <w:t xml:space="preserve"> 贰 </w:t>
      </w:r>
      <w:r>
        <w:rPr>
          <w:rFonts w:hint="eastAsia" w:ascii="仿宋_GB2312" w:hAnsi="仿宋" w:eastAsia="仿宋_GB2312"/>
          <w:sz w:val="32"/>
          <w:szCs w:val="32"/>
        </w:rPr>
        <w:t>份，并保证响应文件提供的数据和材料是真实、准确的。否则，愿承担相关</w:t>
      </w:r>
      <w:r>
        <w:rPr>
          <w:rFonts w:hint="eastAsia" w:ascii="仿宋_GB2312" w:hAnsi="仿宋" w:eastAsia="仿宋_GB2312"/>
          <w:bCs/>
          <w:sz w:val="32"/>
          <w:szCs w:val="32"/>
        </w:rPr>
        <w:t>的法</w:t>
      </w:r>
      <w:bookmarkStart w:id="11" w:name="_GoBack"/>
      <w:bookmarkEnd w:id="11"/>
      <w:r>
        <w:rPr>
          <w:rFonts w:hint="eastAsia" w:ascii="仿宋_GB2312" w:hAnsi="仿宋" w:eastAsia="仿宋_GB2312"/>
          <w:bCs/>
          <w:sz w:val="32"/>
          <w:szCs w:val="32"/>
        </w:rPr>
        <w:t>律责任。</w:t>
      </w:r>
    </w:p>
    <w:p w14:paraId="1A8E2649">
      <w:pPr>
        <w:pStyle w:val="10"/>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三、我方愿意向贵方提供任何与本项采购有关的数据、情况和技术资料。若贵方需要，我方愿意提供我方作出的一切承诺的证明材料。</w:t>
      </w:r>
    </w:p>
    <w:p w14:paraId="6DF9F351">
      <w:pPr>
        <w:pStyle w:val="10"/>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四、我方愿意按询比采购文件规定的文件及更具企业自身报价，详见报价表。</w:t>
      </w:r>
    </w:p>
    <w:p w14:paraId="2E26A803">
      <w:pPr>
        <w:pStyle w:val="10"/>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五、我方承诺遵守相关法律的规定，保证在获得成交资格后，按照询比采购文件确定的事项签订采购合同，履行双方所签订的合同，并承担合同规定的责任和义务。</w:t>
      </w:r>
    </w:p>
    <w:p w14:paraId="124491FF">
      <w:pPr>
        <w:pStyle w:val="10"/>
        <w:adjustRightInd w:val="0"/>
        <w:snapToGrid w:val="0"/>
        <w:spacing w:line="560" w:lineRule="exact"/>
        <w:ind w:firstLine="640" w:firstLineChars="200"/>
        <w:rPr>
          <w:rFonts w:hint="eastAsia" w:ascii="仿宋_GB2312" w:hAnsi="仿宋" w:eastAsia="仿宋_GB2312"/>
          <w:sz w:val="32"/>
          <w:szCs w:val="32"/>
        </w:rPr>
      </w:pPr>
    </w:p>
    <w:p w14:paraId="5DB1CD06">
      <w:pPr>
        <w:pStyle w:val="10"/>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附：法定代表人身份证明(法定代表人参加询比)</w:t>
      </w:r>
    </w:p>
    <w:p w14:paraId="0D2C89B2">
      <w:pPr>
        <w:pStyle w:val="10"/>
        <w:adjustRightInd w:val="0"/>
        <w:snapToGrid w:val="0"/>
        <w:spacing w:line="560" w:lineRule="exact"/>
        <w:ind w:left="1260" w:leftChars="600"/>
        <w:rPr>
          <w:rFonts w:hint="eastAsia" w:ascii="仿宋_GB2312" w:hAnsi="仿宋" w:eastAsia="仿宋_GB2312"/>
          <w:sz w:val="32"/>
          <w:szCs w:val="32"/>
        </w:rPr>
      </w:pPr>
      <w:r>
        <w:rPr>
          <w:rFonts w:hint="eastAsia" w:ascii="仿宋_GB2312" w:hAnsi="仿宋" w:eastAsia="仿宋_GB2312"/>
          <w:sz w:val="32"/>
          <w:szCs w:val="32"/>
        </w:rPr>
        <w:t>法定代表人授权书(委托代理人参加询比)</w:t>
      </w:r>
    </w:p>
    <w:p w14:paraId="6B7C009A">
      <w:pPr>
        <w:pStyle w:val="10"/>
        <w:adjustRightInd w:val="0"/>
        <w:snapToGrid w:val="0"/>
        <w:spacing w:line="360" w:lineRule="auto"/>
        <w:rPr>
          <w:rFonts w:hint="eastAsia" w:ascii="仿宋" w:hAnsi="仿宋" w:eastAsia="仿宋"/>
          <w:sz w:val="24"/>
          <w:szCs w:val="24"/>
        </w:rPr>
      </w:pPr>
    </w:p>
    <w:p w14:paraId="0E155071">
      <w:pPr>
        <w:pStyle w:val="10"/>
        <w:adjustRightInd w:val="0"/>
        <w:snapToGrid w:val="0"/>
        <w:spacing w:line="560" w:lineRule="exact"/>
        <w:ind w:left="420" w:leftChars="200"/>
        <w:rPr>
          <w:rFonts w:hint="eastAsia" w:ascii="仿宋_GB2312" w:hAnsi="仿宋" w:eastAsia="仿宋_GB2312"/>
          <w:sz w:val="32"/>
          <w:szCs w:val="32"/>
        </w:rPr>
      </w:pPr>
      <w:r>
        <w:rPr>
          <w:rFonts w:hint="eastAsia" w:ascii="仿宋_GB2312" w:hAnsi="仿宋" w:eastAsia="仿宋_GB2312"/>
          <w:sz w:val="32"/>
          <w:szCs w:val="32"/>
        </w:rPr>
        <w:t>供应商名称(盖单位章)：</w:t>
      </w:r>
    </w:p>
    <w:p w14:paraId="39CF0242">
      <w:pPr>
        <w:adjustRightInd w:val="0"/>
        <w:snapToGrid w:val="0"/>
        <w:spacing w:line="560" w:lineRule="exact"/>
        <w:ind w:left="420" w:leftChars="200"/>
        <w:rPr>
          <w:rFonts w:hint="eastAsia" w:ascii="仿宋_GB2312" w:hAnsi="仿宋" w:eastAsia="仿宋_GB2312"/>
          <w:sz w:val="32"/>
          <w:szCs w:val="32"/>
        </w:rPr>
      </w:pPr>
      <w:r>
        <w:rPr>
          <w:rFonts w:hint="eastAsia" w:ascii="仿宋_GB2312" w:hAnsi="仿宋" w:eastAsia="仿宋_GB2312"/>
          <w:sz w:val="32"/>
          <w:szCs w:val="32"/>
        </w:rPr>
        <w:t>法定代表人或其委托代理人 (签字)：</w:t>
      </w:r>
      <w:r>
        <w:rPr>
          <w:rFonts w:hint="eastAsia" w:ascii="仿宋_GB2312" w:hAnsi="仿宋" w:eastAsia="仿宋_GB2312"/>
          <w:sz w:val="32"/>
          <w:szCs w:val="32"/>
          <w:u w:val="single"/>
        </w:rPr>
        <w:t xml:space="preserve">            </w:t>
      </w:r>
    </w:p>
    <w:p w14:paraId="09125FAE">
      <w:pPr>
        <w:adjustRightInd w:val="0"/>
        <w:snapToGrid w:val="0"/>
        <w:spacing w:line="560" w:lineRule="exact"/>
        <w:ind w:left="420" w:leftChars="200"/>
        <w:rPr>
          <w:rFonts w:hint="eastAsia" w:ascii="仿宋_GB2312" w:hAnsi="仿宋" w:eastAsia="仿宋_GB2312"/>
          <w:sz w:val="32"/>
          <w:szCs w:val="32"/>
        </w:rPr>
      </w:pPr>
      <w:r>
        <w:rPr>
          <w:rFonts w:hint="eastAsia" w:ascii="仿宋_GB2312" w:hAnsi="仿宋" w:eastAsia="仿宋_GB2312"/>
          <w:sz w:val="32"/>
          <w:szCs w:val="32"/>
        </w:rPr>
        <w:t>日期：</w:t>
      </w:r>
      <w:r>
        <w:rPr>
          <w:rFonts w:hint="eastAsia" w:ascii="仿宋_GB2312" w:hAnsi="仿宋" w:eastAsia="仿宋_GB2312"/>
          <w:sz w:val="32"/>
          <w:szCs w:val="32"/>
          <w:u w:val="single"/>
        </w:rPr>
        <w:t xml:space="preserve">            </w:t>
      </w:r>
      <w:r>
        <w:rPr>
          <w:rFonts w:hint="eastAsia" w:ascii="仿宋_GB2312" w:hAnsi="仿宋" w:eastAsia="仿宋_GB2312"/>
          <w:sz w:val="32"/>
          <w:szCs w:val="32"/>
        </w:rPr>
        <w:t>年</w:t>
      </w:r>
      <w:r>
        <w:rPr>
          <w:rFonts w:hint="eastAsia" w:ascii="仿宋_GB2312" w:hAnsi="仿宋" w:eastAsia="仿宋_GB2312"/>
          <w:sz w:val="32"/>
          <w:szCs w:val="32"/>
          <w:u w:val="single"/>
        </w:rPr>
        <w:t xml:space="preserve">            </w:t>
      </w:r>
      <w:r>
        <w:rPr>
          <w:rFonts w:hint="eastAsia" w:ascii="仿宋_GB2312" w:hAnsi="仿宋" w:eastAsia="仿宋_GB2312"/>
          <w:sz w:val="32"/>
          <w:szCs w:val="32"/>
        </w:rPr>
        <w:t>月</w:t>
      </w:r>
      <w:r>
        <w:rPr>
          <w:rFonts w:hint="eastAsia" w:ascii="仿宋_GB2312" w:hAnsi="仿宋" w:eastAsia="仿宋_GB2312"/>
          <w:sz w:val="32"/>
          <w:szCs w:val="32"/>
          <w:u w:val="single"/>
        </w:rPr>
        <w:t xml:space="preserve">            </w:t>
      </w:r>
      <w:r>
        <w:rPr>
          <w:rFonts w:hint="eastAsia" w:ascii="仿宋_GB2312" w:hAnsi="仿宋" w:eastAsia="仿宋_GB2312"/>
          <w:sz w:val="32"/>
          <w:szCs w:val="32"/>
        </w:rPr>
        <w:t>日</w:t>
      </w:r>
    </w:p>
    <w:p w14:paraId="76787BCE">
      <w:pPr>
        <w:widowControl/>
        <w:jc w:val="left"/>
        <w:rPr>
          <w:rFonts w:hint="eastAsia" w:ascii="仿宋_GB2312" w:hAnsi="仿宋" w:eastAsia="仿宋_GB2312"/>
          <w:sz w:val="32"/>
          <w:szCs w:val="32"/>
        </w:rPr>
      </w:pPr>
      <w:r>
        <w:rPr>
          <w:rFonts w:hint="eastAsia" w:ascii="仿宋_GB2312" w:hAnsi="仿宋" w:eastAsia="仿宋_GB2312"/>
          <w:sz w:val="32"/>
          <w:szCs w:val="32"/>
        </w:rPr>
        <w:br w:type="page"/>
      </w:r>
    </w:p>
    <w:p w14:paraId="40D99433">
      <w:pPr>
        <w:spacing w:line="560" w:lineRule="exact"/>
        <w:rPr>
          <w:rFonts w:hint="eastAsia" w:ascii="黑体" w:hAnsi="黑体" w:eastAsia="黑体"/>
          <w:bCs/>
          <w:spacing w:val="10"/>
          <w:sz w:val="32"/>
          <w:szCs w:val="32"/>
        </w:rPr>
      </w:pPr>
      <w:r>
        <w:rPr>
          <w:rFonts w:hint="eastAsia" w:ascii="黑体" w:hAnsi="黑体" w:eastAsia="黑体"/>
          <w:bCs/>
          <w:spacing w:val="10"/>
          <w:sz w:val="32"/>
          <w:szCs w:val="32"/>
        </w:rPr>
        <w:t>附件：</w:t>
      </w:r>
    </w:p>
    <w:p w14:paraId="0B167DF4">
      <w:pPr>
        <w:spacing w:before="234" w:beforeLines="75" w:line="560" w:lineRule="exact"/>
        <w:jc w:val="center"/>
        <w:rPr>
          <w:rFonts w:hint="eastAsia" w:ascii="黑体" w:hAnsi="黑体" w:eastAsia="黑体"/>
          <w:bCs/>
          <w:spacing w:val="10"/>
          <w:sz w:val="32"/>
          <w:szCs w:val="32"/>
        </w:rPr>
      </w:pPr>
      <w:r>
        <w:rPr>
          <w:rFonts w:hint="eastAsia" w:ascii="黑体" w:hAnsi="黑体" w:eastAsia="黑体"/>
          <w:bCs/>
          <w:spacing w:val="10"/>
          <w:sz w:val="32"/>
          <w:szCs w:val="32"/>
        </w:rPr>
        <w:t>法定代表人身份证明(法定代表人参加询比)</w:t>
      </w:r>
    </w:p>
    <w:p w14:paraId="704A8298">
      <w:pPr>
        <w:snapToGrid w:val="0"/>
        <w:spacing w:line="480" w:lineRule="auto"/>
        <w:rPr>
          <w:rFonts w:hint="eastAsia" w:ascii="仿宋" w:hAnsi="仿宋" w:eastAsia="仿宋"/>
          <w:sz w:val="24"/>
          <w:szCs w:val="24"/>
        </w:rPr>
      </w:pPr>
    </w:p>
    <w:p w14:paraId="225D67E6">
      <w:pPr>
        <w:autoSpaceDE w:val="0"/>
        <w:autoSpaceDN w:val="0"/>
        <w:adjustRightInd w:val="0"/>
        <w:snapToGrid w:val="0"/>
        <w:spacing w:before="156" w:beforeLines="50" w:line="560" w:lineRule="exact"/>
        <w:jc w:val="left"/>
        <w:rPr>
          <w:rFonts w:hint="eastAsia" w:ascii="仿宋_GB2312" w:hAnsi="仿宋" w:eastAsia="仿宋_GB2312" w:cs="宋体"/>
          <w:kern w:val="0"/>
          <w:sz w:val="32"/>
          <w:szCs w:val="32"/>
        </w:rPr>
      </w:pPr>
      <w:r>
        <w:rPr>
          <w:rFonts w:hint="eastAsia" w:ascii="仿宋_GB2312" w:hAnsi="仿宋" w:eastAsia="仿宋_GB2312"/>
          <w:sz w:val="32"/>
          <w:szCs w:val="32"/>
        </w:rPr>
        <w:t>供应商</w:t>
      </w:r>
      <w:r>
        <w:rPr>
          <w:rFonts w:hint="eastAsia" w:ascii="仿宋_GB2312" w:hAnsi="仿宋" w:eastAsia="仿宋_GB2312" w:cs="宋体"/>
          <w:kern w:val="0"/>
          <w:sz w:val="32"/>
          <w:szCs w:val="32"/>
        </w:rPr>
        <w:t>名称：</w:t>
      </w:r>
      <w:r>
        <w:rPr>
          <w:rFonts w:hint="eastAsia" w:ascii="仿宋_GB2312" w:hAnsi="仿宋" w:eastAsia="仿宋_GB2312" w:cs="宋体"/>
          <w:kern w:val="0"/>
          <w:sz w:val="32"/>
          <w:szCs w:val="32"/>
          <w:u w:val="single"/>
        </w:rPr>
        <w:t xml:space="preserve">                  </w:t>
      </w:r>
      <w:r>
        <w:rPr>
          <w:rFonts w:hint="eastAsia" w:ascii="仿宋_GB2312" w:hAnsi="仿宋" w:eastAsia="仿宋_GB2312" w:cs="宋体"/>
          <w:kern w:val="0"/>
          <w:sz w:val="32"/>
          <w:szCs w:val="32"/>
        </w:rPr>
        <w:t xml:space="preserve"> </w:t>
      </w:r>
    </w:p>
    <w:p w14:paraId="74759AFF">
      <w:pPr>
        <w:autoSpaceDE w:val="0"/>
        <w:autoSpaceDN w:val="0"/>
        <w:adjustRightInd w:val="0"/>
        <w:snapToGrid w:val="0"/>
        <w:spacing w:before="156" w:beforeLines="50" w:line="560" w:lineRule="exact"/>
        <w:jc w:val="left"/>
        <w:rPr>
          <w:rFonts w:hint="eastAsia" w:ascii="仿宋_GB2312" w:hAnsi="仿宋" w:eastAsia="仿宋_GB2312" w:cs="宋体"/>
          <w:kern w:val="0"/>
          <w:sz w:val="32"/>
          <w:szCs w:val="32"/>
        </w:rPr>
      </w:pPr>
      <w:r>
        <w:rPr>
          <w:rFonts w:hint="eastAsia" w:ascii="仿宋_GB2312" w:hAnsi="仿宋" w:eastAsia="仿宋_GB2312" w:cs="宋体"/>
          <w:kern w:val="0"/>
          <w:sz w:val="32"/>
          <w:szCs w:val="32"/>
        </w:rPr>
        <w:t>注册号：</w:t>
      </w:r>
      <w:r>
        <w:rPr>
          <w:rFonts w:hint="eastAsia" w:ascii="仿宋_GB2312" w:hAnsi="仿宋" w:eastAsia="仿宋_GB2312" w:cs="宋体"/>
          <w:kern w:val="0"/>
          <w:sz w:val="32"/>
          <w:szCs w:val="32"/>
          <w:u w:val="single"/>
        </w:rPr>
        <w:t xml:space="preserve">                  </w:t>
      </w:r>
    </w:p>
    <w:p w14:paraId="6EC0356E">
      <w:pPr>
        <w:autoSpaceDE w:val="0"/>
        <w:autoSpaceDN w:val="0"/>
        <w:adjustRightInd w:val="0"/>
        <w:snapToGrid w:val="0"/>
        <w:spacing w:before="156" w:beforeLines="50" w:line="560" w:lineRule="exact"/>
        <w:jc w:val="left"/>
        <w:rPr>
          <w:rFonts w:hint="eastAsia" w:ascii="仿宋_GB2312" w:hAnsi="仿宋" w:eastAsia="仿宋_GB2312" w:cs="宋体"/>
          <w:kern w:val="0"/>
          <w:sz w:val="32"/>
          <w:szCs w:val="32"/>
        </w:rPr>
      </w:pPr>
      <w:r>
        <w:rPr>
          <w:rFonts w:hint="eastAsia" w:ascii="仿宋_GB2312" w:hAnsi="仿宋" w:eastAsia="仿宋_GB2312" w:cs="宋体"/>
          <w:kern w:val="0"/>
          <w:sz w:val="32"/>
          <w:szCs w:val="32"/>
        </w:rPr>
        <w:t>注册地址：</w:t>
      </w:r>
      <w:r>
        <w:rPr>
          <w:rFonts w:hint="eastAsia" w:ascii="仿宋_GB2312" w:hAnsi="仿宋" w:eastAsia="仿宋_GB2312" w:cs="宋体"/>
          <w:kern w:val="0"/>
          <w:sz w:val="32"/>
          <w:szCs w:val="32"/>
          <w:u w:val="single"/>
        </w:rPr>
        <w:t xml:space="preserve">                                    </w:t>
      </w:r>
    </w:p>
    <w:p w14:paraId="35B690B1">
      <w:pPr>
        <w:autoSpaceDE w:val="0"/>
        <w:autoSpaceDN w:val="0"/>
        <w:adjustRightInd w:val="0"/>
        <w:snapToGrid w:val="0"/>
        <w:spacing w:before="156" w:beforeLines="50" w:line="560" w:lineRule="exact"/>
        <w:jc w:val="left"/>
        <w:rPr>
          <w:rFonts w:hint="eastAsia" w:ascii="仿宋_GB2312" w:hAnsi="仿宋" w:eastAsia="仿宋_GB2312" w:cs="宋体"/>
          <w:kern w:val="0"/>
          <w:sz w:val="32"/>
          <w:szCs w:val="32"/>
        </w:rPr>
      </w:pPr>
      <w:r>
        <w:rPr>
          <w:rFonts w:hint="eastAsia" w:ascii="仿宋_GB2312" w:hAnsi="仿宋" w:eastAsia="仿宋_GB2312" w:cs="宋体"/>
          <w:kern w:val="0"/>
          <w:sz w:val="32"/>
          <w:szCs w:val="32"/>
        </w:rPr>
        <w:t xml:space="preserve">成立时间： </w:t>
      </w:r>
      <w:r>
        <w:rPr>
          <w:rFonts w:hint="eastAsia" w:ascii="仿宋_GB2312" w:hAnsi="仿宋" w:eastAsia="仿宋_GB2312" w:cs="宋体"/>
          <w:kern w:val="0"/>
          <w:sz w:val="32"/>
          <w:szCs w:val="32"/>
          <w:u w:val="single"/>
        </w:rPr>
        <w:t xml:space="preserve">       </w:t>
      </w:r>
      <w:r>
        <w:rPr>
          <w:rFonts w:hint="eastAsia" w:ascii="仿宋_GB2312" w:hAnsi="仿宋" w:eastAsia="仿宋_GB2312" w:cs="宋体"/>
          <w:kern w:val="0"/>
          <w:sz w:val="32"/>
          <w:szCs w:val="32"/>
        </w:rPr>
        <w:t xml:space="preserve">年 </w:t>
      </w:r>
      <w:r>
        <w:rPr>
          <w:rFonts w:hint="eastAsia" w:ascii="仿宋_GB2312" w:hAnsi="仿宋" w:eastAsia="仿宋_GB2312" w:cs="宋体"/>
          <w:kern w:val="0"/>
          <w:sz w:val="32"/>
          <w:szCs w:val="32"/>
          <w:u w:val="single"/>
        </w:rPr>
        <w:t xml:space="preserve">     </w:t>
      </w:r>
      <w:r>
        <w:rPr>
          <w:rFonts w:hint="eastAsia" w:ascii="仿宋_GB2312" w:hAnsi="仿宋" w:eastAsia="仿宋_GB2312" w:cs="宋体"/>
          <w:kern w:val="0"/>
          <w:sz w:val="32"/>
          <w:szCs w:val="32"/>
        </w:rPr>
        <w:t>月</w:t>
      </w:r>
      <w:r>
        <w:rPr>
          <w:rFonts w:hint="eastAsia" w:ascii="仿宋_GB2312" w:hAnsi="仿宋" w:eastAsia="仿宋_GB2312" w:cs="宋体"/>
          <w:kern w:val="0"/>
          <w:sz w:val="32"/>
          <w:szCs w:val="32"/>
          <w:u w:val="single"/>
        </w:rPr>
        <w:t xml:space="preserve">    </w:t>
      </w:r>
      <w:r>
        <w:rPr>
          <w:rFonts w:hint="eastAsia" w:ascii="仿宋_GB2312" w:hAnsi="仿宋" w:eastAsia="仿宋_GB2312" w:cs="宋体"/>
          <w:kern w:val="0"/>
          <w:sz w:val="32"/>
          <w:szCs w:val="32"/>
        </w:rPr>
        <w:t xml:space="preserve"> 日</w:t>
      </w:r>
    </w:p>
    <w:p w14:paraId="55F0D022">
      <w:pPr>
        <w:autoSpaceDE w:val="0"/>
        <w:autoSpaceDN w:val="0"/>
        <w:adjustRightInd w:val="0"/>
        <w:snapToGrid w:val="0"/>
        <w:spacing w:before="156" w:beforeLines="50" w:line="560" w:lineRule="exact"/>
        <w:jc w:val="left"/>
        <w:rPr>
          <w:rFonts w:hint="eastAsia" w:ascii="仿宋_GB2312" w:hAnsi="仿宋" w:eastAsia="仿宋_GB2312" w:cs="宋体"/>
          <w:kern w:val="0"/>
          <w:sz w:val="32"/>
          <w:szCs w:val="32"/>
          <w:u w:val="single"/>
        </w:rPr>
      </w:pPr>
      <w:r>
        <w:rPr>
          <w:rFonts w:hint="eastAsia" w:ascii="仿宋_GB2312" w:hAnsi="仿宋" w:eastAsia="仿宋_GB2312" w:cs="宋体"/>
          <w:kern w:val="0"/>
          <w:sz w:val="32"/>
          <w:szCs w:val="32"/>
        </w:rPr>
        <w:t>经营期限：</w:t>
      </w:r>
      <w:r>
        <w:rPr>
          <w:rFonts w:hint="eastAsia" w:ascii="仿宋_GB2312" w:hAnsi="仿宋" w:eastAsia="仿宋_GB2312" w:cs="宋体"/>
          <w:kern w:val="0"/>
          <w:sz w:val="32"/>
          <w:szCs w:val="32"/>
          <w:u w:val="single"/>
        </w:rPr>
        <w:t xml:space="preserve">                  </w:t>
      </w:r>
    </w:p>
    <w:p w14:paraId="4F15BA91">
      <w:pPr>
        <w:autoSpaceDE w:val="0"/>
        <w:autoSpaceDN w:val="0"/>
        <w:adjustRightInd w:val="0"/>
        <w:snapToGrid w:val="0"/>
        <w:spacing w:before="156" w:beforeLines="50" w:line="560" w:lineRule="exact"/>
        <w:jc w:val="left"/>
        <w:rPr>
          <w:rFonts w:hint="eastAsia" w:ascii="仿宋_GB2312" w:hAnsi="仿宋" w:eastAsia="仿宋_GB2312" w:cs="宋体"/>
          <w:kern w:val="0"/>
          <w:sz w:val="32"/>
          <w:szCs w:val="32"/>
          <w:u w:val="single"/>
        </w:rPr>
      </w:pPr>
      <w:r>
        <w:rPr>
          <w:rFonts w:hint="eastAsia" w:ascii="仿宋_GB2312" w:hAnsi="仿宋" w:eastAsia="仿宋_GB2312" w:cs="宋体"/>
          <w:kern w:val="0"/>
          <w:sz w:val="32"/>
          <w:szCs w:val="32"/>
        </w:rPr>
        <w:t>经营范围：主营：</w:t>
      </w:r>
      <w:r>
        <w:rPr>
          <w:rFonts w:hint="eastAsia" w:ascii="仿宋_GB2312" w:hAnsi="仿宋" w:eastAsia="仿宋_GB2312" w:cs="宋体"/>
          <w:kern w:val="0"/>
          <w:sz w:val="32"/>
          <w:szCs w:val="32"/>
          <w:u w:val="single"/>
        </w:rPr>
        <w:t xml:space="preserve">              </w:t>
      </w:r>
      <w:r>
        <w:rPr>
          <w:rFonts w:hint="eastAsia" w:ascii="仿宋_GB2312" w:hAnsi="仿宋" w:eastAsia="仿宋_GB2312" w:cs="宋体"/>
          <w:kern w:val="0"/>
          <w:sz w:val="32"/>
          <w:szCs w:val="32"/>
        </w:rPr>
        <w:t xml:space="preserve"> ；兼营：</w:t>
      </w:r>
      <w:r>
        <w:rPr>
          <w:rFonts w:hint="eastAsia" w:ascii="仿宋_GB2312" w:hAnsi="仿宋" w:eastAsia="仿宋_GB2312" w:cs="宋体"/>
          <w:kern w:val="0"/>
          <w:sz w:val="32"/>
          <w:szCs w:val="32"/>
          <w:u w:val="single"/>
        </w:rPr>
        <w:t xml:space="preserve">              </w:t>
      </w:r>
    </w:p>
    <w:p w14:paraId="6B99D640">
      <w:pPr>
        <w:autoSpaceDE w:val="0"/>
        <w:autoSpaceDN w:val="0"/>
        <w:adjustRightInd w:val="0"/>
        <w:snapToGrid w:val="0"/>
        <w:spacing w:before="156" w:beforeLines="50" w:line="560" w:lineRule="exact"/>
        <w:jc w:val="left"/>
        <w:rPr>
          <w:rFonts w:hint="eastAsia" w:ascii="仿宋_GB2312" w:hAnsi="仿宋" w:eastAsia="仿宋_GB2312" w:cs="宋体"/>
          <w:kern w:val="0"/>
          <w:sz w:val="32"/>
          <w:szCs w:val="32"/>
        </w:rPr>
      </w:pPr>
      <w:r>
        <w:rPr>
          <w:rFonts w:hint="eastAsia" w:ascii="仿宋_GB2312" w:hAnsi="仿宋" w:eastAsia="仿宋_GB2312" w:cs="宋体"/>
          <w:kern w:val="0"/>
          <w:sz w:val="32"/>
          <w:szCs w:val="32"/>
        </w:rPr>
        <w:t>姓名：</w:t>
      </w:r>
      <w:r>
        <w:rPr>
          <w:rFonts w:hint="eastAsia" w:ascii="仿宋_GB2312" w:hAnsi="仿宋" w:eastAsia="仿宋_GB2312" w:cs="宋体"/>
          <w:kern w:val="0"/>
          <w:sz w:val="32"/>
          <w:szCs w:val="32"/>
          <w:u w:val="single"/>
        </w:rPr>
        <w:t xml:space="preserve">         </w:t>
      </w:r>
      <w:r>
        <w:rPr>
          <w:rFonts w:hint="eastAsia" w:ascii="仿宋_GB2312" w:hAnsi="仿宋" w:eastAsia="仿宋_GB2312" w:cs="宋体"/>
          <w:kern w:val="0"/>
          <w:sz w:val="32"/>
          <w:szCs w:val="32"/>
        </w:rPr>
        <w:t xml:space="preserve"> 性别：</w:t>
      </w:r>
      <w:r>
        <w:rPr>
          <w:rFonts w:hint="eastAsia" w:ascii="仿宋_GB2312" w:hAnsi="仿宋" w:eastAsia="仿宋_GB2312" w:cs="宋体"/>
          <w:kern w:val="0"/>
          <w:sz w:val="32"/>
          <w:szCs w:val="32"/>
          <w:u w:val="single"/>
        </w:rPr>
        <w:t xml:space="preserve">      </w:t>
      </w:r>
      <w:r>
        <w:rPr>
          <w:rFonts w:hint="eastAsia" w:ascii="仿宋_GB2312" w:hAnsi="仿宋" w:eastAsia="仿宋_GB2312" w:cs="宋体"/>
          <w:kern w:val="0"/>
          <w:sz w:val="32"/>
          <w:szCs w:val="32"/>
        </w:rPr>
        <w:t xml:space="preserve"> 年龄：</w:t>
      </w:r>
      <w:r>
        <w:rPr>
          <w:rFonts w:hint="eastAsia" w:ascii="仿宋_GB2312" w:hAnsi="仿宋" w:eastAsia="仿宋_GB2312" w:cs="宋体"/>
          <w:kern w:val="0"/>
          <w:sz w:val="32"/>
          <w:szCs w:val="32"/>
          <w:u w:val="single"/>
        </w:rPr>
        <w:t xml:space="preserve">         </w:t>
      </w:r>
      <w:r>
        <w:rPr>
          <w:rFonts w:hint="eastAsia" w:ascii="仿宋_GB2312" w:hAnsi="仿宋" w:eastAsia="仿宋_GB2312" w:cs="宋体"/>
          <w:kern w:val="0"/>
          <w:sz w:val="32"/>
          <w:szCs w:val="32"/>
        </w:rPr>
        <w:t xml:space="preserve"> 系</w:t>
      </w:r>
      <w:r>
        <w:rPr>
          <w:rFonts w:hint="eastAsia" w:ascii="仿宋_GB2312" w:hAnsi="仿宋" w:eastAsia="仿宋_GB2312" w:cs="宋体"/>
          <w:kern w:val="0"/>
          <w:sz w:val="32"/>
          <w:szCs w:val="32"/>
          <w:u w:val="single"/>
        </w:rPr>
        <w:t xml:space="preserve">      </w:t>
      </w:r>
      <w:r>
        <w:rPr>
          <w:rFonts w:hint="eastAsia" w:ascii="仿宋_GB2312" w:hAnsi="仿宋" w:eastAsia="仿宋_GB2312" w:cs="宋体"/>
          <w:kern w:val="0"/>
          <w:sz w:val="32"/>
          <w:szCs w:val="32"/>
        </w:rPr>
        <w:t>（</w:t>
      </w:r>
      <w:r>
        <w:rPr>
          <w:rFonts w:hint="eastAsia" w:ascii="仿宋_GB2312" w:hAnsi="仿宋" w:eastAsia="仿宋_GB2312"/>
          <w:sz w:val="32"/>
          <w:szCs w:val="32"/>
        </w:rPr>
        <w:t>供应商</w:t>
      </w:r>
      <w:r>
        <w:rPr>
          <w:rFonts w:hint="eastAsia" w:ascii="仿宋_GB2312" w:hAnsi="仿宋" w:eastAsia="仿宋_GB2312" w:cs="宋体"/>
          <w:kern w:val="0"/>
          <w:sz w:val="32"/>
          <w:szCs w:val="32"/>
        </w:rPr>
        <w:t>名称）的法定代表人。</w:t>
      </w:r>
    </w:p>
    <w:p w14:paraId="24F1FD76">
      <w:pPr>
        <w:autoSpaceDE w:val="0"/>
        <w:autoSpaceDN w:val="0"/>
        <w:adjustRightInd w:val="0"/>
        <w:snapToGrid w:val="0"/>
        <w:spacing w:before="156" w:beforeLines="50" w:line="560" w:lineRule="exact"/>
        <w:jc w:val="left"/>
        <w:rPr>
          <w:rFonts w:hint="eastAsia" w:ascii="仿宋_GB2312" w:hAnsi="仿宋" w:eastAsia="仿宋_GB2312" w:cs="宋体"/>
          <w:kern w:val="0"/>
          <w:sz w:val="32"/>
          <w:szCs w:val="32"/>
        </w:rPr>
      </w:pPr>
      <w:r>
        <w:rPr>
          <w:rFonts w:hint="eastAsia" w:ascii="仿宋_GB2312" w:hAnsi="仿宋" w:eastAsia="仿宋_GB2312" w:cs="宋体"/>
          <w:kern w:val="0"/>
          <w:sz w:val="32"/>
          <w:szCs w:val="32"/>
        </w:rPr>
        <w:t>特此证明。</w:t>
      </w:r>
    </w:p>
    <w:p w14:paraId="201E5130">
      <w:pPr>
        <w:autoSpaceDE w:val="0"/>
        <w:autoSpaceDN w:val="0"/>
        <w:adjustRightInd w:val="0"/>
        <w:snapToGrid w:val="0"/>
        <w:spacing w:before="156" w:beforeLines="50" w:line="560" w:lineRule="exact"/>
        <w:jc w:val="left"/>
        <w:rPr>
          <w:rFonts w:hint="eastAsia" w:ascii="仿宋_GB2312" w:hAnsi="仿宋" w:eastAsia="仿宋_GB2312" w:cs="宋体"/>
          <w:kern w:val="0"/>
          <w:sz w:val="32"/>
          <w:szCs w:val="32"/>
        </w:rPr>
      </w:pPr>
      <w:r>
        <w:rPr>
          <w:rFonts w:hint="eastAsia" w:ascii="仿宋_GB2312" w:hAnsi="仿宋" w:eastAsia="仿宋_GB2312"/>
          <w:sz w:val="32"/>
          <w:szCs w:val="32"/>
        </w:rPr>
        <w:t>附：法定代表人身份证复印件</w:t>
      </w:r>
    </w:p>
    <w:p w14:paraId="4EAB8206">
      <w:pPr>
        <w:snapToGrid w:val="0"/>
        <w:spacing w:line="560" w:lineRule="exact"/>
        <w:rPr>
          <w:rFonts w:hint="eastAsia" w:ascii="仿宋_GB2312" w:hAnsi="仿宋" w:eastAsia="仿宋_GB2312"/>
          <w:sz w:val="32"/>
          <w:szCs w:val="32"/>
        </w:rPr>
      </w:pPr>
    </w:p>
    <w:p w14:paraId="67C67ED1">
      <w:pPr>
        <w:snapToGrid w:val="0"/>
        <w:spacing w:line="560" w:lineRule="exact"/>
        <w:rPr>
          <w:rFonts w:hint="eastAsia" w:ascii="仿宋_GB2312" w:hAnsi="仿宋" w:eastAsia="仿宋_GB2312"/>
          <w:sz w:val="32"/>
          <w:szCs w:val="32"/>
        </w:rPr>
      </w:pPr>
    </w:p>
    <w:p w14:paraId="172E056E">
      <w:pPr>
        <w:snapToGrid w:val="0"/>
        <w:spacing w:line="560" w:lineRule="exact"/>
        <w:rPr>
          <w:rFonts w:hint="eastAsia" w:ascii="仿宋_GB2312" w:hAnsi="仿宋" w:eastAsia="仿宋_GB2312"/>
          <w:sz w:val="32"/>
          <w:szCs w:val="32"/>
        </w:rPr>
      </w:pPr>
    </w:p>
    <w:p w14:paraId="336B8B31">
      <w:pPr>
        <w:snapToGrid w:val="0"/>
        <w:spacing w:line="560" w:lineRule="exact"/>
        <w:rPr>
          <w:rFonts w:hint="eastAsia" w:ascii="仿宋_GB2312" w:hAnsi="仿宋" w:eastAsia="仿宋_GB2312"/>
          <w:sz w:val="32"/>
          <w:szCs w:val="32"/>
        </w:rPr>
      </w:pPr>
    </w:p>
    <w:p w14:paraId="7FB434E6">
      <w:pPr>
        <w:adjustRightInd w:val="0"/>
        <w:snapToGrid w:val="0"/>
        <w:spacing w:line="560" w:lineRule="exact"/>
        <w:rPr>
          <w:rFonts w:hint="eastAsia" w:ascii="仿宋_GB2312" w:hAnsi="仿宋" w:eastAsia="仿宋_GB2312"/>
          <w:sz w:val="32"/>
          <w:szCs w:val="32"/>
        </w:rPr>
      </w:pPr>
    </w:p>
    <w:p w14:paraId="244CD4E8">
      <w:pPr>
        <w:adjustRightInd w:val="0"/>
        <w:snapToGrid w:val="0"/>
        <w:spacing w:line="560" w:lineRule="exact"/>
        <w:ind w:right="420"/>
        <w:rPr>
          <w:rFonts w:hint="eastAsia" w:ascii="仿宋_GB2312" w:hAnsi="仿宋" w:eastAsia="仿宋_GB2312"/>
          <w:sz w:val="32"/>
          <w:szCs w:val="32"/>
        </w:rPr>
      </w:pPr>
      <w:r>
        <w:rPr>
          <w:rFonts w:hint="eastAsia" w:ascii="仿宋_GB2312" w:hAnsi="仿宋" w:eastAsia="仿宋_GB2312"/>
          <w:sz w:val="32"/>
          <w:szCs w:val="32"/>
        </w:rPr>
        <w:t>供应商名称（盖单位章）：</w:t>
      </w:r>
    </w:p>
    <w:p w14:paraId="6D5A421B">
      <w:pPr>
        <w:adjustRightInd w:val="0"/>
        <w:snapToGrid w:val="0"/>
        <w:spacing w:line="560" w:lineRule="exact"/>
        <w:ind w:right="420"/>
        <w:rPr>
          <w:rFonts w:hint="eastAsia" w:ascii="仿宋_GB2312" w:hAnsi="宋体" w:eastAsia="仿宋_GB2312"/>
          <w:sz w:val="32"/>
          <w:szCs w:val="32"/>
        </w:rPr>
      </w:pPr>
      <w:r>
        <w:rPr>
          <w:rFonts w:hint="eastAsia" w:ascii="仿宋_GB2312" w:hAnsi="仿宋" w:eastAsia="仿宋_GB2312"/>
          <w:sz w:val="32"/>
          <w:szCs w:val="32"/>
        </w:rPr>
        <w:t>日期：</w:t>
      </w:r>
      <w:r>
        <w:rPr>
          <w:rFonts w:hint="eastAsia" w:ascii="仿宋_GB2312" w:hAnsi="仿宋" w:eastAsia="仿宋_GB2312"/>
          <w:sz w:val="32"/>
          <w:szCs w:val="32"/>
          <w:u w:val="single"/>
        </w:rPr>
        <w:t xml:space="preserve">        </w:t>
      </w:r>
      <w:r>
        <w:rPr>
          <w:rFonts w:hint="eastAsia" w:ascii="仿宋_GB2312" w:hAnsi="仿宋" w:eastAsia="仿宋_GB2312"/>
          <w:sz w:val="32"/>
          <w:szCs w:val="32"/>
        </w:rPr>
        <w:t>年</w:t>
      </w:r>
      <w:r>
        <w:rPr>
          <w:rFonts w:hint="eastAsia" w:ascii="仿宋_GB2312" w:hAnsi="仿宋" w:eastAsia="仿宋_GB2312"/>
          <w:sz w:val="32"/>
          <w:szCs w:val="32"/>
          <w:u w:val="single"/>
        </w:rPr>
        <w:t xml:space="preserve">        </w:t>
      </w:r>
      <w:r>
        <w:rPr>
          <w:rFonts w:hint="eastAsia" w:ascii="仿宋_GB2312" w:hAnsi="仿宋" w:eastAsia="仿宋_GB2312"/>
          <w:sz w:val="32"/>
          <w:szCs w:val="32"/>
        </w:rPr>
        <w:t>月</w:t>
      </w:r>
      <w:r>
        <w:rPr>
          <w:rFonts w:hint="eastAsia" w:ascii="仿宋_GB2312" w:hAnsi="仿宋" w:eastAsia="仿宋_GB2312"/>
          <w:sz w:val="32"/>
          <w:szCs w:val="32"/>
          <w:u w:val="single"/>
        </w:rPr>
        <w:t xml:space="preserve">        </w:t>
      </w:r>
      <w:r>
        <w:rPr>
          <w:rFonts w:hint="eastAsia" w:ascii="仿宋_GB2312" w:hAnsi="仿宋" w:eastAsia="仿宋_GB2312"/>
          <w:sz w:val="32"/>
          <w:szCs w:val="32"/>
        </w:rPr>
        <w:t xml:space="preserve">日 </w:t>
      </w:r>
      <w:r>
        <w:rPr>
          <w:rFonts w:hint="eastAsia" w:ascii="仿宋_GB2312" w:hAnsi="宋体" w:eastAsia="仿宋_GB2312"/>
          <w:sz w:val="32"/>
          <w:szCs w:val="32"/>
        </w:rPr>
        <w:t xml:space="preserve">     </w:t>
      </w:r>
    </w:p>
    <w:p w14:paraId="325667BA">
      <w:pPr>
        <w:adjustRightInd w:val="0"/>
        <w:snapToGrid w:val="0"/>
        <w:spacing w:before="156" w:beforeLines="50" w:line="560" w:lineRule="exact"/>
        <w:rPr>
          <w:rFonts w:hint="eastAsia" w:ascii="仿宋_GB2312" w:hAnsi="宋体" w:eastAsia="仿宋_GB2312"/>
          <w:sz w:val="32"/>
          <w:szCs w:val="32"/>
        </w:rPr>
      </w:pPr>
    </w:p>
    <w:p w14:paraId="6BDE129F">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0FB29F67">
      <w:pPr>
        <w:spacing w:line="560" w:lineRule="exact"/>
        <w:rPr>
          <w:rFonts w:hint="eastAsia" w:ascii="黑体" w:hAnsi="黑体" w:eastAsia="黑体"/>
          <w:bCs/>
          <w:spacing w:val="10"/>
          <w:sz w:val="32"/>
          <w:szCs w:val="32"/>
        </w:rPr>
      </w:pPr>
      <w:r>
        <w:rPr>
          <w:rFonts w:hint="eastAsia" w:ascii="黑体" w:hAnsi="黑体" w:eastAsia="黑体"/>
          <w:bCs/>
          <w:spacing w:val="10"/>
          <w:sz w:val="32"/>
          <w:szCs w:val="32"/>
        </w:rPr>
        <w:t>附件：</w:t>
      </w:r>
    </w:p>
    <w:p w14:paraId="656A6B8E">
      <w:pPr>
        <w:spacing w:before="234" w:beforeLines="75" w:line="560" w:lineRule="exact"/>
        <w:jc w:val="center"/>
        <w:rPr>
          <w:rFonts w:hint="eastAsia" w:ascii="黑体" w:hAnsi="黑体" w:eastAsia="黑体"/>
          <w:bCs/>
          <w:spacing w:val="10"/>
          <w:sz w:val="32"/>
          <w:szCs w:val="32"/>
        </w:rPr>
      </w:pPr>
      <w:r>
        <w:rPr>
          <w:rFonts w:hint="eastAsia" w:ascii="黑体" w:hAnsi="黑体" w:eastAsia="黑体"/>
          <w:bCs/>
          <w:spacing w:val="10"/>
          <w:sz w:val="32"/>
          <w:szCs w:val="32"/>
        </w:rPr>
        <w:t>法定代表人授权书(委托代理人参加询比)</w:t>
      </w:r>
    </w:p>
    <w:p w14:paraId="1F74DEA9">
      <w:pPr>
        <w:adjustRightInd w:val="0"/>
        <w:snapToGrid w:val="0"/>
        <w:spacing w:line="360" w:lineRule="auto"/>
        <w:jc w:val="center"/>
        <w:rPr>
          <w:rFonts w:hint="eastAsia" w:ascii="仿宋" w:hAnsi="仿宋" w:eastAsia="仿宋"/>
          <w:b/>
          <w:sz w:val="24"/>
          <w:szCs w:val="24"/>
        </w:rPr>
      </w:pPr>
    </w:p>
    <w:p w14:paraId="4DD7021A">
      <w:pPr>
        <w:autoSpaceDE w:val="0"/>
        <w:autoSpaceDN w:val="0"/>
        <w:adjustRightInd w:val="0"/>
        <w:snapToGrid w:val="0"/>
        <w:spacing w:before="156" w:beforeLines="50" w:line="560" w:lineRule="exact"/>
        <w:ind w:firstLine="640" w:firstLineChars="200"/>
        <w:jc w:val="left"/>
        <w:rPr>
          <w:rFonts w:hint="eastAsia" w:ascii="仿宋_GB2312" w:hAnsi="仿宋" w:eastAsia="仿宋_GB2312" w:cs="宋体"/>
          <w:kern w:val="0"/>
          <w:sz w:val="32"/>
          <w:szCs w:val="32"/>
        </w:rPr>
      </w:pPr>
      <w:r>
        <w:rPr>
          <w:rFonts w:hint="eastAsia" w:ascii="仿宋_GB2312" w:hAnsi="仿宋" w:eastAsia="仿宋_GB2312" w:cs="宋体"/>
          <w:kern w:val="0"/>
          <w:sz w:val="32"/>
          <w:szCs w:val="32"/>
        </w:rPr>
        <w:t>本人</w:t>
      </w:r>
      <w:r>
        <w:rPr>
          <w:rFonts w:hint="eastAsia" w:ascii="仿宋_GB2312" w:hAnsi="仿宋" w:eastAsia="仿宋_GB2312" w:cs="宋体"/>
          <w:kern w:val="0"/>
          <w:sz w:val="32"/>
          <w:szCs w:val="32"/>
          <w:u w:val="single"/>
        </w:rPr>
        <w:t xml:space="preserve">          </w:t>
      </w:r>
      <w:r>
        <w:rPr>
          <w:rFonts w:hint="eastAsia" w:ascii="仿宋_GB2312" w:hAnsi="仿宋" w:eastAsia="仿宋_GB2312" w:cs="宋体"/>
          <w:kern w:val="0"/>
          <w:sz w:val="32"/>
          <w:szCs w:val="32"/>
        </w:rPr>
        <w:t>（姓名、职务）系</w:t>
      </w:r>
      <w:r>
        <w:rPr>
          <w:rFonts w:hint="eastAsia" w:ascii="仿宋_GB2312" w:hAnsi="仿宋" w:eastAsia="仿宋_GB2312" w:cs="宋体"/>
          <w:kern w:val="0"/>
          <w:sz w:val="32"/>
          <w:szCs w:val="32"/>
          <w:u w:val="single"/>
        </w:rPr>
        <w:t xml:space="preserve">                  </w:t>
      </w:r>
      <w:r>
        <w:rPr>
          <w:rFonts w:hint="eastAsia" w:ascii="仿宋_GB2312" w:hAnsi="仿宋" w:eastAsia="仿宋_GB2312" w:cs="宋体"/>
          <w:kern w:val="0"/>
          <w:sz w:val="32"/>
          <w:szCs w:val="32"/>
        </w:rPr>
        <w:t>（</w:t>
      </w:r>
      <w:r>
        <w:rPr>
          <w:rFonts w:hint="eastAsia" w:ascii="仿宋_GB2312" w:hAnsi="仿宋" w:eastAsia="仿宋_GB2312"/>
          <w:sz w:val="32"/>
          <w:szCs w:val="32"/>
        </w:rPr>
        <w:t>供应商</w:t>
      </w:r>
      <w:r>
        <w:rPr>
          <w:rFonts w:hint="eastAsia" w:ascii="仿宋_GB2312" w:hAnsi="仿宋" w:eastAsia="仿宋_GB2312" w:cs="宋体"/>
          <w:kern w:val="0"/>
          <w:sz w:val="32"/>
          <w:szCs w:val="32"/>
        </w:rPr>
        <w:t>名称）的法定代表人，现授权</w:t>
      </w:r>
      <w:r>
        <w:rPr>
          <w:rFonts w:hint="eastAsia" w:ascii="仿宋_GB2312" w:hAnsi="仿宋" w:eastAsia="仿宋_GB2312" w:cs="宋体"/>
          <w:kern w:val="0"/>
          <w:sz w:val="32"/>
          <w:szCs w:val="32"/>
          <w:u w:val="single"/>
        </w:rPr>
        <w:t xml:space="preserve">          </w:t>
      </w:r>
      <w:r>
        <w:rPr>
          <w:rFonts w:hint="eastAsia" w:ascii="仿宋_GB2312" w:hAnsi="仿宋" w:eastAsia="仿宋_GB2312" w:cs="宋体"/>
          <w:kern w:val="0"/>
          <w:sz w:val="32"/>
          <w:szCs w:val="32"/>
        </w:rPr>
        <w:t>（姓名、职务）为我方代理人。代理人根据授权，以我方名义：(1)签署、澄清、补正、修改、撤回、提交</w:t>
      </w:r>
      <w:r>
        <w:rPr>
          <w:rFonts w:hint="eastAsia" w:ascii="仿宋_GB2312" w:hAnsi="仿宋" w:eastAsia="仿宋_GB2312" w:cs="宋体"/>
          <w:kern w:val="0"/>
          <w:sz w:val="32"/>
          <w:szCs w:val="32"/>
          <w:u w:val="single"/>
        </w:rPr>
        <w:t xml:space="preserve">           </w:t>
      </w:r>
      <w:r>
        <w:rPr>
          <w:rFonts w:hint="eastAsia" w:ascii="仿宋_GB2312" w:hAnsi="仿宋" w:eastAsia="仿宋_GB2312" w:cs="宋体"/>
          <w:kern w:val="0"/>
          <w:sz w:val="32"/>
          <w:szCs w:val="32"/>
        </w:rPr>
        <w:t>（项目名称、</w:t>
      </w:r>
      <w:r>
        <w:rPr>
          <w:rFonts w:hint="eastAsia" w:ascii="仿宋_GB2312" w:hAnsi="仿宋" w:eastAsia="仿宋_GB2312"/>
          <w:sz w:val="32"/>
          <w:szCs w:val="32"/>
        </w:rPr>
        <w:t>项目</w:t>
      </w:r>
      <w:r>
        <w:rPr>
          <w:rFonts w:hint="eastAsia" w:ascii="仿宋_GB2312" w:hAnsi="仿宋" w:eastAsia="仿宋_GB2312" w:cs="宋体"/>
          <w:kern w:val="0"/>
          <w:sz w:val="32"/>
          <w:szCs w:val="32"/>
        </w:rPr>
        <w:t>编号）响应文件；(2)签署并提交响应文件报价；(3)退出询比；(4)签订合同和处理有关事宜，其法律后果由我方承担。</w:t>
      </w:r>
    </w:p>
    <w:p w14:paraId="2D3D3D22">
      <w:pPr>
        <w:autoSpaceDE w:val="0"/>
        <w:autoSpaceDN w:val="0"/>
        <w:adjustRightInd w:val="0"/>
        <w:snapToGrid w:val="0"/>
        <w:spacing w:before="156" w:beforeLines="50" w:line="560" w:lineRule="exact"/>
        <w:ind w:firstLine="640" w:firstLineChars="200"/>
        <w:jc w:val="left"/>
        <w:rPr>
          <w:rFonts w:hint="eastAsia" w:ascii="仿宋_GB2312" w:hAnsi="仿宋" w:eastAsia="仿宋_GB2312" w:cs="宋体"/>
          <w:kern w:val="0"/>
          <w:sz w:val="32"/>
          <w:szCs w:val="32"/>
        </w:rPr>
      </w:pPr>
      <w:r>
        <w:rPr>
          <w:rFonts w:hint="eastAsia" w:ascii="仿宋_GB2312" w:hAnsi="仿宋" w:eastAsia="仿宋_GB2312" w:cs="宋体"/>
          <w:kern w:val="0"/>
          <w:sz w:val="32"/>
          <w:szCs w:val="32"/>
        </w:rPr>
        <w:t>委托期限：</w:t>
      </w:r>
      <w:r>
        <w:rPr>
          <w:rFonts w:hint="eastAsia" w:ascii="仿宋_GB2312" w:hAnsi="仿宋" w:eastAsia="仿宋_GB2312" w:cs="宋体"/>
          <w:kern w:val="0"/>
          <w:sz w:val="32"/>
          <w:szCs w:val="32"/>
          <w:u w:val="single"/>
        </w:rPr>
        <w:t xml:space="preserve">                                  </w:t>
      </w:r>
      <w:r>
        <w:rPr>
          <w:rFonts w:hint="eastAsia" w:ascii="仿宋_GB2312" w:hAnsi="仿宋" w:eastAsia="仿宋_GB2312" w:cs="宋体"/>
          <w:kern w:val="0"/>
          <w:sz w:val="32"/>
          <w:szCs w:val="32"/>
        </w:rPr>
        <w:t xml:space="preserve"> 。</w:t>
      </w:r>
    </w:p>
    <w:p w14:paraId="5F2DA45B">
      <w:pPr>
        <w:spacing w:line="560" w:lineRule="exact"/>
        <w:ind w:firstLine="435"/>
        <w:rPr>
          <w:rFonts w:hint="eastAsia" w:ascii="仿宋_GB2312" w:hAnsi="仿宋" w:eastAsia="仿宋_GB2312" w:cs="宋体"/>
          <w:kern w:val="0"/>
          <w:sz w:val="32"/>
          <w:szCs w:val="32"/>
        </w:rPr>
      </w:pPr>
      <w:r>
        <w:rPr>
          <w:rFonts w:hint="eastAsia" w:ascii="仿宋_GB2312" w:hAnsi="仿宋" w:eastAsia="仿宋_GB2312" w:cs="宋体"/>
          <w:kern w:val="0"/>
          <w:sz w:val="32"/>
          <w:szCs w:val="32"/>
        </w:rPr>
        <w:t>代理人无转委托权。</w:t>
      </w:r>
    </w:p>
    <w:p w14:paraId="2B2CBEC3">
      <w:pPr>
        <w:spacing w:line="560" w:lineRule="exact"/>
        <w:ind w:firstLine="435"/>
        <w:rPr>
          <w:rFonts w:hint="eastAsia" w:ascii="仿宋_GB2312" w:hAnsi="仿宋" w:eastAsia="仿宋_GB2312"/>
          <w:sz w:val="32"/>
          <w:szCs w:val="32"/>
        </w:rPr>
      </w:pPr>
      <w:r>
        <w:rPr>
          <w:rFonts w:hint="eastAsia" w:ascii="仿宋_GB2312" w:hAnsi="仿宋" w:eastAsia="仿宋_GB2312"/>
          <w:sz w:val="32"/>
          <w:szCs w:val="32"/>
        </w:rPr>
        <w:t>本授权书于</w:t>
      </w:r>
      <w:r>
        <w:rPr>
          <w:rFonts w:hint="eastAsia" w:ascii="仿宋_GB2312" w:hAnsi="仿宋" w:eastAsia="仿宋_GB2312"/>
          <w:sz w:val="32"/>
          <w:szCs w:val="32"/>
          <w:u w:val="single"/>
        </w:rPr>
        <w:t xml:space="preserve">      </w:t>
      </w:r>
      <w:r>
        <w:rPr>
          <w:rFonts w:hint="eastAsia" w:ascii="仿宋_GB2312" w:hAnsi="仿宋" w:eastAsia="仿宋_GB2312"/>
          <w:sz w:val="32"/>
          <w:szCs w:val="32"/>
        </w:rPr>
        <w:t>年</w:t>
      </w:r>
      <w:r>
        <w:rPr>
          <w:rFonts w:hint="eastAsia" w:ascii="仿宋_GB2312" w:hAnsi="仿宋" w:eastAsia="仿宋_GB2312"/>
          <w:sz w:val="32"/>
          <w:szCs w:val="32"/>
          <w:u w:val="single"/>
        </w:rPr>
        <w:t xml:space="preserve">    </w:t>
      </w:r>
      <w:r>
        <w:rPr>
          <w:rFonts w:hint="eastAsia" w:ascii="仿宋_GB2312" w:hAnsi="仿宋" w:eastAsia="仿宋_GB2312"/>
          <w:sz w:val="32"/>
          <w:szCs w:val="32"/>
        </w:rPr>
        <w:t>月</w:t>
      </w:r>
      <w:r>
        <w:rPr>
          <w:rFonts w:hint="eastAsia" w:ascii="仿宋_GB2312" w:hAnsi="仿宋" w:eastAsia="仿宋_GB2312"/>
          <w:sz w:val="32"/>
          <w:szCs w:val="32"/>
          <w:u w:val="single"/>
        </w:rPr>
        <w:t xml:space="preserve">    </w:t>
      </w:r>
      <w:r>
        <w:rPr>
          <w:rFonts w:hint="eastAsia" w:ascii="仿宋_GB2312" w:hAnsi="仿宋" w:eastAsia="仿宋_GB2312"/>
          <w:sz w:val="32"/>
          <w:szCs w:val="32"/>
        </w:rPr>
        <w:t>日签字生效，特此声明。</w:t>
      </w:r>
    </w:p>
    <w:p w14:paraId="5ADED0C6">
      <w:pPr>
        <w:adjustRightInd w:val="0"/>
        <w:snapToGrid w:val="0"/>
        <w:spacing w:before="156" w:beforeLines="50"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附：委托代理人身份证复印件及法定代表人身份证复印件</w:t>
      </w:r>
    </w:p>
    <w:p w14:paraId="63DEA85B">
      <w:pPr>
        <w:adjustRightInd w:val="0"/>
        <w:snapToGrid w:val="0"/>
        <w:spacing w:line="560" w:lineRule="exact"/>
        <w:ind w:right="420"/>
        <w:rPr>
          <w:rFonts w:ascii="仿宋_GB2312" w:eastAsia="仿宋_GB2312"/>
          <w:sz w:val="32"/>
          <w:szCs w:val="32"/>
        </w:rPr>
      </w:pPr>
    </w:p>
    <w:p w14:paraId="1F7D4EA2">
      <w:pPr>
        <w:adjustRightInd w:val="0"/>
        <w:snapToGrid w:val="0"/>
        <w:spacing w:line="560" w:lineRule="exact"/>
        <w:ind w:right="420"/>
        <w:rPr>
          <w:rFonts w:ascii="仿宋_GB2312" w:eastAsia="仿宋_GB2312"/>
          <w:sz w:val="32"/>
          <w:szCs w:val="32"/>
        </w:rPr>
      </w:pPr>
    </w:p>
    <w:p w14:paraId="5412F61A">
      <w:pPr>
        <w:adjustRightInd w:val="0"/>
        <w:snapToGrid w:val="0"/>
        <w:spacing w:line="560" w:lineRule="exact"/>
        <w:ind w:right="420"/>
        <w:rPr>
          <w:rFonts w:ascii="仿宋_GB2312" w:eastAsia="仿宋_GB2312"/>
          <w:sz w:val="32"/>
          <w:szCs w:val="32"/>
        </w:rPr>
      </w:pPr>
    </w:p>
    <w:p w14:paraId="38E93315">
      <w:pPr>
        <w:adjustRightInd w:val="0"/>
        <w:snapToGrid w:val="0"/>
        <w:spacing w:line="560" w:lineRule="exact"/>
        <w:ind w:right="420"/>
        <w:rPr>
          <w:rFonts w:ascii="仿宋_GB2312" w:eastAsia="仿宋_GB2312"/>
          <w:sz w:val="32"/>
          <w:szCs w:val="32"/>
        </w:rPr>
      </w:pPr>
    </w:p>
    <w:p w14:paraId="47B4054C">
      <w:pPr>
        <w:adjustRightInd w:val="0"/>
        <w:snapToGrid w:val="0"/>
        <w:spacing w:line="560" w:lineRule="exact"/>
        <w:ind w:right="420"/>
        <w:rPr>
          <w:rFonts w:hint="eastAsia" w:ascii="仿宋_GB2312" w:hAnsi="仿宋" w:eastAsia="仿宋_GB2312"/>
          <w:sz w:val="32"/>
          <w:szCs w:val="32"/>
        </w:rPr>
      </w:pPr>
      <w:r>
        <w:rPr>
          <w:rFonts w:hint="eastAsia" w:ascii="仿宋_GB2312" w:hAnsi="仿宋" w:eastAsia="仿宋_GB2312"/>
          <w:sz w:val="32"/>
          <w:szCs w:val="32"/>
        </w:rPr>
        <w:t>法定代表人（签字）：</w:t>
      </w:r>
      <w:r>
        <w:rPr>
          <w:rFonts w:hint="eastAsia" w:ascii="仿宋_GB2312" w:hAnsi="仿宋" w:eastAsia="仿宋_GB2312"/>
          <w:sz w:val="32"/>
          <w:szCs w:val="32"/>
          <w:u w:val="single"/>
        </w:rPr>
        <w:t xml:space="preserve">                     </w:t>
      </w:r>
    </w:p>
    <w:p w14:paraId="048C2DDA">
      <w:pPr>
        <w:adjustRightInd w:val="0"/>
        <w:snapToGrid w:val="0"/>
        <w:spacing w:line="560" w:lineRule="exact"/>
        <w:ind w:right="420"/>
        <w:rPr>
          <w:rFonts w:hint="eastAsia" w:ascii="仿宋_GB2312" w:hAnsi="仿宋" w:eastAsia="仿宋_GB2312"/>
          <w:sz w:val="32"/>
          <w:szCs w:val="32"/>
        </w:rPr>
      </w:pPr>
      <w:r>
        <w:rPr>
          <w:rFonts w:hint="eastAsia" w:ascii="仿宋_GB2312" w:hAnsi="仿宋" w:eastAsia="仿宋_GB2312"/>
          <w:sz w:val="32"/>
          <w:szCs w:val="32"/>
        </w:rPr>
        <w:t>供应商名称（盖单位章）：</w:t>
      </w:r>
      <w:r>
        <w:rPr>
          <w:rFonts w:hint="eastAsia" w:ascii="仿宋_GB2312" w:hAnsi="仿宋" w:eastAsia="仿宋_GB2312"/>
          <w:sz w:val="32"/>
          <w:szCs w:val="32"/>
          <w:u w:val="single"/>
        </w:rPr>
        <w:t xml:space="preserve">                     </w:t>
      </w:r>
    </w:p>
    <w:p w14:paraId="3FC1AB2B">
      <w:pPr>
        <w:adjustRightInd w:val="0"/>
        <w:snapToGrid w:val="0"/>
        <w:spacing w:line="560" w:lineRule="exact"/>
        <w:ind w:right="420"/>
        <w:rPr>
          <w:rFonts w:hint="eastAsia" w:ascii="仿宋_GB2312" w:hAnsi="仿宋" w:eastAsia="仿宋_GB2312"/>
          <w:sz w:val="32"/>
          <w:szCs w:val="32"/>
        </w:rPr>
      </w:pPr>
      <w:r>
        <w:rPr>
          <w:rFonts w:hint="eastAsia" w:ascii="仿宋_GB2312" w:hAnsi="仿宋" w:eastAsia="仿宋_GB2312"/>
          <w:sz w:val="32"/>
          <w:szCs w:val="32"/>
        </w:rPr>
        <w:t>委托代理人（签字）：</w:t>
      </w:r>
      <w:r>
        <w:rPr>
          <w:rFonts w:hint="eastAsia" w:ascii="仿宋_GB2312" w:hAnsi="仿宋" w:eastAsia="仿宋_GB2312"/>
          <w:sz w:val="32"/>
          <w:szCs w:val="32"/>
          <w:u w:val="single"/>
        </w:rPr>
        <w:t xml:space="preserve">                     </w:t>
      </w:r>
    </w:p>
    <w:p w14:paraId="7694157B">
      <w:pPr>
        <w:adjustRightInd w:val="0"/>
        <w:snapToGrid w:val="0"/>
        <w:spacing w:line="560" w:lineRule="exact"/>
        <w:ind w:right="24"/>
        <w:rPr>
          <w:rFonts w:hint="eastAsia" w:ascii="仿宋_GB2312" w:hAnsi="仿宋" w:eastAsia="仿宋_GB2312"/>
          <w:sz w:val="32"/>
          <w:szCs w:val="32"/>
        </w:rPr>
      </w:pPr>
      <w:r>
        <w:rPr>
          <w:rFonts w:hint="eastAsia" w:ascii="仿宋_GB2312" w:hAnsi="仿宋" w:eastAsia="仿宋_GB2312"/>
          <w:sz w:val="32"/>
          <w:szCs w:val="32"/>
        </w:rPr>
        <w:t>日期：</w:t>
      </w:r>
      <w:r>
        <w:rPr>
          <w:rFonts w:hint="eastAsia" w:ascii="仿宋_GB2312" w:hAnsi="仿宋" w:eastAsia="仿宋_GB2312"/>
          <w:sz w:val="32"/>
          <w:szCs w:val="32"/>
          <w:u w:val="single"/>
        </w:rPr>
        <w:t xml:space="preserve">         </w:t>
      </w:r>
      <w:r>
        <w:rPr>
          <w:rFonts w:hint="eastAsia" w:ascii="仿宋_GB2312" w:hAnsi="仿宋" w:eastAsia="仿宋_GB2312"/>
          <w:sz w:val="32"/>
          <w:szCs w:val="32"/>
        </w:rPr>
        <w:t>年</w:t>
      </w:r>
      <w:r>
        <w:rPr>
          <w:rFonts w:hint="eastAsia" w:ascii="仿宋_GB2312" w:hAnsi="仿宋" w:eastAsia="仿宋_GB2312"/>
          <w:sz w:val="32"/>
          <w:szCs w:val="32"/>
          <w:u w:val="single"/>
        </w:rPr>
        <w:t xml:space="preserve">      </w:t>
      </w:r>
      <w:r>
        <w:rPr>
          <w:rFonts w:hint="eastAsia" w:ascii="仿宋_GB2312" w:hAnsi="仿宋" w:eastAsia="仿宋_GB2312"/>
          <w:sz w:val="32"/>
          <w:szCs w:val="32"/>
        </w:rPr>
        <w:t>月</w:t>
      </w:r>
      <w:r>
        <w:rPr>
          <w:rFonts w:hint="eastAsia" w:ascii="仿宋_GB2312" w:hAnsi="仿宋" w:eastAsia="仿宋_GB2312"/>
          <w:sz w:val="32"/>
          <w:szCs w:val="32"/>
          <w:u w:val="single"/>
        </w:rPr>
        <w:t xml:space="preserve">       </w:t>
      </w:r>
      <w:r>
        <w:rPr>
          <w:rFonts w:hint="eastAsia" w:ascii="仿宋_GB2312" w:hAnsi="仿宋" w:eastAsia="仿宋_GB2312"/>
          <w:sz w:val="32"/>
          <w:szCs w:val="32"/>
        </w:rPr>
        <w:t>日</w:t>
      </w:r>
    </w:p>
    <w:p w14:paraId="09A04634">
      <w:pPr>
        <w:widowControl/>
        <w:jc w:val="left"/>
        <w:rPr>
          <w:rFonts w:ascii="仿宋_GB2312" w:eastAsia="仿宋_GB2312"/>
          <w:b/>
          <w:sz w:val="24"/>
          <w:szCs w:val="24"/>
        </w:rPr>
      </w:pPr>
      <w:r>
        <w:rPr>
          <w:rFonts w:ascii="仿宋_GB2312" w:eastAsia="仿宋_GB2312"/>
          <w:b/>
          <w:sz w:val="24"/>
          <w:szCs w:val="24"/>
        </w:rPr>
        <w:br w:type="page"/>
      </w:r>
    </w:p>
    <w:p w14:paraId="0D0D726F">
      <w:pPr>
        <w:spacing w:line="560" w:lineRule="exact"/>
        <w:rPr>
          <w:rFonts w:hint="eastAsia" w:ascii="黑体" w:hAnsi="黑体" w:eastAsia="黑体"/>
          <w:bCs/>
          <w:spacing w:val="10"/>
          <w:sz w:val="32"/>
          <w:szCs w:val="32"/>
        </w:rPr>
      </w:pPr>
      <w:r>
        <w:rPr>
          <w:rFonts w:hint="eastAsia" w:ascii="黑体" w:hAnsi="黑体" w:eastAsia="黑体"/>
          <w:bCs/>
          <w:spacing w:val="10"/>
          <w:sz w:val="32"/>
          <w:szCs w:val="32"/>
        </w:rPr>
        <w:t>附件2：</w:t>
      </w:r>
    </w:p>
    <w:p w14:paraId="033553B5">
      <w:pPr>
        <w:spacing w:line="700" w:lineRule="exact"/>
        <w:jc w:val="center"/>
        <w:outlineLvl w:val="0"/>
        <w:rPr>
          <w:rFonts w:hint="eastAsia" w:ascii="方正小标宋简体" w:hAnsi="黑体" w:eastAsia="方正小标宋简体"/>
          <w:bCs/>
          <w:spacing w:val="10"/>
          <w:sz w:val="44"/>
          <w:szCs w:val="44"/>
        </w:rPr>
      </w:pPr>
      <w:r>
        <w:rPr>
          <w:rFonts w:ascii="方正小标宋简体" w:hAnsi="黑体" w:eastAsia="方正小标宋简体"/>
          <w:bCs/>
          <w:spacing w:val="10"/>
          <w:sz w:val="44"/>
          <w:szCs w:val="44"/>
        </w:rPr>
        <w:t>报价函</w:t>
      </w:r>
    </w:p>
    <w:p w14:paraId="00D06C2C">
      <w:pPr>
        <w:spacing w:line="560" w:lineRule="exact"/>
        <w:rPr>
          <w:rFonts w:hint="eastAsia" w:ascii="仿宋_GB2312" w:hAnsi="仿宋" w:eastAsia="仿宋_GB2312" w:cs="宋体"/>
          <w:sz w:val="32"/>
          <w:szCs w:val="32"/>
        </w:rPr>
      </w:pPr>
      <w:r>
        <w:rPr>
          <w:rFonts w:hint="eastAsia" w:ascii="仿宋_GB2312" w:hAnsi="仿宋" w:eastAsia="仿宋_GB2312" w:cs="宋体"/>
          <w:sz w:val="32"/>
          <w:szCs w:val="32"/>
        </w:rPr>
        <w:t>湖南铁道职业技术学校：</w:t>
      </w:r>
    </w:p>
    <w:p w14:paraId="3D2D870F">
      <w:pPr>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我公司仔细阅读了2025年内部审计服务项目询比文件，清楚文件中关于本项目的相关采购需求。</w:t>
      </w:r>
    </w:p>
    <w:p w14:paraId="18CF9AF0">
      <w:pPr>
        <w:spacing w:line="560" w:lineRule="exact"/>
        <w:ind w:firstLine="643" w:firstLineChars="200"/>
        <w:rPr>
          <w:rFonts w:hint="eastAsia" w:ascii="仿宋_GB2312" w:hAnsi="仿宋" w:eastAsia="仿宋_GB2312" w:cs="宋体"/>
          <w:b/>
          <w:bCs/>
          <w:sz w:val="32"/>
          <w:szCs w:val="32"/>
        </w:rPr>
      </w:pPr>
      <w:r>
        <w:rPr>
          <w:rFonts w:hint="eastAsia" w:ascii="仿宋_GB2312" w:hAnsi="仿宋" w:eastAsia="仿宋_GB2312" w:cs="宋体"/>
          <w:b/>
          <w:bCs/>
          <w:sz w:val="32"/>
          <w:szCs w:val="32"/>
        </w:rPr>
        <w:t>报价：</w:t>
      </w:r>
    </w:p>
    <w:p w14:paraId="52D52477">
      <w:pPr>
        <w:spacing w:line="560" w:lineRule="exact"/>
        <w:ind w:firstLine="640" w:firstLineChars="200"/>
        <w:rPr>
          <w:rFonts w:hint="eastAsia" w:ascii="仿宋_GB2312" w:hAnsi="仿宋" w:eastAsia="仿宋_GB2312" w:cs="宋体"/>
          <w:sz w:val="32"/>
          <w:szCs w:val="32"/>
        </w:rPr>
      </w:pPr>
      <w:r>
        <w:rPr>
          <w:rFonts w:hint="eastAsia" w:ascii="仿宋_GB2312" w:hAnsi="仿宋" w:eastAsia="仿宋_GB2312" w:cs="宋体"/>
          <w:sz w:val="32"/>
          <w:szCs w:val="32"/>
        </w:rPr>
        <w:t>我司最终报价：小写：</w:t>
      </w:r>
      <w:r>
        <w:rPr>
          <w:rFonts w:hint="eastAsia" w:ascii="仿宋_GB2312" w:hAnsi="仿宋" w:eastAsia="仿宋_GB2312" w:cs="宋体"/>
          <w:sz w:val="32"/>
          <w:szCs w:val="32"/>
          <w:u w:val="single"/>
        </w:rPr>
        <w:t xml:space="preserve">            </w:t>
      </w:r>
      <w:r>
        <w:rPr>
          <w:rFonts w:hint="eastAsia" w:ascii="仿宋_GB2312" w:hAnsi="仿宋" w:eastAsia="仿宋_GB2312" w:cs="宋体"/>
          <w:sz w:val="32"/>
          <w:szCs w:val="32"/>
        </w:rPr>
        <w:t xml:space="preserve"> 元，大写：</w:t>
      </w:r>
      <w:r>
        <w:rPr>
          <w:rFonts w:hint="eastAsia" w:ascii="仿宋_GB2312" w:hAnsi="仿宋" w:eastAsia="仿宋_GB2312" w:cs="宋体"/>
          <w:sz w:val="32"/>
          <w:szCs w:val="32"/>
          <w:u w:val="single"/>
        </w:rPr>
        <w:t xml:space="preserve">人民币          </w:t>
      </w:r>
      <w:r>
        <w:rPr>
          <w:rFonts w:hint="eastAsia" w:ascii="仿宋_GB2312" w:hAnsi="仿宋" w:eastAsia="仿宋_GB2312" w:cs="宋体"/>
          <w:sz w:val="32"/>
          <w:szCs w:val="32"/>
        </w:rPr>
        <w:t>元整。</w:t>
      </w:r>
    </w:p>
    <w:p w14:paraId="428420B7">
      <w:pPr>
        <w:spacing w:line="560" w:lineRule="exact"/>
        <w:ind w:firstLine="640"/>
        <w:rPr>
          <w:rFonts w:hint="eastAsia" w:ascii="仿宋_GB2312" w:hAnsi="仿宋" w:eastAsia="仿宋_GB2312"/>
          <w:sz w:val="32"/>
          <w:szCs w:val="32"/>
        </w:rPr>
      </w:pPr>
    </w:p>
    <w:p w14:paraId="5550980C">
      <w:pPr>
        <w:spacing w:line="560" w:lineRule="exact"/>
        <w:ind w:firstLine="640"/>
        <w:rPr>
          <w:rFonts w:hint="eastAsia" w:ascii="仿宋_GB2312" w:hAnsi="仿宋" w:eastAsia="仿宋_GB2312"/>
          <w:sz w:val="32"/>
          <w:szCs w:val="32"/>
        </w:rPr>
      </w:pPr>
    </w:p>
    <w:p w14:paraId="638C8DB7">
      <w:pPr>
        <w:spacing w:line="560" w:lineRule="exact"/>
        <w:ind w:firstLine="640"/>
        <w:rPr>
          <w:rFonts w:hint="eastAsia" w:ascii="仿宋_GB2312" w:hAnsi="仿宋" w:eastAsia="仿宋_GB2312"/>
          <w:sz w:val="32"/>
          <w:szCs w:val="32"/>
        </w:rPr>
      </w:pPr>
    </w:p>
    <w:p w14:paraId="6E3AC60B">
      <w:pPr>
        <w:spacing w:line="480" w:lineRule="auto"/>
        <w:ind w:left="1680" w:leftChars="800"/>
        <w:rPr>
          <w:rFonts w:hint="eastAsia" w:ascii="仿宋_GB2312" w:hAnsi="仿宋" w:eastAsia="仿宋_GB2312"/>
          <w:sz w:val="32"/>
          <w:szCs w:val="32"/>
          <w:u w:val="single"/>
        </w:rPr>
      </w:pPr>
      <w:r>
        <w:rPr>
          <w:rFonts w:hint="eastAsia" w:ascii="仿宋_GB2312" w:hAnsi="仿宋" w:eastAsia="仿宋_GB2312"/>
          <w:sz w:val="32"/>
          <w:szCs w:val="32"/>
        </w:rPr>
        <w:t>供应商名称（盖章）：</w:t>
      </w:r>
      <w:r>
        <w:rPr>
          <w:rFonts w:hint="eastAsia" w:ascii="仿宋_GB2312" w:hAnsi="仿宋" w:eastAsia="仿宋_GB2312"/>
          <w:sz w:val="32"/>
          <w:szCs w:val="32"/>
          <w:u w:val="single"/>
        </w:rPr>
        <w:t xml:space="preserve">                    </w:t>
      </w:r>
    </w:p>
    <w:p w14:paraId="7D5946C9">
      <w:pPr>
        <w:spacing w:line="480" w:lineRule="auto"/>
        <w:ind w:left="4620" w:leftChars="2200"/>
        <w:jc w:val="left"/>
        <w:rPr>
          <w:rFonts w:hint="eastAsia" w:ascii="仿宋_GB2312" w:hAnsi="仿宋" w:eastAsia="仿宋_GB2312"/>
          <w:sz w:val="32"/>
          <w:szCs w:val="32"/>
        </w:rPr>
      </w:pPr>
      <w:r>
        <w:rPr>
          <w:rFonts w:hint="eastAsia" w:ascii="仿宋_GB2312" w:hAnsi="仿宋" w:eastAsia="仿宋_GB2312"/>
          <w:sz w:val="32"/>
          <w:szCs w:val="32"/>
          <w:u w:val="single"/>
        </w:rPr>
        <w:t xml:space="preserve">      </w:t>
      </w:r>
      <w:r>
        <w:rPr>
          <w:rFonts w:hint="eastAsia" w:ascii="仿宋_GB2312" w:hAnsi="仿宋" w:eastAsia="仿宋_GB2312"/>
          <w:sz w:val="32"/>
          <w:szCs w:val="32"/>
        </w:rPr>
        <w:t>年</w:t>
      </w:r>
      <w:r>
        <w:rPr>
          <w:rFonts w:hint="eastAsia" w:ascii="仿宋_GB2312" w:hAnsi="仿宋" w:eastAsia="仿宋_GB2312"/>
          <w:sz w:val="32"/>
          <w:szCs w:val="32"/>
          <w:u w:val="single"/>
        </w:rPr>
        <w:t xml:space="preserve">     </w:t>
      </w:r>
      <w:r>
        <w:rPr>
          <w:rFonts w:hint="eastAsia" w:ascii="仿宋_GB2312" w:hAnsi="仿宋" w:eastAsia="仿宋_GB2312"/>
          <w:sz w:val="32"/>
          <w:szCs w:val="32"/>
        </w:rPr>
        <w:t>月</w:t>
      </w:r>
      <w:r>
        <w:rPr>
          <w:rFonts w:hint="eastAsia" w:ascii="仿宋_GB2312" w:hAnsi="仿宋" w:eastAsia="仿宋_GB2312"/>
          <w:sz w:val="32"/>
          <w:szCs w:val="32"/>
          <w:u w:val="single"/>
        </w:rPr>
        <w:t xml:space="preserve">      </w:t>
      </w:r>
      <w:r>
        <w:rPr>
          <w:rFonts w:hint="eastAsia" w:ascii="仿宋_GB2312" w:hAnsi="仿宋" w:eastAsia="仿宋_GB2312"/>
          <w:sz w:val="32"/>
          <w:szCs w:val="32"/>
        </w:rPr>
        <w:t>日</w:t>
      </w:r>
    </w:p>
    <w:sectPr>
      <w:footerReference r:id="rId6"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华文中宋">
    <w:panose1 w:val="02010600040101010101"/>
    <w:charset w:val="86"/>
    <w:family w:val="auto"/>
    <w:pitch w:val="default"/>
    <w:sig w:usb0="00000287" w:usb1="080F0000" w:usb2="00000000" w:usb3="00000000" w:csb0="0004009F" w:csb1="DFD70000"/>
  </w:font>
  <w:font w:name="等线">
    <w:altName w:val="Arial Unicode MS"/>
    <w:panose1 w:val="02010600030101010101"/>
    <w:charset w:val="86"/>
    <w:family w:val="auto"/>
    <w:pitch w:val="default"/>
    <w:sig w:usb0="00000000" w:usb1="00000000" w:usb2="00000016" w:usb3="00000000" w:csb0="0004000F" w:csb1="00000000"/>
  </w:font>
  <w:font w:name="Calibri Light">
    <w:panose1 w:val="020F0302020204030204"/>
    <w:charset w:val="00"/>
    <w:family w:val="swiss"/>
    <w:pitch w:val="default"/>
    <w:sig w:usb0="A00002EF" w:usb1="4000207B"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panose1 w:val="02010601030101010101"/>
    <w:charset w:val="86"/>
    <w:family w:val="script"/>
    <w:pitch w:val="default"/>
    <w:sig w:usb0="00000001" w:usb1="080E0000" w:usb2="00000000" w:usb3="00000000" w:csb0="00040000" w:csb1="00000000"/>
  </w:font>
  <w:font w:name="方正仿宋_GB2312">
    <w:altName w:val="仿宋"/>
    <w:panose1 w:val="00000000000000000000"/>
    <w:charset w:val="00"/>
    <w:family w:val="auto"/>
    <w:pitch w:val="default"/>
    <w:sig w:usb0="00000000" w:usb1="00000000" w:usb2="00000000" w:usb3="00000000" w:csb0="0000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2"/>
      <w:framePr w:wrap="around" w:vAnchor="text" w:hAnchor="margin" w:xAlign="center" w:y="1"/>
      <w:rPr>
        <w:rStyle w:val="19"/>
      </w:rPr>
    </w:pPr>
    <w:r>
      <w:fldChar w:fldCharType="begin"/>
    </w:r>
    <w:r>
      <w:rPr>
        <w:rStyle w:val="19"/>
      </w:rPr>
      <w:instrText xml:space="preserve">PAGE  </w:instrText>
    </w:r>
    <w:r>
      <w:fldChar w:fldCharType="end"/>
    </w:r>
  </w:p>
  <w:p w14:paraId="7B4CFFC0">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2354354"/>
      <w:docPartObj>
        <w:docPartGallery w:val="autotext"/>
      </w:docPartObj>
    </w:sdtPr>
    <w:sdtEndPr>
      <w:rPr>
        <w:rFonts w:ascii="Times New Roman" w:hAnsi="Times New Roman"/>
        <w:sz w:val="24"/>
        <w:szCs w:val="24"/>
      </w:rPr>
    </w:sdtEndPr>
    <w:sdtContent>
      <w:p w14:paraId="2641E50A">
        <w:pPr>
          <w:pStyle w:val="12"/>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PAGE   \* MERGEFORMAT</w:instrText>
        </w:r>
        <w:r>
          <w:rPr>
            <w:rFonts w:ascii="Times New Roman" w:hAnsi="Times New Roman"/>
            <w:sz w:val="24"/>
            <w:szCs w:val="24"/>
          </w:rPr>
          <w:fldChar w:fldCharType="separate"/>
        </w:r>
        <w:r>
          <w:rPr>
            <w:rFonts w:ascii="Times New Roman" w:hAnsi="Times New Roman"/>
            <w:sz w:val="24"/>
            <w:szCs w:val="24"/>
            <w:lang w:val="zh-CN"/>
          </w:rPr>
          <w:t>10</w:t>
        </w:r>
        <w:r>
          <w:rPr>
            <w:rFonts w:ascii="Times New Roman" w:hAnsi="Times New Roman"/>
            <w:sz w:val="24"/>
            <w:szCs w:val="24"/>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3"/>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13"/>
    <w:rsid w:val="0005354A"/>
    <w:rsid w:val="0005402B"/>
    <w:rsid w:val="000550F4"/>
    <w:rsid w:val="00060368"/>
    <w:rsid w:val="0006730A"/>
    <w:rsid w:val="00072862"/>
    <w:rsid w:val="000978ED"/>
    <w:rsid w:val="000A4F21"/>
    <w:rsid w:val="000B3E2A"/>
    <w:rsid w:val="000B589D"/>
    <w:rsid w:val="000B5EB2"/>
    <w:rsid w:val="000D22B7"/>
    <w:rsid w:val="000E12D9"/>
    <w:rsid w:val="000F5572"/>
    <w:rsid w:val="000F5E0A"/>
    <w:rsid w:val="00111A43"/>
    <w:rsid w:val="0011786F"/>
    <w:rsid w:val="00117BD2"/>
    <w:rsid w:val="00121DE8"/>
    <w:rsid w:val="0012412A"/>
    <w:rsid w:val="0012458D"/>
    <w:rsid w:val="0012755C"/>
    <w:rsid w:val="00133E6C"/>
    <w:rsid w:val="00142CCC"/>
    <w:rsid w:val="0016025E"/>
    <w:rsid w:val="00175922"/>
    <w:rsid w:val="00175AB6"/>
    <w:rsid w:val="001772C6"/>
    <w:rsid w:val="001845C4"/>
    <w:rsid w:val="00192F64"/>
    <w:rsid w:val="001A77F2"/>
    <w:rsid w:val="001B3DAB"/>
    <w:rsid w:val="001C232B"/>
    <w:rsid w:val="001C4D83"/>
    <w:rsid w:val="001D640A"/>
    <w:rsid w:val="001D7FEF"/>
    <w:rsid w:val="001E12CB"/>
    <w:rsid w:val="001E6428"/>
    <w:rsid w:val="001F1528"/>
    <w:rsid w:val="002058F8"/>
    <w:rsid w:val="00210228"/>
    <w:rsid w:val="002140EE"/>
    <w:rsid w:val="00222144"/>
    <w:rsid w:val="0022600E"/>
    <w:rsid w:val="00231A5D"/>
    <w:rsid w:val="00242CAB"/>
    <w:rsid w:val="00242DFD"/>
    <w:rsid w:val="00247504"/>
    <w:rsid w:val="0025623B"/>
    <w:rsid w:val="002567A9"/>
    <w:rsid w:val="00263D1E"/>
    <w:rsid w:val="00274579"/>
    <w:rsid w:val="0027463E"/>
    <w:rsid w:val="00276E1B"/>
    <w:rsid w:val="00283E7E"/>
    <w:rsid w:val="00284748"/>
    <w:rsid w:val="00285A19"/>
    <w:rsid w:val="002956E5"/>
    <w:rsid w:val="002A45C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378A7"/>
    <w:rsid w:val="00340274"/>
    <w:rsid w:val="00343BF0"/>
    <w:rsid w:val="00347B94"/>
    <w:rsid w:val="003578B1"/>
    <w:rsid w:val="00357989"/>
    <w:rsid w:val="003603F2"/>
    <w:rsid w:val="00363043"/>
    <w:rsid w:val="00375975"/>
    <w:rsid w:val="003906B4"/>
    <w:rsid w:val="0039359F"/>
    <w:rsid w:val="003A53A1"/>
    <w:rsid w:val="003A55E6"/>
    <w:rsid w:val="003A750D"/>
    <w:rsid w:val="003B40C1"/>
    <w:rsid w:val="003B6199"/>
    <w:rsid w:val="003C394B"/>
    <w:rsid w:val="003D1E0A"/>
    <w:rsid w:val="003D2A04"/>
    <w:rsid w:val="003D41FE"/>
    <w:rsid w:val="003D48FE"/>
    <w:rsid w:val="003D4D05"/>
    <w:rsid w:val="003F2DCF"/>
    <w:rsid w:val="003F6722"/>
    <w:rsid w:val="003F6CD9"/>
    <w:rsid w:val="003F7EAD"/>
    <w:rsid w:val="004001E2"/>
    <w:rsid w:val="00401903"/>
    <w:rsid w:val="004107AB"/>
    <w:rsid w:val="00421C26"/>
    <w:rsid w:val="00422BE0"/>
    <w:rsid w:val="00424483"/>
    <w:rsid w:val="00456F97"/>
    <w:rsid w:val="00472194"/>
    <w:rsid w:val="0047384D"/>
    <w:rsid w:val="00482206"/>
    <w:rsid w:val="0048308A"/>
    <w:rsid w:val="00490968"/>
    <w:rsid w:val="00490E28"/>
    <w:rsid w:val="004A59B3"/>
    <w:rsid w:val="004B156E"/>
    <w:rsid w:val="004C1747"/>
    <w:rsid w:val="004D1D88"/>
    <w:rsid w:val="004D4DC1"/>
    <w:rsid w:val="004D5431"/>
    <w:rsid w:val="004E6C4B"/>
    <w:rsid w:val="004F194E"/>
    <w:rsid w:val="004F36D9"/>
    <w:rsid w:val="004F6837"/>
    <w:rsid w:val="005038E5"/>
    <w:rsid w:val="00510C43"/>
    <w:rsid w:val="005213BF"/>
    <w:rsid w:val="00522818"/>
    <w:rsid w:val="005308FA"/>
    <w:rsid w:val="005347BC"/>
    <w:rsid w:val="0053775C"/>
    <w:rsid w:val="00544120"/>
    <w:rsid w:val="00547D86"/>
    <w:rsid w:val="005503FB"/>
    <w:rsid w:val="005504CB"/>
    <w:rsid w:val="00551825"/>
    <w:rsid w:val="0055219A"/>
    <w:rsid w:val="00564560"/>
    <w:rsid w:val="00574D7B"/>
    <w:rsid w:val="00575A9B"/>
    <w:rsid w:val="00585E27"/>
    <w:rsid w:val="0059459F"/>
    <w:rsid w:val="005945E2"/>
    <w:rsid w:val="005A062C"/>
    <w:rsid w:val="005B23DE"/>
    <w:rsid w:val="005C411A"/>
    <w:rsid w:val="005C4AA9"/>
    <w:rsid w:val="005D2992"/>
    <w:rsid w:val="005E3959"/>
    <w:rsid w:val="005E5715"/>
    <w:rsid w:val="005F04FF"/>
    <w:rsid w:val="006033B9"/>
    <w:rsid w:val="00605843"/>
    <w:rsid w:val="00606182"/>
    <w:rsid w:val="00613F43"/>
    <w:rsid w:val="00615769"/>
    <w:rsid w:val="00615EF4"/>
    <w:rsid w:val="006178A7"/>
    <w:rsid w:val="00620B04"/>
    <w:rsid w:val="00625293"/>
    <w:rsid w:val="0062567B"/>
    <w:rsid w:val="006307A3"/>
    <w:rsid w:val="006419F0"/>
    <w:rsid w:val="00643BAB"/>
    <w:rsid w:val="00643BDF"/>
    <w:rsid w:val="00643D39"/>
    <w:rsid w:val="00650ABD"/>
    <w:rsid w:val="006532B9"/>
    <w:rsid w:val="00657E80"/>
    <w:rsid w:val="006600AE"/>
    <w:rsid w:val="00662101"/>
    <w:rsid w:val="00665305"/>
    <w:rsid w:val="00667986"/>
    <w:rsid w:val="00676612"/>
    <w:rsid w:val="00687695"/>
    <w:rsid w:val="00691796"/>
    <w:rsid w:val="00697843"/>
    <w:rsid w:val="006A15F5"/>
    <w:rsid w:val="006A6F52"/>
    <w:rsid w:val="006B3AEE"/>
    <w:rsid w:val="006C2D92"/>
    <w:rsid w:val="006E3F8E"/>
    <w:rsid w:val="006F14B5"/>
    <w:rsid w:val="006F7EF6"/>
    <w:rsid w:val="0070481A"/>
    <w:rsid w:val="00704B82"/>
    <w:rsid w:val="007136E1"/>
    <w:rsid w:val="00716317"/>
    <w:rsid w:val="007201CC"/>
    <w:rsid w:val="0072218D"/>
    <w:rsid w:val="00723967"/>
    <w:rsid w:val="0073488D"/>
    <w:rsid w:val="00746E7F"/>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16B39"/>
    <w:rsid w:val="008218EF"/>
    <w:rsid w:val="0082339E"/>
    <w:rsid w:val="00830AF1"/>
    <w:rsid w:val="00845BA4"/>
    <w:rsid w:val="00851160"/>
    <w:rsid w:val="0085188B"/>
    <w:rsid w:val="00853102"/>
    <w:rsid w:val="00856396"/>
    <w:rsid w:val="00856E7F"/>
    <w:rsid w:val="008600B3"/>
    <w:rsid w:val="00866583"/>
    <w:rsid w:val="00870EE5"/>
    <w:rsid w:val="0087387E"/>
    <w:rsid w:val="008839A0"/>
    <w:rsid w:val="008A0F71"/>
    <w:rsid w:val="008A5442"/>
    <w:rsid w:val="008B7B0E"/>
    <w:rsid w:val="008C3DAB"/>
    <w:rsid w:val="008C5A1E"/>
    <w:rsid w:val="008C6777"/>
    <w:rsid w:val="008C7219"/>
    <w:rsid w:val="008D390D"/>
    <w:rsid w:val="008E42FD"/>
    <w:rsid w:val="008F12AD"/>
    <w:rsid w:val="00901653"/>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94C37"/>
    <w:rsid w:val="009A117F"/>
    <w:rsid w:val="009B6342"/>
    <w:rsid w:val="009D6355"/>
    <w:rsid w:val="009E37A4"/>
    <w:rsid w:val="009E6A8E"/>
    <w:rsid w:val="009F7405"/>
    <w:rsid w:val="00A03B59"/>
    <w:rsid w:val="00A10168"/>
    <w:rsid w:val="00A14DD7"/>
    <w:rsid w:val="00A158D1"/>
    <w:rsid w:val="00A20585"/>
    <w:rsid w:val="00A219D5"/>
    <w:rsid w:val="00A23F96"/>
    <w:rsid w:val="00A25BA6"/>
    <w:rsid w:val="00A32376"/>
    <w:rsid w:val="00A37C1E"/>
    <w:rsid w:val="00A37EF9"/>
    <w:rsid w:val="00A456C6"/>
    <w:rsid w:val="00A46021"/>
    <w:rsid w:val="00A52380"/>
    <w:rsid w:val="00A67616"/>
    <w:rsid w:val="00A71DA5"/>
    <w:rsid w:val="00A77FC1"/>
    <w:rsid w:val="00A839BA"/>
    <w:rsid w:val="00A914CA"/>
    <w:rsid w:val="00A92BEF"/>
    <w:rsid w:val="00A978E5"/>
    <w:rsid w:val="00AA4814"/>
    <w:rsid w:val="00AC07FC"/>
    <w:rsid w:val="00AE7076"/>
    <w:rsid w:val="00AF5819"/>
    <w:rsid w:val="00B17C1E"/>
    <w:rsid w:val="00B3136E"/>
    <w:rsid w:val="00B42E12"/>
    <w:rsid w:val="00B43D2F"/>
    <w:rsid w:val="00B464FC"/>
    <w:rsid w:val="00B52630"/>
    <w:rsid w:val="00B55125"/>
    <w:rsid w:val="00B556E8"/>
    <w:rsid w:val="00B566C6"/>
    <w:rsid w:val="00B628B0"/>
    <w:rsid w:val="00B63A3C"/>
    <w:rsid w:val="00B7105A"/>
    <w:rsid w:val="00B76A9A"/>
    <w:rsid w:val="00B824B3"/>
    <w:rsid w:val="00B824ED"/>
    <w:rsid w:val="00B8326E"/>
    <w:rsid w:val="00B8562F"/>
    <w:rsid w:val="00B862E8"/>
    <w:rsid w:val="00B93E91"/>
    <w:rsid w:val="00B94B09"/>
    <w:rsid w:val="00BA3A78"/>
    <w:rsid w:val="00BA5363"/>
    <w:rsid w:val="00BB7FEE"/>
    <w:rsid w:val="00BC096B"/>
    <w:rsid w:val="00BC2F3B"/>
    <w:rsid w:val="00BC64B9"/>
    <w:rsid w:val="00BE06E5"/>
    <w:rsid w:val="00BE3075"/>
    <w:rsid w:val="00BF1BBC"/>
    <w:rsid w:val="00C05AFF"/>
    <w:rsid w:val="00C07F36"/>
    <w:rsid w:val="00C13B92"/>
    <w:rsid w:val="00C16EB6"/>
    <w:rsid w:val="00C25E40"/>
    <w:rsid w:val="00C32C45"/>
    <w:rsid w:val="00C33C22"/>
    <w:rsid w:val="00C366B9"/>
    <w:rsid w:val="00C52D19"/>
    <w:rsid w:val="00C53205"/>
    <w:rsid w:val="00C53D99"/>
    <w:rsid w:val="00C53E55"/>
    <w:rsid w:val="00C57A68"/>
    <w:rsid w:val="00C63CCB"/>
    <w:rsid w:val="00C63D53"/>
    <w:rsid w:val="00C759A0"/>
    <w:rsid w:val="00C75A51"/>
    <w:rsid w:val="00C76F3D"/>
    <w:rsid w:val="00C808DF"/>
    <w:rsid w:val="00C81817"/>
    <w:rsid w:val="00C839FA"/>
    <w:rsid w:val="00C8499A"/>
    <w:rsid w:val="00C96C1E"/>
    <w:rsid w:val="00CA7809"/>
    <w:rsid w:val="00CB3A3B"/>
    <w:rsid w:val="00CB3BBC"/>
    <w:rsid w:val="00CB6F64"/>
    <w:rsid w:val="00CC34E5"/>
    <w:rsid w:val="00CC3F7F"/>
    <w:rsid w:val="00CC42FE"/>
    <w:rsid w:val="00CC6164"/>
    <w:rsid w:val="00CD10A3"/>
    <w:rsid w:val="00CD58F2"/>
    <w:rsid w:val="00CE521C"/>
    <w:rsid w:val="00CF3FDD"/>
    <w:rsid w:val="00D16A35"/>
    <w:rsid w:val="00D170F1"/>
    <w:rsid w:val="00D239AE"/>
    <w:rsid w:val="00D2548C"/>
    <w:rsid w:val="00D26C56"/>
    <w:rsid w:val="00D27226"/>
    <w:rsid w:val="00D30238"/>
    <w:rsid w:val="00D36235"/>
    <w:rsid w:val="00D5020D"/>
    <w:rsid w:val="00D550C9"/>
    <w:rsid w:val="00D60B67"/>
    <w:rsid w:val="00D61737"/>
    <w:rsid w:val="00D62C6E"/>
    <w:rsid w:val="00D70A5E"/>
    <w:rsid w:val="00D71EAF"/>
    <w:rsid w:val="00D7679E"/>
    <w:rsid w:val="00D80D02"/>
    <w:rsid w:val="00D829EE"/>
    <w:rsid w:val="00D831A4"/>
    <w:rsid w:val="00D95BA5"/>
    <w:rsid w:val="00DA21C5"/>
    <w:rsid w:val="00DA416D"/>
    <w:rsid w:val="00DA4DFA"/>
    <w:rsid w:val="00DA5FB1"/>
    <w:rsid w:val="00DB62ED"/>
    <w:rsid w:val="00DC4125"/>
    <w:rsid w:val="00DC427D"/>
    <w:rsid w:val="00DC6665"/>
    <w:rsid w:val="00DC66BD"/>
    <w:rsid w:val="00DD0341"/>
    <w:rsid w:val="00DD785A"/>
    <w:rsid w:val="00DE0768"/>
    <w:rsid w:val="00DE34F6"/>
    <w:rsid w:val="00DE577F"/>
    <w:rsid w:val="00DF1445"/>
    <w:rsid w:val="00DF2F07"/>
    <w:rsid w:val="00E05101"/>
    <w:rsid w:val="00E1344B"/>
    <w:rsid w:val="00E1584F"/>
    <w:rsid w:val="00E30C9F"/>
    <w:rsid w:val="00E33B6B"/>
    <w:rsid w:val="00E34AAD"/>
    <w:rsid w:val="00E43CDF"/>
    <w:rsid w:val="00E46719"/>
    <w:rsid w:val="00E52CFB"/>
    <w:rsid w:val="00E65DB9"/>
    <w:rsid w:val="00E73E3E"/>
    <w:rsid w:val="00E952F7"/>
    <w:rsid w:val="00E97D78"/>
    <w:rsid w:val="00EA0381"/>
    <w:rsid w:val="00EA1FC2"/>
    <w:rsid w:val="00EA7697"/>
    <w:rsid w:val="00ED749F"/>
    <w:rsid w:val="00EE01A3"/>
    <w:rsid w:val="00EE3F55"/>
    <w:rsid w:val="00EF50F4"/>
    <w:rsid w:val="00EF52ED"/>
    <w:rsid w:val="00EF5B9B"/>
    <w:rsid w:val="00F07FB6"/>
    <w:rsid w:val="00F1122E"/>
    <w:rsid w:val="00F129A6"/>
    <w:rsid w:val="00F133F3"/>
    <w:rsid w:val="00F14779"/>
    <w:rsid w:val="00F15528"/>
    <w:rsid w:val="00F26174"/>
    <w:rsid w:val="00F26EA9"/>
    <w:rsid w:val="00F44BD6"/>
    <w:rsid w:val="00F55AA7"/>
    <w:rsid w:val="00F56A27"/>
    <w:rsid w:val="00F60A40"/>
    <w:rsid w:val="00F673D3"/>
    <w:rsid w:val="00F71B67"/>
    <w:rsid w:val="00F72BBE"/>
    <w:rsid w:val="00F86AB7"/>
    <w:rsid w:val="00FA4BEB"/>
    <w:rsid w:val="00FC011A"/>
    <w:rsid w:val="00FE0327"/>
    <w:rsid w:val="00FE4AAE"/>
    <w:rsid w:val="00FE55F5"/>
    <w:rsid w:val="00FF6106"/>
    <w:rsid w:val="017442FA"/>
    <w:rsid w:val="0215299B"/>
    <w:rsid w:val="044E0E32"/>
    <w:rsid w:val="05997E8B"/>
    <w:rsid w:val="066D3445"/>
    <w:rsid w:val="08964B56"/>
    <w:rsid w:val="08C83CB5"/>
    <w:rsid w:val="097D7547"/>
    <w:rsid w:val="09902C2B"/>
    <w:rsid w:val="0A9926DB"/>
    <w:rsid w:val="0C3721EC"/>
    <w:rsid w:val="0CEC11E8"/>
    <w:rsid w:val="0CFD51A3"/>
    <w:rsid w:val="0D7A240F"/>
    <w:rsid w:val="0FB06655"/>
    <w:rsid w:val="10912321"/>
    <w:rsid w:val="10C81F6C"/>
    <w:rsid w:val="11BE5B42"/>
    <w:rsid w:val="13A26E3E"/>
    <w:rsid w:val="13AE369B"/>
    <w:rsid w:val="144F1BCA"/>
    <w:rsid w:val="14FD6A90"/>
    <w:rsid w:val="15455939"/>
    <w:rsid w:val="15B12877"/>
    <w:rsid w:val="16D36F75"/>
    <w:rsid w:val="16FC64CC"/>
    <w:rsid w:val="172E31C9"/>
    <w:rsid w:val="17C3509D"/>
    <w:rsid w:val="189D32E3"/>
    <w:rsid w:val="19E54DD6"/>
    <w:rsid w:val="1A07140F"/>
    <w:rsid w:val="1A7D2861"/>
    <w:rsid w:val="1BB90E2F"/>
    <w:rsid w:val="1D444728"/>
    <w:rsid w:val="1E4F7829"/>
    <w:rsid w:val="1F9951FF"/>
    <w:rsid w:val="201D3E7D"/>
    <w:rsid w:val="202D76F6"/>
    <w:rsid w:val="20746BB2"/>
    <w:rsid w:val="21E64000"/>
    <w:rsid w:val="22FB1D2D"/>
    <w:rsid w:val="23E9602A"/>
    <w:rsid w:val="242B03F0"/>
    <w:rsid w:val="24F13006"/>
    <w:rsid w:val="26E533CB"/>
    <w:rsid w:val="295D104C"/>
    <w:rsid w:val="29B665AC"/>
    <w:rsid w:val="29D15596"/>
    <w:rsid w:val="2A7725E1"/>
    <w:rsid w:val="2B473D61"/>
    <w:rsid w:val="2CB01DDA"/>
    <w:rsid w:val="2D460049"/>
    <w:rsid w:val="3163566D"/>
    <w:rsid w:val="31D8203D"/>
    <w:rsid w:val="31FA2FC3"/>
    <w:rsid w:val="3248523C"/>
    <w:rsid w:val="353327D7"/>
    <w:rsid w:val="35A3072E"/>
    <w:rsid w:val="35BA60CE"/>
    <w:rsid w:val="38CA49CD"/>
    <w:rsid w:val="39D54C2E"/>
    <w:rsid w:val="3A731769"/>
    <w:rsid w:val="3B3140E6"/>
    <w:rsid w:val="3B8763FC"/>
    <w:rsid w:val="3C0E61D6"/>
    <w:rsid w:val="3D912B45"/>
    <w:rsid w:val="3DC92B7D"/>
    <w:rsid w:val="3E7013C9"/>
    <w:rsid w:val="3F2D1069"/>
    <w:rsid w:val="4020042D"/>
    <w:rsid w:val="404D79B1"/>
    <w:rsid w:val="40CF23D7"/>
    <w:rsid w:val="411058C0"/>
    <w:rsid w:val="413277CA"/>
    <w:rsid w:val="41A31919"/>
    <w:rsid w:val="42507548"/>
    <w:rsid w:val="457F75CA"/>
    <w:rsid w:val="471A6376"/>
    <w:rsid w:val="495E1E55"/>
    <w:rsid w:val="4A6C57DD"/>
    <w:rsid w:val="4A842484"/>
    <w:rsid w:val="4ACE4B79"/>
    <w:rsid w:val="4ADA413D"/>
    <w:rsid w:val="4C811ECE"/>
    <w:rsid w:val="4C8E75EA"/>
    <w:rsid w:val="4CD64AED"/>
    <w:rsid w:val="4DEA6AA2"/>
    <w:rsid w:val="4DF74D1B"/>
    <w:rsid w:val="505E5526"/>
    <w:rsid w:val="50C025FA"/>
    <w:rsid w:val="51CA3B38"/>
    <w:rsid w:val="53425821"/>
    <w:rsid w:val="543D7D43"/>
    <w:rsid w:val="54413194"/>
    <w:rsid w:val="554E608A"/>
    <w:rsid w:val="56D36709"/>
    <w:rsid w:val="56EB5013"/>
    <w:rsid w:val="57A557E8"/>
    <w:rsid w:val="57DD4F82"/>
    <w:rsid w:val="59337A15"/>
    <w:rsid w:val="5A865DA5"/>
    <w:rsid w:val="5B3B1FAA"/>
    <w:rsid w:val="5BEE021E"/>
    <w:rsid w:val="5BF22FC6"/>
    <w:rsid w:val="5CF8252C"/>
    <w:rsid w:val="5D0631CD"/>
    <w:rsid w:val="5D215911"/>
    <w:rsid w:val="5DBF70F0"/>
    <w:rsid w:val="5DF23B2E"/>
    <w:rsid w:val="5E7C394C"/>
    <w:rsid w:val="5F4578E7"/>
    <w:rsid w:val="5F4E26F5"/>
    <w:rsid w:val="60511ABB"/>
    <w:rsid w:val="62173015"/>
    <w:rsid w:val="6228716A"/>
    <w:rsid w:val="62652744"/>
    <w:rsid w:val="63A20CFF"/>
    <w:rsid w:val="63F83144"/>
    <w:rsid w:val="66DC6D4D"/>
    <w:rsid w:val="68B735CD"/>
    <w:rsid w:val="6A400653"/>
    <w:rsid w:val="6A7F45BF"/>
    <w:rsid w:val="6B5A68F5"/>
    <w:rsid w:val="6BBF5D79"/>
    <w:rsid w:val="6BC9041D"/>
    <w:rsid w:val="6DAB7F02"/>
    <w:rsid w:val="719E17CE"/>
    <w:rsid w:val="71CD20B4"/>
    <w:rsid w:val="72567DE8"/>
    <w:rsid w:val="72C16AF2"/>
    <w:rsid w:val="72FA6ED8"/>
    <w:rsid w:val="73A76E7D"/>
    <w:rsid w:val="74A23383"/>
    <w:rsid w:val="75730384"/>
    <w:rsid w:val="78401AE9"/>
    <w:rsid w:val="7B4E5EDA"/>
    <w:rsid w:val="7BEB3862"/>
    <w:rsid w:val="7C7B7C1A"/>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6"/>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29"/>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3"/>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8">
    <w:name w:val="Default Paragraph Font"/>
    <w:semiHidden/>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2"/>
    <w:semiHidden/>
    <w:unhideWhenUsed/>
    <w:qFormat/>
    <w:uiPriority w:val="99"/>
    <w:rPr>
      <w:rFonts w:ascii="宋体"/>
      <w:sz w:val="18"/>
      <w:szCs w:val="18"/>
    </w:rPr>
  </w:style>
  <w:style w:type="paragraph" w:styleId="7">
    <w:name w:val="Body Text"/>
    <w:basedOn w:val="1"/>
    <w:next w:val="1"/>
    <w:link w:val="34"/>
    <w:qFormat/>
    <w:uiPriority w:val="0"/>
    <w:pPr>
      <w:spacing w:after="120"/>
    </w:pPr>
    <w:rPr>
      <w:rFonts w:ascii="Times New Roman" w:hAnsi="Times New Roman"/>
      <w:szCs w:val="24"/>
    </w:rPr>
  </w:style>
  <w:style w:type="paragraph" w:styleId="8">
    <w:name w:val="Body Text Indent"/>
    <w:basedOn w:val="1"/>
    <w:next w:val="9"/>
    <w:unhideWhenUsed/>
    <w:qFormat/>
    <w:uiPriority w:val="99"/>
    <w:pPr>
      <w:spacing w:after="120"/>
      <w:ind w:left="420" w:leftChars="200"/>
    </w:pPr>
  </w:style>
  <w:style w:type="paragraph" w:styleId="9">
    <w:name w:val="Body Text Indent 2"/>
    <w:basedOn w:val="1"/>
    <w:link w:val="38"/>
    <w:qFormat/>
    <w:uiPriority w:val="99"/>
    <w:pPr>
      <w:spacing w:after="120" w:line="480" w:lineRule="auto"/>
      <w:ind w:left="420" w:leftChars="200"/>
    </w:pPr>
    <w:rPr>
      <w:kern w:val="0"/>
      <w:sz w:val="24"/>
    </w:rPr>
  </w:style>
  <w:style w:type="paragraph" w:styleId="10">
    <w:name w:val="Plain Text"/>
    <w:basedOn w:val="1"/>
    <w:link w:val="27"/>
    <w:qFormat/>
    <w:uiPriority w:val="0"/>
    <w:rPr>
      <w:rFonts w:ascii="宋体" w:hAnsi="Courier New"/>
      <w:kern w:val="0"/>
      <w:szCs w:val="20"/>
    </w:rPr>
  </w:style>
  <w:style w:type="paragraph" w:styleId="11">
    <w:name w:val="Date"/>
    <w:basedOn w:val="1"/>
    <w:next w:val="1"/>
    <w:link w:val="24"/>
    <w:semiHidden/>
    <w:unhideWhenUsed/>
    <w:qFormat/>
    <w:uiPriority w:val="99"/>
    <w:pPr>
      <w:ind w:left="100" w:leftChars="2500"/>
    </w:pPr>
  </w:style>
  <w:style w:type="paragraph" w:styleId="12">
    <w:name w:val="footer"/>
    <w:basedOn w:val="1"/>
    <w:link w:val="21"/>
    <w:unhideWhenUsed/>
    <w:qFormat/>
    <w:uiPriority w:val="99"/>
    <w:pPr>
      <w:tabs>
        <w:tab w:val="center" w:pos="4153"/>
        <w:tab w:val="right" w:pos="8306"/>
      </w:tabs>
      <w:snapToGrid w:val="0"/>
      <w:jc w:val="left"/>
    </w:pPr>
    <w:rPr>
      <w:sz w:val="18"/>
      <w:szCs w:val="18"/>
    </w:rPr>
  </w:style>
  <w:style w:type="paragraph" w:styleId="13">
    <w:name w:val="header"/>
    <w:basedOn w:val="1"/>
    <w:link w:val="20"/>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5">
    <w:name w:val="Body Text First Indent 2"/>
    <w:basedOn w:val="8"/>
    <w:next w:val="1"/>
    <w:unhideWhenUsed/>
    <w:qFormat/>
    <w:uiPriority w:val="99"/>
    <w:pPr>
      <w:spacing w:before="100" w:beforeAutospacing="1"/>
      <w:ind w:firstLine="420"/>
    </w:pPr>
    <w:rPr>
      <w:szCs w:val="21"/>
    </w:rPr>
  </w:style>
  <w:style w:type="table" w:styleId="17">
    <w:name w:val="Table Grid"/>
    <w:basedOn w:val="16"/>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customStyle="1" w:styleId="20">
    <w:name w:val="页眉 字符"/>
    <w:basedOn w:val="18"/>
    <w:link w:val="13"/>
    <w:qFormat/>
    <w:uiPriority w:val="0"/>
    <w:rPr>
      <w:rFonts w:ascii="Calibri" w:hAnsi="Calibri" w:eastAsia="宋体" w:cs="Times New Roman"/>
      <w:sz w:val="18"/>
      <w:szCs w:val="18"/>
    </w:rPr>
  </w:style>
  <w:style w:type="character" w:customStyle="1" w:styleId="21">
    <w:name w:val="页脚 字符"/>
    <w:basedOn w:val="18"/>
    <w:link w:val="12"/>
    <w:qFormat/>
    <w:uiPriority w:val="99"/>
    <w:rPr>
      <w:rFonts w:ascii="Calibri" w:hAnsi="Calibri" w:eastAsia="宋体" w:cs="Times New Roman"/>
      <w:sz w:val="18"/>
      <w:szCs w:val="18"/>
    </w:rPr>
  </w:style>
  <w:style w:type="character" w:customStyle="1" w:styleId="22">
    <w:name w:val="文档结构图 字符"/>
    <w:basedOn w:val="18"/>
    <w:link w:val="6"/>
    <w:semiHidden/>
    <w:qFormat/>
    <w:uiPriority w:val="99"/>
    <w:rPr>
      <w:rFonts w:ascii="宋体" w:hAnsi="Calibri" w:eastAsia="宋体" w:cs="Times New Roman"/>
      <w:sz w:val="18"/>
      <w:szCs w:val="18"/>
    </w:rPr>
  </w:style>
  <w:style w:type="paragraph" w:customStyle="1" w:styleId="23">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4">
    <w:name w:val="日期 字符"/>
    <w:basedOn w:val="18"/>
    <w:link w:val="11"/>
    <w:semiHidden/>
    <w:qFormat/>
    <w:uiPriority w:val="99"/>
    <w:rPr>
      <w:rFonts w:ascii="Calibri" w:hAnsi="Calibri" w:eastAsia="宋体" w:cs="Times New Roman"/>
    </w:rPr>
  </w:style>
  <w:style w:type="paragraph" w:customStyle="1" w:styleId="25">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6">
    <w:name w:val="标题 1 字符"/>
    <w:basedOn w:val="18"/>
    <w:link w:val="2"/>
    <w:qFormat/>
    <w:uiPriority w:val="0"/>
    <w:rPr>
      <w:rFonts w:ascii="Cambria" w:hAnsi="Cambria" w:eastAsia="华文中宋" w:cs="Times New Roman"/>
      <w:b/>
      <w:bCs/>
      <w:sz w:val="44"/>
      <w:szCs w:val="28"/>
    </w:rPr>
  </w:style>
  <w:style w:type="character" w:customStyle="1" w:styleId="27">
    <w:name w:val="纯文本 字符"/>
    <w:link w:val="10"/>
    <w:qFormat/>
    <w:locked/>
    <w:uiPriority w:val="0"/>
    <w:rPr>
      <w:rFonts w:ascii="宋体" w:hAnsi="Courier New"/>
      <w:sz w:val="21"/>
    </w:rPr>
  </w:style>
  <w:style w:type="character" w:customStyle="1" w:styleId="28">
    <w:name w:val="纯文本 Char"/>
    <w:basedOn w:val="18"/>
    <w:semiHidden/>
    <w:qFormat/>
    <w:uiPriority w:val="99"/>
    <w:rPr>
      <w:rFonts w:ascii="宋体" w:hAnsi="Courier New" w:cs="Courier New"/>
      <w:kern w:val="2"/>
      <w:sz w:val="21"/>
      <w:szCs w:val="21"/>
    </w:rPr>
  </w:style>
  <w:style w:type="character" w:customStyle="1" w:styleId="29">
    <w:name w:val="标题 2 字符"/>
    <w:basedOn w:val="18"/>
    <w:link w:val="3"/>
    <w:semiHidden/>
    <w:qFormat/>
    <w:uiPriority w:val="9"/>
    <w:rPr>
      <w:rFonts w:asciiTheme="majorHAnsi" w:hAnsiTheme="majorHAnsi" w:eastAsiaTheme="majorEastAsia" w:cstheme="majorBidi"/>
      <w:b/>
      <w:bCs/>
      <w:kern w:val="2"/>
      <w:sz w:val="32"/>
      <w:szCs w:val="32"/>
    </w:rPr>
  </w:style>
  <w:style w:type="paragraph" w:customStyle="1" w:styleId="30">
    <w:name w:val="Table Paragraph"/>
    <w:basedOn w:val="1"/>
    <w:qFormat/>
    <w:uiPriority w:val="1"/>
  </w:style>
  <w:style w:type="paragraph" w:customStyle="1" w:styleId="31">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
    <w:name w:val="Char1 Char Char Char Char Char Char Char"/>
    <w:basedOn w:val="1"/>
    <w:qFormat/>
    <w:uiPriority w:val="0"/>
    <w:rPr>
      <w:rFonts w:ascii="Tahoma" w:hAnsi="Tahoma"/>
      <w:sz w:val="24"/>
      <w:szCs w:val="20"/>
    </w:rPr>
  </w:style>
  <w:style w:type="character" w:customStyle="1" w:styleId="33">
    <w:name w:val="标题 6 字符"/>
    <w:basedOn w:val="18"/>
    <w:link w:val="4"/>
    <w:qFormat/>
    <w:uiPriority w:val="9"/>
    <w:rPr>
      <w:rFonts w:asciiTheme="majorHAnsi" w:hAnsiTheme="majorHAnsi" w:eastAsiaTheme="majorEastAsia" w:cstheme="majorBidi"/>
      <w:b/>
      <w:bCs/>
      <w:kern w:val="2"/>
      <w:sz w:val="24"/>
      <w:szCs w:val="24"/>
    </w:rPr>
  </w:style>
  <w:style w:type="character" w:customStyle="1" w:styleId="34">
    <w:name w:val="正文文本 字符"/>
    <w:basedOn w:val="18"/>
    <w:link w:val="7"/>
    <w:qFormat/>
    <w:uiPriority w:val="0"/>
    <w:rPr>
      <w:kern w:val="2"/>
      <w:sz w:val="21"/>
      <w:szCs w:val="24"/>
    </w:rPr>
  </w:style>
  <w:style w:type="paragraph" w:styleId="35">
    <w:name w:val="List Paragraph"/>
    <w:basedOn w:val="1"/>
    <w:qFormat/>
    <w:uiPriority w:val="34"/>
    <w:pPr>
      <w:ind w:firstLine="420" w:firstLineChars="200"/>
    </w:pPr>
    <w:rPr>
      <w:rFonts w:ascii="Times New Roman" w:hAnsi="Times New Roman"/>
      <w:szCs w:val="24"/>
    </w:rPr>
  </w:style>
  <w:style w:type="paragraph" w:customStyle="1" w:styleId="36">
    <w:name w:val="样式 宋体1"/>
    <w:basedOn w:val="1"/>
    <w:qFormat/>
    <w:uiPriority w:val="0"/>
    <w:pPr>
      <w:ind w:firstLine="420" w:firstLineChars="200"/>
      <w:jc w:val="left"/>
    </w:pPr>
    <w:rPr>
      <w:rFonts w:ascii="宋体" w:hAnsi="宋体" w:eastAsia="等线" w:cs="宋体"/>
      <w:szCs w:val="20"/>
    </w:rPr>
  </w:style>
  <w:style w:type="paragraph" w:customStyle="1" w:styleId="37">
    <w:name w:val="Normal_1"/>
    <w:qFormat/>
    <w:uiPriority w:val="0"/>
    <w:rPr>
      <w:rFonts w:ascii="Calibri" w:hAnsi="Calibri" w:eastAsia="宋体" w:cs="Times New Roman"/>
      <w:sz w:val="24"/>
      <w:szCs w:val="24"/>
      <w:lang w:val="en-US" w:eastAsia="zh-CN" w:bidi="ar-SA"/>
    </w:rPr>
  </w:style>
  <w:style w:type="character" w:customStyle="1" w:styleId="38">
    <w:name w:val="正文文本缩进 2 字符"/>
    <w:link w:val="9"/>
    <w:qFormat/>
    <w:uiPriority w:val="99"/>
    <w:rPr>
      <w:rFonts w:ascii="Calibri" w:hAnsi="Calibri"/>
      <w:sz w:val="24"/>
      <w:szCs w:val="22"/>
    </w:rPr>
  </w:style>
  <w:style w:type="paragraph" w:customStyle="1" w:styleId="39">
    <w:name w:val="01 文件标题"/>
    <w:basedOn w:val="1"/>
    <w:next w:val="1"/>
    <w:qFormat/>
    <w:uiPriority w:val="0"/>
    <w:pPr>
      <w:spacing w:line="560" w:lineRule="exact"/>
      <w:jc w:val="center"/>
    </w:pPr>
    <w:rPr>
      <w:rFonts w:ascii="方正小标宋简体" w:eastAsia="方正小标宋简体"/>
      <w:sz w:val="44"/>
    </w:rPr>
  </w:style>
  <w:style w:type="paragraph" w:customStyle="1" w:styleId="40">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1">
    <w:name w:val="04 二级标题"/>
    <w:basedOn w:val="3"/>
    <w:qFormat/>
    <w:uiPriority w:val="0"/>
    <w:pPr>
      <w:spacing w:before="0" w:after="0" w:line="560" w:lineRule="exact"/>
      <w:ind w:firstLine="200" w:firstLineChars="200"/>
    </w:pPr>
    <w:rPr>
      <w:rFonts w:ascii="楷体_GB2312" w:hAnsi="Times New Roman" w:eastAsia="楷体_GB2312"/>
      <w:b w:val="0"/>
    </w:rPr>
  </w:style>
  <w:style w:type="paragraph" w:customStyle="1" w:styleId="42">
    <w:name w:val="样式 文字 + 首行缩进:  2 字符3"/>
    <w:qFormat/>
    <w:uiPriority w:val="0"/>
    <w:pPr>
      <w:widowControl w:val="0"/>
      <w:spacing w:line="360" w:lineRule="auto"/>
    </w:pPr>
    <w:rPr>
      <w:rFonts w:ascii="Calibri" w:hAnsi="Calibri" w:eastAsia="宋体" w:cs="Times New Roman"/>
      <w:kern w:val="2"/>
      <w:sz w:val="28"/>
      <w:szCs w:val="28"/>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18</Pages>
  <Words>5207</Words>
  <Characters>5345</Characters>
  <Lines>238</Lines>
  <Paragraphs>236</Paragraphs>
  <TotalTime>6</TotalTime>
  <ScaleCrop>false</ScaleCrop>
  <LinksUpToDate>false</LinksUpToDate>
  <CharactersWithSpaces>5874</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2025-05-21T08:02:00Z</dcterms:created>
  <dc:creator>china</dc:creator>
  <cp:lastModifiedBy>zxx</cp:lastModifiedBy>
  <cp:lastPrinted>2020-08-24T02:17:00Z</cp:lastPrinted>
  <dcterms:modified xsi:type="dcterms:W3CDTF">2025-05-29T07:03:50Z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40292E957483450BAB2F45BE89F1ED32</vt:lpwstr>
  </property>
  <property fmtid="{D5CDD505-2E9C-101B-9397-08002B2CF9AE}" pid="4" name="KSOTemplateDocerSaveRecord">
    <vt:lpwstr>eyJoZGlkIjoiM2EyMzZlYThiZjYxMDA4ZGE0MTFiMGMwNGI2MDc2ZGYiLCJ1c2VySWQiOiIyODM1OTU1MzIifQ==</vt:lpwstr>
  </property>
</Properties>
</file>