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11"/>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价</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1"/>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11"/>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11"/>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11"/>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11"/>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40"/>
        <w:ind w:firstLine="320" w:firstLineChars="100"/>
        <w:jc w:val="both"/>
        <w:rPr>
          <w:rFonts w:hint="eastAsia" w:ascii="黑体" w:hAnsi="黑体" w:eastAsia="黑体"/>
          <w:kern w:val="0"/>
          <w:sz w:val="32"/>
          <w:szCs w:val="32"/>
        </w:rPr>
      </w:pPr>
      <w:r>
        <w:rPr>
          <w:rFonts w:ascii="黑体" w:hAnsi="黑体" w:eastAsia="黑体"/>
          <w:sz w:val="32"/>
          <w:szCs w:val="32"/>
        </w:rPr>
        <w:t>采购项目名称：</w:t>
      </w:r>
      <w:bookmarkStart w:id="14" w:name="_GoBack"/>
      <w:r>
        <w:rPr>
          <w:rFonts w:hint="eastAsia" w:ascii="宋体" w:hAnsi="宋体"/>
          <w:sz w:val="32"/>
          <w:szCs w:val="32"/>
          <w:u w:val="none"/>
          <w:lang w:val="en-US" w:eastAsia="zh-CN"/>
        </w:rPr>
        <w:t>网站内容安全云监测服务</w:t>
      </w:r>
      <w:bookmarkEnd w:id="14"/>
      <w:r>
        <w:rPr>
          <w:rFonts w:hint="eastAsia" w:ascii="黑体" w:hAnsi="黑体" w:eastAsia="黑体"/>
          <w:kern w:val="0"/>
          <w:sz w:val="32"/>
          <w:szCs w:val="32"/>
          <w:u w:val="none"/>
        </w:rPr>
        <w:t xml:space="preserve"> </w:t>
      </w:r>
    </w:p>
    <w:p w14:paraId="3286CA34">
      <w:pPr>
        <w:pStyle w:val="11"/>
        <w:adjustRightInd w:val="0"/>
        <w:snapToGrid w:val="0"/>
        <w:spacing w:before="156" w:beforeLines="50" w:after="156" w:afterLines="50"/>
        <w:ind w:left="2559" w:leftChars="152" w:hanging="2240" w:hangingChars="700"/>
        <w:rPr>
          <w:rFonts w:hint="eastAsia" w:ascii="黑体" w:hAnsi="黑体" w:eastAsia="黑体"/>
          <w:sz w:val="32"/>
          <w:szCs w:val="32"/>
        </w:rPr>
      </w:pPr>
    </w:p>
    <w:p w14:paraId="6B5B6E03">
      <w:pPr>
        <w:pStyle w:val="11"/>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1"/>
        <w:adjustRightInd w:val="0"/>
        <w:snapToGrid w:val="0"/>
        <w:spacing w:line="440" w:lineRule="exact"/>
        <w:jc w:val="center"/>
        <w:rPr>
          <w:rFonts w:hint="eastAsia" w:ascii="黑体" w:hAnsi="黑体" w:eastAsia="黑体"/>
          <w:b/>
          <w:sz w:val="32"/>
        </w:rPr>
      </w:pPr>
    </w:p>
    <w:p w14:paraId="12277452">
      <w:pPr>
        <w:pStyle w:val="11"/>
        <w:adjustRightInd w:val="0"/>
        <w:snapToGrid w:val="0"/>
        <w:spacing w:line="440" w:lineRule="exact"/>
        <w:jc w:val="center"/>
        <w:rPr>
          <w:rFonts w:hint="eastAsia" w:ascii="黑体" w:hAnsi="黑体" w:eastAsia="黑体"/>
          <w:b/>
          <w:sz w:val="32"/>
        </w:rPr>
      </w:pPr>
    </w:p>
    <w:p w14:paraId="263E19F8">
      <w:pPr>
        <w:pStyle w:val="11"/>
        <w:adjustRightInd w:val="0"/>
        <w:snapToGrid w:val="0"/>
        <w:spacing w:line="440" w:lineRule="exact"/>
        <w:jc w:val="center"/>
        <w:rPr>
          <w:rFonts w:hint="eastAsia" w:ascii="黑体" w:hAnsi="黑体" w:eastAsia="黑体"/>
          <w:b/>
          <w:sz w:val="32"/>
        </w:rPr>
      </w:pPr>
    </w:p>
    <w:p w14:paraId="00E611DA">
      <w:pPr>
        <w:pStyle w:val="11"/>
        <w:adjustRightInd w:val="0"/>
        <w:snapToGrid w:val="0"/>
        <w:spacing w:line="440" w:lineRule="exact"/>
        <w:jc w:val="center"/>
        <w:rPr>
          <w:rFonts w:hint="eastAsia" w:ascii="黑体" w:hAnsi="黑体" w:eastAsia="黑体"/>
          <w:b/>
          <w:sz w:val="32"/>
        </w:rPr>
      </w:pPr>
    </w:p>
    <w:p w14:paraId="5BD02E6F">
      <w:pPr>
        <w:pStyle w:val="11"/>
        <w:adjustRightInd w:val="0"/>
        <w:snapToGrid w:val="0"/>
        <w:spacing w:line="440" w:lineRule="exact"/>
        <w:jc w:val="center"/>
        <w:rPr>
          <w:rFonts w:hint="eastAsia" w:ascii="黑体" w:hAnsi="黑体" w:eastAsia="黑体"/>
          <w:b/>
          <w:sz w:val="32"/>
        </w:rPr>
      </w:pPr>
    </w:p>
    <w:p w14:paraId="51D3F09C">
      <w:pPr>
        <w:pStyle w:val="11"/>
        <w:adjustRightInd w:val="0"/>
        <w:snapToGrid w:val="0"/>
        <w:spacing w:line="440" w:lineRule="exact"/>
        <w:jc w:val="center"/>
        <w:rPr>
          <w:rFonts w:hint="eastAsia" w:ascii="黑体" w:hAnsi="黑体" w:eastAsia="黑体"/>
          <w:b/>
          <w:sz w:val="32"/>
        </w:rPr>
      </w:pPr>
    </w:p>
    <w:p w14:paraId="33437265">
      <w:pPr>
        <w:pStyle w:val="11"/>
        <w:adjustRightInd w:val="0"/>
        <w:snapToGrid w:val="0"/>
        <w:spacing w:line="440" w:lineRule="exact"/>
        <w:jc w:val="center"/>
        <w:rPr>
          <w:rFonts w:hint="eastAsia" w:ascii="黑体" w:hAnsi="黑体" w:eastAsia="黑体"/>
          <w:b/>
          <w:sz w:val="32"/>
        </w:rPr>
      </w:pPr>
    </w:p>
    <w:p w14:paraId="646F9A24">
      <w:pPr>
        <w:pStyle w:val="11"/>
        <w:adjustRightInd w:val="0"/>
        <w:snapToGrid w:val="0"/>
        <w:spacing w:line="440" w:lineRule="exact"/>
        <w:jc w:val="center"/>
        <w:rPr>
          <w:rFonts w:hint="eastAsia" w:ascii="黑体" w:hAnsi="黑体" w:eastAsia="黑体"/>
          <w:b/>
          <w:sz w:val="32"/>
        </w:rPr>
      </w:pPr>
    </w:p>
    <w:p w14:paraId="3BDBB089">
      <w:pPr>
        <w:pStyle w:val="11"/>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二0二五</w:t>
      </w:r>
      <w:r>
        <w:rPr>
          <w:rFonts w:ascii="黑体" w:hAnsi="黑体" w:eastAsia="黑体"/>
          <w:sz w:val="32"/>
          <w:szCs w:val="32"/>
        </w:rPr>
        <w:t>年</w:t>
      </w:r>
      <w:r>
        <w:rPr>
          <w:rFonts w:hint="eastAsia" w:ascii="黑体" w:hAnsi="黑体" w:eastAsia="黑体"/>
          <w:sz w:val="32"/>
          <w:szCs w:val="32"/>
          <w:lang w:val="en-US" w:eastAsia="zh-CN"/>
        </w:rPr>
        <w:t>十二</w:t>
      </w:r>
      <w:r>
        <w:rPr>
          <w:rFonts w:ascii="黑体" w:hAnsi="黑体" w:eastAsia="黑体"/>
          <w:sz w:val="32"/>
          <w:szCs w:val="32"/>
        </w:rPr>
        <w:t>月</w:t>
      </w:r>
    </w:p>
    <w:p w14:paraId="3FD890A2">
      <w:pPr>
        <w:pStyle w:val="16"/>
      </w:pPr>
    </w:p>
    <w:p w14:paraId="40E4DFFA">
      <w:pPr>
        <w:pStyle w:val="16"/>
        <w:rPr>
          <w:szCs w:val="22"/>
        </w:rPr>
      </w:pPr>
    </w:p>
    <w:p w14:paraId="45E22DD2">
      <w:pPr>
        <w:jc w:val="center"/>
        <w:outlineLvl w:val="0"/>
        <w:rPr>
          <w:rFonts w:hint="eastAsia" w:ascii="黑体" w:hAnsi="黑体" w:eastAsia="黑体" w:cs="Times New Roman"/>
          <w:b/>
          <w:sz w:val="36"/>
          <w:szCs w:val="36"/>
          <w:lang w:val="en-US" w:eastAsia="zh-CN"/>
        </w:rPr>
      </w:pPr>
      <w:r>
        <w:rPr>
          <w:rFonts w:hint="eastAsia" w:ascii="黑体" w:hAnsi="黑体" w:eastAsia="黑体" w:cs="Times New Roman"/>
          <w:b/>
          <w:sz w:val="36"/>
          <w:szCs w:val="36"/>
          <w:lang w:val="en-US" w:eastAsia="zh-CN"/>
        </w:rPr>
        <w:t>湖南铁道职业技术学院</w:t>
      </w:r>
    </w:p>
    <w:p w14:paraId="6EAB8857">
      <w:pPr>
        <w:jc w:val="center"/>
        <w:outlineLvl w:val="0"/>
        <w:rPr>
          <w:rFonts w:hint="eastAsia" w:ascii="黑体" w:hAnsi="黑体" w:eastAsia="黑体" w:cs="Times New Roman"/>
          <w:b/>
          <w:sz w:val="36"/>
          <w:szCs w:val="36"/>
          <w:lang w:val="en-US" w:eastAsia="zh-CN"/>
        </w:rPr>
      </w:pPr>
      <w:r>
        <w:rPr>
          <w:rFonts w:hint="eastAsia" w:ascii="黑体" w:hAnsi="黑体" w:eastAsia="黑体" w:cs="Times New Roman"/>
          <w:b/>
          <w:sz w:val="36"/>
          <w:szCs w:val="36"/>
          <w:lang w:val="en-US" w:eastAsia="zh-CN"/>
        </w:rPr>
        <w:t>网站内容安全云监测服务项目询价采购公告</w:t>
      </w:r>
    </w:p>
    <w:p w14:paraId="0FA957A0">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湖南铁道职业技术学</w:t>
      </w:r>
      <w:r>
        <w:rPr>
          <w:rFonts w:ascii="仿宋" w:hAnsi="仿宋" w:eastAsia="仿宋"/>
          <w:sz w:val="24"/>
          <w:szCs w:val="24"/>
          <w:u w:val="none"/>
        </w:rPr>
        <w:t>院</w:t>
      </w:r>
      <w:r>
        <w:rPr>
          <w:rFonts w:hint="eastAsia" w:ascii="仿宋" w:hAnsi="仿宋" w:eastAsia="仿宋" w:cs="Times New Roman"/>
          <w:sz w:val="24"/>
          <w:szCs w:val="24"/>
          <w:u w:val="none"/>
          <w:lang w:val="en-US" w:eastAsia="zh-CN"/>
        </w:rPr>
        <w:t>网站内容安全云监测服务</w:t>
      </w:r>
      <w:r>
        <w:rPr>
          <w:rFonts w:hint="eastAsia" w:ascii="仿宋" w:hAnsi="仿宋" w:eastAsia="仿宋"/>
          <w:sz w:val="24"/>
          <w:szCs w:val="24"/>
          <w:u w:val="none"/>
        </w:rPr>
        <w:t>项目</w:t>
      </w:r>
      <w:r>
        <w:rPr>
          <w:rFonts w:hint="eastAsia" w:ascii="仿宋" w:hAnsi="仿宋" w:eastAsia="仿宋"/>
          <w:sz w:val="24"/>
          <w:szCs w:val="24"/>
        </w:rPr>
        <w:t>需进行采购，现采用发布公告方式，邀请符合资格条件的供应商参与采购活动。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17794_WPSOffice_Level2"/>
      <w:bookmarkStart w:id="1" w:name="_Toc31662_WPSOffice_Level2"/>
      <w:bookmarkStart w:id="2" w:name="_Toc26475"/>
      <w:bookmarkStart w:id="3" w:name="_Toc4659"/>
      <w:bookmarkStart w:id="4" w:name="_Toc3564"/>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EF1E5F4">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1.项目名称：</w:t>
      </w:r>
      <w:r>
        <w:rPr>
          <w:rFonts w:hint="eastAsia" w:ascii="仿宋" w:hAnsi="仿宋" w:eastAsia="仿宋" w:cs="Times New Roman"/>
          <w:sz w:val="24"/>
          <w:szCs w:val="24"/>
          <w:u w:val="none"/>
          <w:lang w:val="en-US" w:eastAsia="zh-CN"/>
        </w:rPr>
        <w:t>网站内容安全云监测服务</w:t>
      </w:r>
    </w:p>
    <w:p w14:paraId="336EBEA4">
      <w:pPr>
        <w:keepNext w:val="0"/>
        <w:keepLines w:val="0"/>
        <w:pageBreakBefore w:val="0"/>
        <w:widowControl w:val="0"/>
        <w:kinsoku/>
        <w:wordWrap/>
        <w:overflowPunct/>
        <w:topLinePunct w:val="0"/>
        <w:autoSpaceDE/>
        <w:autoSpaceDN/>
        <w:bidi w:val="0"/>
        <w:adjustRightInd/>
        <w:snapToGrid/>
        <w:spacing w:before="156" w:beforeLines="50" w:line="440" w:lineRule="exact"/>
        <w:ind w:firstLine="480" w:firstLineChars="200"/>
        <w:textAlignment w:val="auto"/>
        <w:rPr>
          <w:rFonts w:hint="eastAsia" w:ascii="仿宋" w:hAnsi="仿宋" w:eastAsia="仿宋"/>
          <w:sz w:val="24"/>
          <w:szCs w:val="24"/>
          <w:u w:val="single"/>
        </w:rPr>
      </w:pPr>
      <w:r>
        <w:rPr>
          <w:rFonts w:hint="eastAsia" w:ascii="仿宋" w:hAnsi="仿宋" w:eastAsia="仿宋"/>
          <w:sz w:val="24"/>
          <w:szCs w:val="24"/>
        </w:rPr>
        <w:t>2.项目概况:</w:t>
      </w:r>
      <w:r>
        <w:rPr>
          <w:rFonts w:hint="eastAsia" w:ascii="仿宋" w:hAnsi="仿宋" w:eastAsia="仿宋" w:cs="Times New Roman"/>
          <w:kern w:val="2"/>
          <w:sz w:val="24"/>
          <w:szCs w:val="24"/>
          <w:u w:val="none"/>
          <w:lang w:val="en-US" w:eastAsia="zh-CN" w:bidi="ar-SA"/>
        </w:rPr>
        <w:t>网站安全监控平台是专门解决全校网站内容安全的业务系统，提供全生命周期、持续性、多维度监测的新一代云监测，提供大数据管理平台，为管理人员提供业务系统漏洞监测、可用性监测、SSL安全监测、安全事件监测、内容合规监测和资产发现等多项监测能力，帮助管理者全面掌握业务系统风险态势。</w:t>
      </w:r>
    </w:p>
    <w:p w14:paraId="5C22F67D">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3.服务内容：</w:t>
      </w:r>
    </w:p>
    <w:p w14:paraId="709694A3">
      <w:pPr>
        <w:keepNext w:val="0"/>
        <w:keepLines w:val="0"/>
        <w:pageBreakBefore w:val="0"/>
        <w:widowControl w:val="0"/>
        <w:kinsoku/>
        <w:wordWrap/>
        <w:overflowPunct/>
        <w:topLinePunct w:val="0"/>
        <w:autoSpaceDE/>
        <w:autoSpaceDN/>
        <w:bidi w:val="0"/>
        <w:adjustRightInd/>
        <w:snapToGrid/>
        <w:spacing w:before="156" w:beforeLines="50" w:line="440" w:lineRule="exact"/>
        <w:ind w:firstLine="480" w:firstLineChars="200"/>
        <w:textAlignment w:val="auto"/>
        <w:rPr>
          <w:rFonts w:hint="eastAsia" w:ascii="仿宋" w:hAnsi="仿宋" w:eastAsia="仿宋" w:cs="Times New Roman"/>
          <w:kern w:val="2"/>
          <w:sz w:val="24"/>
          <w:szCs w:val="24"/>
          <w:u w:val="none"/>
          <w:lang w:val="en-US" w:eastAsia="zh-CN" w:bidi="ar-SA"/>
        </w:rPr>
      </w:pPr>
      <w:r>
        <w:rPr>
          <w:rFonts w:hint="eastAsia" w:ascii="仿宋" w:hAnsi="仿宋" w:eastAsia="仿宋" w:cs="Times New Roman"/>
          <w:kern w:val="2"/>
          <w:sz w:val="24"/>
          <w:szCs w:val="24"/>
          <w:u w:val="none"/>
          <w:lang w:val="en-US" w:eastAsia="zh-CN" w:bidi="ar-SA"/>
        </w:rPr>
        <w:t>1、7×24小时产品技术支持，支持形式为：服务热线、网络咨询、远程协助以及必要的现场支持。</w:t>
      </w:r>
    </w:p>
    <w:p w14:paraId="3440878D">
      <w:pPr>
        <w:keepNext w:val="0"/>
        <w:keepLines w:val="0"/>
        <w:pageBreakBefore w:val="0"/>
        <w:widowControl w:val="0"/>
        <w:kinsoku/>
        <w:wordWrap/>
        <w:overflowPunct/>
        <w:topLinePunct w:val="0"/>
        <w:autoSpaceDE/>
        <w:autoSpaceDN/>
        <w:bidi w:val="0"/>
        <w:adjustRightInd/>
        <w:snapToGrid/>
        <w:spacing w:before="156" w:beforeLines="50" w:line="440" w:lineRule="exact"/>
        <w:ind w:firstLine="480" w:firstLineChars="200"/>
        <w:textAlignment w:val="auto"/>
        <w:rPr>
          <w:rFonts w:hint="eastAsia" w:ascii="仿宋" w:hAnsi="仿宋" w:eastAsia="仿宋" w:cs="Times New Roman"/>
          <w:kern w:val="2"/>
          <w:sz w:val="24"/>
          <w:szCs w:val="24"/>
          <w:u w:val="none"/>
          <w:lang w:val="en-US" w:eastAsia="zh-CN" w:bidi="ar-SA"/>
        </w:rPr>
      </w:pPr>
      <w:r>
        <w:rPr>
          <w:rFonts w:hint="eastAsia" w:ascii="仿宋" w:hAnsi="仿宋" w:eastAsia="仿宋" w:cs="Times New Roman"/>
          <w:kern w:val="2"/>
          <w:sz w:val="24"/>
          <w:szCs w:val="24"/>
          <w:u w:val="none"/>
          <w:lang w:val="en-US" w:eastAsia="zh-CN" w:bidi="ar-SA"/>
        </w:rPr>
        <w:t>2、服务内容列表：</w:t>
      </w:r>
    </w:p>
    <w:tbl>
      <w:tblPr>
        <w:tblStyle w:val="17"/>
        <w:tblW w:w="842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01"/>
        <w:gridCol w:w="6428"/>
      </w:tblGrid>
      <w:tr w14:paraId="1DDDE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0CC07832">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服务模块</w:t>
            </w:r>
          </w:p>
        </w:tc>
        <w:tc>
          <w:tcPr>
            <w:tcW w:w="6428" w:type="dxa"/>
            <w:tcBorders>
              <w:top w:val="single" w:color="000000" w:sz="4" w:space="0"/>
              <w:left w:val="single" w:color="000000" w:sz="4" w:space="0"/>
              <w:bottom w:val="single" w:color="000000" w:sz="4" w:space="0"/>
              <w:right w:val="single" w:color="000000" w:sz="4" w:space="0"/>
            </w:tcBorders>
            <w:noWrap/>
            <w:vAlign w:val="center"/>
          </w:tcPr>
          <w:p w14:paraId="7494C0F6">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服务详情</w:t>
            </w:r>
          </w:p>
        </w:tc>
      </w:tr>
      <w:tr w14:paraId="6F693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5"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30F48842">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Web漏洞监测</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4C3FCA07">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覆盖主要web漏洞插件、主要Web 漏洞，包含SQL 注入、跨站脚本攻击（XSS）、跨站请求伪造（CSRF）、文件上传等常见漏洞。</w:t>
            </w:r>
          </w:p>
        </w:tc>
      </w:tr>
      <w:tr w14:paraId="324CD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0C6073E3">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SSL安全监测</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204A169E">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支持SSL协议漏洞监测，包括常见心脏出血漏洞、BEAST漏洞和POODLE漏洞等；支持SSL证书配置监测，包括证书到期、证书吊销、证书域名不符等监测。</w:t>
            </w:r>
          </w:p>
        </w:tc>
      </w:tr>
      <w:tr w14:paraId="4BDB5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18A64276">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安全事件监测</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21F548DF">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对被监测目标进行页面智能分析被黑监测，提供全面的业务系统安全事件发现，包括暗链、挂马、挖矿、坏链、风险外链等事件。</w:t>
            </w:r>
          </w:p>
        </w:tc>
      </w:tr>
      <w:tr w14:paraId="054B5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5A488056">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资产变动监测</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70541B2F">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支持监测目标关联子域名及端口服务上下线等变动信息。</w:t>
            </w:r>
          </w:p>
        </w:tc>
      </w:tr>
      <w:tr w14:paraId="31984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0"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2522DD94">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内容合规监测</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4382B7D4">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包含主要风险敏感词，涉及暴恐、涉黄、涉政、反动、博彩、民生、政治、其他等8类词库，全面监测业务系统资产是否存在违规风险信息，并支持手机号、银行卡号、邮箱号、身份证号等隐私检测，帮助客户实时掌握业务系统内容风险动态。</w:t>
            </w:r>
          </w:p>
        </w:tc>
      </w:tr>
      <w:tr w14:paraId="6B44A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0"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18BC1344">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可用性监测</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074BF4E0">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监测节点覆盖全国，支持HTTP监测、Ping监测、页面响应监测、源站监测、状态码监测、可用性异常/恢复告警等功能，7*24小时高频持续监测。</w:t>
            </w:r>
          </w:p>
        </w:tc>
      </w:tr>
      <w:tr w14:paraId="3CB20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3A626DF4">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可视化数据报表</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10211EF8">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可视化展示Web漏洞威胁趋势图、威胁TOP 10 、威胁详情（具体风险地址，风险类型，风险状态）等监测数据。</w:t>
            </w:r>
          </w:p>
        </w:tc>
      </w:tr>
      <w:tr w14:paraId="5C6DD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70DA1D30">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安全报告</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3F6775BC">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提供离线监测数据报告，可自定义下载最近180天内任意时间范围报告，支持Word类型。</w:t>
            </w:r>
          </w:p>
        </w:tc>
      </w:tr>
      <w:tr w14:paraId="0ED4F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333E3CAF">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告警中心</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0CAB53F2">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全面记录各类威胁告警信息，统计总告警次数、今日告警次数及今日告警TOP 1 资产等，并支持自定义配置告警组、告警接收人等信息。</w:t>
            </w:r>
          </w:p>
        </w:tc>
      </w:tr>
      <w:tr w14:paraId="67FCD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793A5028">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周期性监测任务</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03B8FB45">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系统默认周期性任务，根据设置的监测频率下发Web漏洞、SSL安全、安全事件、内容合规、资产变动、可用性监测周期性任务。</w:t>
            </w:r>
          </w:p>
        </w:tc>
      </w:tr>
      <w:tr w14:paraId="27DCC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2CAF903E">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自定义单次监测次数</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7666975C">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支持自定义主动下发单次监测任务，可下发Web漏洞任务或SSL安全任务或安全事件任务或内容合规任务或资产变动任务。</w:t>
            </w:r>
          </w:p>
        </w:tc>
      </w:tr>
      <w:tr w14:paraId="69C53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2A538007">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多种扫描方式</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3EA4ACD6">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支持周期性全量爬取扫描、无感增量爬取扫描以及基于网站业务画像的增量扫描。</w:t>
            </w:r>
          </w:p>
        </w:tc>
      </w:tr>
      <w:tr w14:paraId="5DA58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449C6763">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Web漏洞监测策略</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7C25529A">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Web漏洞监测最高频率：至少每周一次，自定义单次任务数：至少5次/月，每月一号重置</w:t>
            </w:r>
          </w:p>
        </w:tc>
      </w:tr>
      <w:tr w14:paraId="0B004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15B63481">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SSL安全监测策略</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2299386C">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SSL安全监测最高频率：至少每周一次，自定义单次任务数：至少5次/月，每月一号重置</w:t>
            </w:r>
          </w:p>
        </w:tc>
      </w:tr>
      <w:tr w14:paraId="7B7B6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0FE0289D">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安全事件监测策略</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68D1D85F">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安全事件监测最高频率：至少每天一次，自定义单次任务数：至少5次/月，每月一号重置</w:t>
            </w:r>
          </w:p>
        </w:tc>
      </w:tr>
      <w:tr w14:paraId="4A013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077088EB">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内容合规监测策略</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43864632">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内容安全监测最高频率：至少每天一次，自定义单次任务数：至少5次/月，每月一号重置</w:t>
            </w:r>
          </w:p>
        </w:tc>
      </w:tr>
      <w:tr w14:paraId="175B1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111E5F13">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资产变动监测策略</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2A641613">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资产变动监测最高频率：至少每天一次，自定义单次任务数：至少5次/月，每月一号重置</w:t>
            </w:r>
          </w:p>
        </w:tc>
      </w:tr>
      <w:tr w14:paraId="77B5B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46DBC9CE">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可用性监测策略</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53594D24">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HTTP任务数：至少20个，Ping任务数：至少5个；同时监测节点数：至少5个 ；监测最高频率：至多5分钟</w:t>
            </w:r>
          </w:p>
        </w:tc>
      </w:tr>
      <w:tr w14:paraId="1A744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0"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5CCDFBE9">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扫描URL数</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06DAB4F1">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Web漏洞监测、安全事件监测需爬取相应的页面，根据参数不同算多个URL，扫描URL数量总数=《150万条/月，每月一号重置。</w:t>
            </w:r>
          </w:p>
        </w:tc>
      </w:tr>
      <w:tr w14:paraId="647CF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0"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2006CD86">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告警设置</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43FE5478">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设置告警信息接收组及接收人，告警组：至少3个 ； 告警接收人：至少5人； 短信：至少500条/月，每月一号重置；邮件：至少1000封/月，每月一号重置；微信：不限/月</w:t>
            </w:r>
          </w:p>
        </w:tc>
      </w:tr>
      <w:tr w14:paraId="5A0B3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2001" w:type="dxa"/>
            <w:tcBorders>
              <w:top w:val="single" w:color="000000" w:sz="4" w:space="0"/>
              <w:left w:val="single" w:color="000000" w:sz="4" w:space="0"/>
              <w:bottom w:val="single" w:color="auto" w:sz="4" w:space="0"/>
              <w:right w:val="single" w:color="000000" w:sz="4" w:space="0"/>
            </w:tcBorders>
            <w:noWrap/>
            <w:vAlign w:val="center"/>
          </w:tcPr>
          <w:p w14:paraId="55E0A3B7">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告警数据存储</w:t>
            </w:r>
          </w:p>
        </w:tc>
        <w:tc>
          <w:tcPr>
            <w:tcW w:w="6428" w:type="dxa"/>
            <w:tcBorders>
              <w:top w:val="single" w:color="000000" w:sz="4" w:space="0"/>
              <w:left w:val="single" w:color="000000" w:sz="4" w:space="0"/>
              <w:bottom w:val="single" w:color="auto" w:sz="4" w:space="0"/>
              <w:right w:val="single" w:color="000000" w:sz="4" w:space="0"/>
            </w:tcBorders>
            <w:noWrap w:val="0"/>
            <w:vAlign w:val="center"/>
          </w:tcPr>
          <w:p w14:paraId="03E4FDB8">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可用性历史数据存储：至少60天；安全历史数据存储：至少180天；</w:t>
            </w:r>
          </w:p>
        </w:tc>
      </w:tr>
      <w:tr w14:paraId="0681B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3" w:hRule="atLeast"/>
        </w:trPr>
        <w:tc>
          <w:tcPr>
            <w:tcW w:w="2001" w:type="dxa"/>
            <w:tcBorders>
              <w:top w:val="single" w:color="auto" w:sz="4" w:space="0"/>
              <w:left w:val="single" w:color="auto" w:sz="4" w:space="0"/>
              <w:bottom w:val="single" w:color="auto" w:sz="4" w:space="0"/>
              <w:right w:val="single" w:color="auto" w:sz="4" w:space="0"/>
            </w:tcBorders>
            <w:noWrap w:val="0"/>
            <w:vAlign w:val="center"/>
          </w:tcPr>
          <w:p w14:paraId="679A3312">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基础服务</w:t>
            </w:r>
          </w:p>
        </w:tc>
        <w:tc>
          <w:tcPr>
            <w:tcW w:w="6428" w:type="dxa"/>
            <w:tcBorders>
              <w:top w:val="single" w:color="auto" w:sz="4" w:space="0"/>
              <w:left w:val="single" w:color="auto" w:sz="4" w:space="0"/>
              <w:bottom w:val="single" w:color="auto" w:sz="4" w:space="0"/>
              <w:right w:val="single" w:color="auto" w:sz="4" w:space="0"/>
            </w:tcBorders>
            <w:noWrap w:val="0"/>
            <w:vAlign w:val="center"/>
          </w:tcPr>
          <w:p w14:paraId="2512D7EA">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提供部云署服务，构建云端服务的方式将在线预检能力，无需二次登录，检测方便快捷，提供数据云存储，提供服务对象网站接入，网站扫描参数配合以及优化。</w:t>
            </w:r>
          </w:p>
        </w:tc>
      </w:tr>
    </w:tbl>
    <w:p w14:paraId="1C7549CC">
      <w:pPr>
        <w:adjustRightInd w:val="0"/>
        <w:snapToGrid w:val="0"/>
        <w:spacing w:line="400" w:lineRule="exact"/>
        <w:jc w:val="center"/>
        <w:rPr>
          <w:rFonts w:hint="eastAsia" w:ascii="仿宋" w:hAnsi="仿宋" w:eastAsia="仿宋" w:cs="仿宋"/>
          <w:color w:val="333333"/>
          <w:kern w:val="0"/>
          <w:sz w:val="24"/>
          <w:szCs w:val="24"/>
          <w:lang w:val="en-US" w:eastAsia="zh-CN" w:bidi="ar-SA"/>
        </w:rPr>
      </w:pPr>
    </w:p>
    <w:p w14:paraId="71947C1A">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4</w:t>
      </w:r>
      <w:r>
        <w:rPr>
          <w:rFonts w:hint="eastAsia" w:ascii="仿宋" w:hAnsi="仿宋" w:eastAsia="仿宋"/>
          <w:sz w:val="24"/>
          <w:szCs w:val="24"/>
        </w:rPr>
        <w:t>.采购预算：</w:t>
      </w:r>
      <w:r>
        <w:rPr>
          <w:rFonts w:hint="eastAsia" w:ascii="仿宋" w:hAnsi="仿宋" w:eastAsia="仿宋"/>
          <w:sz w:val="24"/>
          <w:szCs w:val="24"/>
          <w:u w:val="none"/>
          <w:lang w:val="en-US" w:eastAsia="zh-CN"/>
        </w:rPr>
        <w:t>6.8</w:t>
      </w:r>
      <w:r>
        <w:rPr>
          <w:rFonts w:hint="eastAsia" w:ascii="仿宋" w:hAnsi="仿宋" w:eastAsia="仿宋"/>
          <w:sz w:val="24"/>
          <w:szCs w:val="24"/>
          <w:u w:val="none"/>
        </w:rPr>
        <w:t>万元。</w:t>
      </w:r>
    </w:p>
    <w:p w14:paraId="453272DD">
      <w:pPr>
        <w:pStyle w:val="16"/>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779CCA57">
      <w:pPr>
        <w:numPr>
          <w:numId w:val="0"/>
        </w:numPr>
        <w:spacing w:before="156" w:beforeLines="50" w:line="360" w:lineRule="auto"/>
        <w:ind w:firstLine="480" w:firstLineChars="200"/>
        <w:rPr>
          <w:rFonts w:hint="eastAsia" w:ascii="仿宋" w:hAnsi="仿宋" w:eastAsia="仿宋" w:cs="Times New Roman"/>
          <w:kern w:val="2"/>
          <w:sz w:val="24"/>
          <w:szCs w:val="24"/>
          <w:lang w:val="en-US" w:eastAsia="zh-CN" w:bidi="ar-SA"/>
        </w:rPr>
      </w:pPr>
      <w:bookmarkStart w:id="5" w:name="_Toc58335831"/>
      <w:bookmarkStart w:id="6" w:name="_Hlk186730266"/>
      <w:r>
        <w:rPr>
          <w:rFonts w:hint="eastAsia" w:ascii="仿宋" w:hAnsi="仿宋" w:eastAsia="仿宋" w:cs="Times New Roman"/>
          <w:kern w:val="2"/>
          <w:sz w:val="24"/>
          <w:szCs w:val="24"/>
          <w:lang w:val="en-US" w:eastAsia="zh-CN" w:bidi="ar-SA"/>
        </w:rPr>
        <w:t>1、基本资格条件：供应商必须是在中华人民共和国境内注册登记的法人、其他组织或者自然人，且应当符合下列规定，即：</w:t>
      </w:r>
    </w:p>
    <w:p w14:paraId="41745023">
      <w:pPr>
        <w:numPr>
          <w:ilvl w:val="0"/>
          <w:numId w:val="0"/>
        </w:numPr>
        <w:spacing w:before="156" w:beforeLines="50" w:line="360" w:lineRule="auto"/>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（1）具有独立承担民事责任的能力；</w:t>
      </w:r>
    </w:p>
    <w:p w14:paraId="11F2C1EE">
      <w:pPr>
        <w:spacing w:line="360" w:lineRule="auto"/>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（2）具有良好的商业信誉和健全的财务会计制度；</w:t>
      </w:r>
    </w:p>
    <w:p w14:paraId="57D48CD1">
      <w:pPr>
        <w:spacing w:line="360" w:lineRule="auto"/>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（3）具有履行合同所必需的设备和专业技术能力；</w:t>
      </w:r>
    </w:p>
    <w:p w14:paraId="526D46B3">
      <w:pPr>
        <w:spacing w:line="360" w:lineRule="auto"/>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（4）有依法缴纳税收的良好记录；</w:t>
      </w:r>
    </w:p>
    <w:p w14:paraId="7619AE03">
      <w:pPr>
        <w:spacing w:line="360" w:lineRule="auto"/>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（5）参加采购活动前三年内，在经营活动中没有重大违法记录；</w:t>
      </w:r>
    </w:p>
    <w:p w14:paraId="3E8370C6">
      <w:pPr>
        <w:spacing w:line="360" w:lineRule="auto"/>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（6）法律、行政法规规定的其他条件。</w:t>
      </w:r>
    </w:p>
    <w:p w14:paraId="06C36174">
      <w:pPr>
        <w:numPr>
          <w:ilvl w:val="0"/>
          <w:numId w:val="0"/>
        </w:numPr>
        <w:spacing w:before="156" w:beforeLines="50" w:line="360" w:lineRule="auto"/>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（7）被“信用中国”网站(www.creditchina.gov.cn)列入失信被执行人和重大税收违 法案件当事人名单的、被“ 中国政府采购网 ”网站(www.ccgp.gov.cn)列入政府采购严重违法失信行为记录名单(处罚期限尚未届</w:t>
      </w:r>
      <w:r>
        <w:rPr>
          <w:rFonts w:hint="eastAsia" w:ascii="仿宋" w:hAnsi="仿宋" w:eastAsia="仿宋" w:cs="Times New Roman"/>
          <w:kern w:val="2"/>
          <w:sz w:val="24"/>
          <w:szCs w:val="24"/>
          <w:lang w:val="en-US" w:eastAsia="zh-CN" w:bidi="ar-SA"/>
        </w:rPr>
        <w:t>满的)的供应商，不得参与本项目的政府采购活动。</w:t>
      </w:r>
    </w:p>
    <w:p w14:paraId="3B3CCB9D">
      <w:pPr>
        <w:numPr>
          <w:ilvl w:val="0"/>
          <w:numId w:val="0"/>
        </w:numPr>
        <w:spacing w:before="156" w:beforeLines="50" w:line="360" w:lineRule="auto"/>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（8）本项目不接受联合体投标。</w:t>
      </w:r>
    </w:p>
    <w:p w14:paraId="773A98C1">
      <w:pPr>
        <w:pStyle w:val="16"/>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三、响应文件提交的截止时间、开启时间及地点</w:t>
      </w:r>
      <w:bookmarkEnd w:id="5"/>
    </w:p>
    <w:p w14:paraId="054E6273">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1．首次响应文件的提交截止时间：2025年</w:t>
      </w:r>
      <w:r>
        <w:rPr>
          <w:rFonts w:hint="eastAsia" w:ascii="仿宋" w:hAnsi="仿宋" w:eastAsia="仿宋"/>
          <w:sz w:val="24"/>
          <w:szCs w:val="24"/>
          <w:lang w:val="en-US" w:eastAsia="zh-CN"/>
        </w:rPr>
        <w:t>12</w:t>
      </w:r>
      <w:r>
        <w:rPr>
          <w:rFonts w:hint="eastAsia" w:ascii="仿宋" w:hAnsi="仿宋" w:eastAsia="仿宋"/>
          <w:sz w:val="24"/>
          <w:szCs w:val="24"/>
        </w:rPr>
        <w:t>月</w:t>
      </w:r>
      <w:r>
        <w:rPr>
          <w:rFonts w:hint="eastAsia" w:ascii="仿宋" w:hAnsi="仿宋" w:eastAsia="仿宋"/>
          <w:sz w:val="24"/>
          <w:szCs w:val="24"/>
          <w:lang w:val="en-US" w:eastAsia="zh-CN"/>
        </w:rPr>
        <w:t>16</w:t>
      </w:r>
      <w:r>
        <w:rPr>
          <w:rFonts w:hint="eastAsia" w:ascii="仿宋" w:hAnsi="仿宋" w:eastAsia="仿宋"/>
          <w:sz w:val="24"/>
          <w:szCs w:val="24"/>
        </w:rPr>
        <w:t>日</w:t>
      </w:r>
      <w:r>
        <w:rPr>
          <w:rFonts w:hint="eastAsia" w:ascii="仿宋" w:hAnsi="仿宋" w:eastAsia="仿宋"/>
          <w:sz w:val="24"/>
          <w:szCs w:val="24"/>
          <w:lang w:val="en-US" w:eastAsia="zh-CN"/>
        </w:rPr>
        <w:t>9</w:t>
      </w:r>
      <w:r>
        <w:rPr>
          <w:rFonts w:hint="eastAsia" w:ascii="仿宋" w:hAnsi="仿宋" w:eastAsia="仿宋"/>
          <w:sz w:val="24"/>
          <w:szCs w:val="24"/>
        </w:rPr>
        <w:t>时</w:t>
      </w:r>
      <w:r>
        <w:rPr>
          <w:rFonts w:hint="eastAsia" w:ascii="仿宋" w:hAnsi="仿宋" w:eastAsia="仿宋"/>
          <w:sz w:val="24"/>
          <w:szCs w:val="24"/>
          <w:lang w:val="en-US" w:eastAsia="zh-CN"/>
        </w:rPr>
        <w:t>30分</w:t>
      </w:r>
    </w:p>
    <w:p w14:paraId="5FCFB0A5">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2．首次响应文件的开启时间：2025年</w:t>
      </w:r>
      <w:r>
        <w:rPr>
          <w:rFonts w:hint="eastAsia" w:ascii="仿宋" w:hAnsi="仿宋" w:eastAsia="仿宋"/>
          <w:sz w:val="24"/>
          <w:szCs w:val="24"/>
          <w:lang w:val="en-US" w:eastAsia="zh-CN"/>
        </w:rPr>
        <w:t>12</w:t>
      </w:r>
      <w:r>
        <w:rPr>
          <w:rFonts w:hint="eastAsia" w:ascii="仿宋" w:hAnsi="仿宋" w:eastAsia="仿宋"/>
          <w:sz w:val="24"/>
          <w:szCs w:val="24"/>
        </w:rPr>
        <w:t>月</w:t>
      </w:r>
      <w:r>
        <w:rPr>
          <w:rFonts w:hint="eastAsia" w:ascii="仿宋" w:hAnsi="仿宋" w:eastAsia="仿宋"/>
          <w:sz w:val="24"/>
          <w:szCs w:val="24"/>
          <w:lang w:val="en-US" w:eastAsia="zh-CN"/>
        </w:rPr>
        <w:t>16</w:t>
      </w:r>
      <w:r>
        <w:rPr>
          <w:rFonts w:hint="eastAsia" w:ascii="仿宋" w:hAnsi="仿宋" w:eastAsia="仿宋"/>
          <w:sz w:val="24"/>
          <w:szCs w:val="24"/>
        </w:rPr>
        <w:t>日</w:t>
      </w:r>
      <w:r>
        <w:rPr>
          <w:rFonts w:hint="eastAsia" w:ascii="仿宋" w:hAnsi="仿宋" w:eastAsia="仿宋"/>
          <w:sz w:val="24"/>
          <w:szCs w:val="24"/>
          <w:lang w:val="en-US" w:eastAsia="zh-CN"/>
        </w:rPr>
        <w:t>9</w:t>
      </w:r>
      <w:r>
        <w:rPr>
          <w:rFonts w:hint="eastAsia" w:ascii="仿宋" w:hAnsi="仿宋" w:eastAsia="仿宋"/>
          <w:sz w:val="24"/>
          <w:szCs w:val="24"/>
        </w:rPr>
        <w:t>时</w:t>
      </w:r>
      <w:r>
        <w:rPr>
          <w:rFonts w:hint="eastAsia" w:ascii="仿宋" w:hAnsi="仿宋" w:eastAsia="仿宋"/>
          <w:sz w:val="24"/>
          <w:szCs w:val="24"/>
          <w:lang w:val="en-US" w:eastAsia="zh-CN"/>
        </w:rPr>
        <w:t>30分</w:t>
      </w:r>
    </w:p>
    <w:p w14:paraId="63DB6ACB">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3．首次响应文件的开启地点：湖南铁道职业技术学院</w:t>
      </w:r>
    </w:p>
    <w:bookmarkEnd w:id="6"/>
    <w:p w14:paraId="35D4FC64">
      <w:pPr>
        <w:pStyle w:val="4"/>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2"/>
      <w:bookmarkStart w:id="8" w:name="_Hlk186730358"/>
      <w:r>
        <w:rPr>
          <w:rFonts w:hint="eastAsia" w:ascii="仿宋" w:hAnsi="仿宋" w:eastAsia="仿宋" w:cs="宋体"/>
          <w:bCs w:val="0"/>
          <w:kern w:val="0"/>
          <w:sz w:val="24"/>
          <w:szCs w:val="24"/>
        </w:rPr>
        <w:t>四、公告期限</w:t>
      </w:r>
      <w:bookmarkEnd w:id="7"/>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bookmarkEnd w:id="8"/>
    <w:p w14:paraId="0C946E80">
      <w:pPr>
        <w:pStyle w:val="4"/>
        <w:snapToGrid w:val="0"/>
        <w:spacing w:before="0" w:after="0" w:line="360" w:lineRule="auto"/>
        <w:ind w:firstLine="470" w:firstLineChars="195"/>
        <w:jc w:val="left"/>
        <w:rPr>
          <w:rFonts w:hint="eastAsia" w:ascii="仿宋" w:hAnsi="仿宋" w:eastAsia="仿宋" w:cs="宋体"/>
          <w:bCs w:val="0"/>
          <w:kern w:val="0"/>
          <w:sz w:val="24"/>
          <w:szCs w:val="24"/>
        </w:rPr>
      </w:pPr>
      <w:bookmarkStart w:id="9" w:name="_Toc58335833"/>
      <w:bookmarkStart w:id="10" w:name="_Hlk186730642"/>
      <w:r>
        <w:rPr>
          <w:rFonts w:hint="eastAsia" w:ascii="仿宋" w:hAnsi="仿宋" w:eastAsia="仿宋" w:cs="宋体"/>
          <w:bCs w:val="0"/>
          <w:kern w:val="0"/>
          <w:sz w:val="24"/>
          <w:szCs w:val="24"/>
        </w:rPr>
        <w:t>五、疑问及质疑</w:t>
      </w:r>
      <w:bookmarkEnd w:id="9"/>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bookmarkEnd w:id="10"/>
    <w:p w14:paraId="42A84C11">
      <w:pPr>
        <w:pStyle w:val="4"/>
        <w:snapToGrid w:val="0"/>
        <w:spacing w:before="0" w:after="0" w:line="360" w:lineRule="auto"/>
        <w:ind w:firstLine="470" w:firstLineChars="195"/>
        <w:jc w:val="left"/>
        <w:rPr>
          <w:rFonts w:hint="eastAsia" w:ascii="仿宋" w:hAnsi="仿宋" w:eastAsia="仿宋" w:cs="宋体"/>
          <w:bCs w:val="0"/>
          <w:kern w:val="0"/>
          <w:sz w:val="24"/>
          <w:szCs w:val="24"/>
        </w:rPr>
      </w:pPr>
      <w:bookmarkStart w:id="11" w:name="_Toc58335834"/>
      <w:bookmarkStart w:id="12" w:name="_Hlk186730687"/>
      <w:r>
        <w:rPr>
          <w:rFonts w:hint="eastAsia" w:ascii="仿宋" w:hAnsi="仿宋" w:eastAsia="仿宋" w:cs="宋体"/>
          <w:bCs w:val="0"/>
          <w:kern w:val="0"/>
          <w:sz w:val="24"/>
          <w:szCs w:val="24"/>
        </w:rPr>
        <w:t>六、采购项目联系人姓名和电话</w:t>
      </w:r>
      <w:bookmarkEnd w:id="11"/>
    </w:p>
    <w:p w14:paraId="39A62B2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1．项目联系人和电话</w:t>
      </w:r>
    </w:p>
    <w:p w14:paraId="40821AA5">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联系人姓名：</w:t>
      </w:r>
      <w:r>
        <w:rPr>
          <w:rFonts w:hint="eastAsia" w:ascii="仿宋" w:hAnsi="仿宋" w:eastAsia="仿宋" w:cstheme="minorEastAsia"/>
          <w:sz w:val="24"/>
          <w:szCs w:val="24"/>
          <w:lang w:val="en-US" w:eastAsia="zh-CN"/>
        </w:rPr>
        <w:t>胡老师</w:t>
      </w:r>
      <w:r>
        <w:rPr>
          <w:rFonts w:hint="eastAsia" w:ascii="仿宋" w:hAnsi="仿宋" w:eastAsia="仿宋" w:cstheme="minorEastAsia"/>
          <w:sz w:val="24"/>
          <w:szCs w:val="24"/>
        </w:rPr>
        <w:t xml:space="preserve"> </w:t>
      </w:r>
    </w:p>
    <w:p w14:paraId="5A451344">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电 话：</w:t>
      </w:r>
      <w:bookmarkStart w:id="13" w:name="_Hlk186731053"/>
      <w:r>
        <w:rPr>
          <w:rFonts w:hint="eastAsia" w:ascii="仿宋" w:hAnsi="仿宋" w:eastAsia="仿宋" w:cstheme="minorEastAsia"/>
          <w:sz w:val="24"/>
          <w:szCs w:val="24"/>
        </w:rPr>
        <w:t>0731-</w:t>
      </w:r>
      <w:bookmarkEnd w:id="13"/>
      <w:r>
        <w:rPr>
          <w:rFonts w:hint="eastAsia" w:ascii="仿宋" w:hAnsi="仿宋" w:eastAsia="仿宋" w:cstheme="minorEastAsia"/>
          <w:sz w:val="24"/>
          <w:szCs w:val="24"/>
          <w:lang w:val="en-US" w:eastAsia="zh-CN"/>
        </w:rPr>
        <w:t xml:space="preserve"> 22783860</w:t>
      </w:r>
      <w:r>
        <w:rPr>
          <w:rFonts w:hint="eastAsia" w:ascii="仿宋" w:hAnsi="仿宋" w:eastAsia="仿宋" w:cstheme="minorEastAsia"/>
          <w:sz w:val="24"/>
          <w:szCs w:val="24"/>
        </w:rPr>
        <w:t xml:space="preserve"> </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572EC4D3">
      <w:pPr>
        <w:ind w:firstLine="480" w:firstLineChars="200"/>
        <w:rPr>
          <w:rFonts w:hint="eastAsia" w:ascii="仿宋" w:hAnsi="仿宋" w:eastAsia="仿宋" w:cstheme="minorEastAsia"/>
          <w:sz w:val="24"/>
          <w:szCs w:val="24"/>
        </w:rPr>
      </w:pPr>
      <w:r>
        <w:rPr>
          <w:rFonts w:hint="eastAsia" w:ascii="仿宋" w:hAnsi="仿宋" w:eastAsia="仿宋" w:cstheme="minorEastAsia"/>
          <w:sz w:val="24"/>
          <w:szCs w:val="24"/>
        </w:rPr>
        <w:t>地 址：株洲市石峰区田心路18号</w:t>
      </w:r>
    </w:p>
    <w:bookmarkEnd w:id="12"/>
    <w:p w14:paraId="22F3A15E">
      <w:pPr>
        <w:pStyle w:val="16"/>
      </w:pPr>
    </w:p>
    <w:p w14:paraId="42402AF4"/>
    <w:p w14:paraId="06CBF053">
      <w:pPr>
        <w:pStyle w:val="16"/>
      </w:pPr>
    </w:p>
    <w:p w14:paraId="0617B9A7"/>
    <w:p w14:paraId="4FFDF357">
      <w:pPr>
        <w:pStyle w:val="16"/>
      </w:pPr>
    </w:p>
    <w:p w14:paraId="5EE97DA2">
      <w:pPr>
        <w:pStyle w:val="16"/>
        <w:ind w:left="0" w:leftChars="0" w:firstLine="0"/>
        <w:rPr>
          <w:szCs w:val="22"/>
        </w:rPr>
      </w:pPr>
    </w:p>
    <w:p w14:paraId="102C28AC"/>
    <w:p w14:paraId="167C6777">
      <w:pPr>
        <w:pStyle w:val="8"/>
        <w:rPr>
          <w:szCs w:val="22"/>
        </w:rPr>
      </w:pPr>
    </w:p>
    <w:p w14:paraId="43A9A7CF"/>
    <w:p w14:paraId="13F8E109">
      <w:pPr>
        <w:pStyle w:val="8"/>
        <w:rPr>
          <w:szCs w:val="22"/>
        </w:rPr>
      </w:pPr>
    </w:p>
    <w:p w14:paraId="5EC8A2E1"/>
    <w:p w14:paraId="34F8B3C7">
      <w:pPr>
        <w:pStyle w:val="8"/>
        <w:rPr>
          <w:szCs w:val="22"/>
        </w:rPr>
      </w:pPr>
    </w:p>
    <w:p w14:paraId="2A3004E7"/>
    <w:p w14:paraId="333CFB95"/>
    <w:p w14:paraId="7B46CF16">
      <w:pPr>
        <w:pStyle w:val="16"/>
      </w:pPr>
    </w:p>
    <w:p w14:paraId="4726678E"/>
    <w:p w14:paraId="360ECAAB"/>
    <w:p w14:paraId="425A09ED"/>
    <w:p w14:paraId="6F2F0227"/>
    <w:p w14:paraId="52384B46"/>
    <w:p w14:paraId="7CFF1BDF"/>
    <w:p w14:paraId="611302C1">
      <w:pPr>
        <w:pStyle w:val="16"/>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hint="eastAsia" w:ascii="仿宋" w:hAnsi="仿宋" w:eastAsia="仿宋" w:cs="仿宋"/>
          <w:color w:val="333333"/>
          <w:kern w:val="0"/>
          <w:sz w:val="24"/>
          <w:szCs w:val="24"/>
          <w:u w:val="single"/>
        </w:rPr>
      </w:pPr>
      <w:r>
        <w:rPr>
          <w:rFonts w:hint="eastAsia" w:ascii="仿宋" w:hAnsi="仿宋" w:eastAsia="仿宋" w:cs="仿宋"/>
          <w:color w:val="333333"/>
          <w:kern w:val="0"/>
          <w:sz w:val="24"/>
          <w:szCs w:val="24"/>
        </w:rPr>
        <w:t>1．项目名称：</w:t>
      </w:r>
      <w:r>
        <w:rPr>
          <w:rFonts w:hint="eastAsia" w:ascii="仿宋" w:hAnsi="仿宋" w:eastAsia="仿宋" w:cs="仿宋"/>
          <w:color w:val="333333"/>
          <w:kern w:val="0"/>
          <w:sz w:val="24"/>
          <w:szCs w:val="24"/>
          <w:lang w:val="en-US" w:eastAsia="zh-CN"/>
        </w:rPr>
        <w:t xml:space="preserve"> 网站内容安全云监测服务</w:t>
      </w:r>
    </w:p>
    <w:p w14:paraId="36558304">
      <w:pPr>
        <w:spacing w:before="156" w:beforeLines="50" w:line="360" w:lineRule="auto"/>
        <w:ind w:firstLine="480" w:firstLineChars="200"/>
        <w:rPr>
          <w:rFonts w:hint="eastAsia" w:ascii="仿宋" w:hAnsi="仿宋" w:eastAsia="仿宋" w:cs="仿宋"/>
          <w:color w:val="333333"/>
          <w:kern w:val="0"/>
          <w:sz w:val="24"/>
          <w:szCs w:val="24"/>
          <w:u w:val="single"/>
        </w:rPr>
      </w:pPr>
      <w:r>
        <w:rPr>
          <w:rFonts w:hint="eastAsia" w:ascii="仿宋" w:hAnsi="仿宋" w:eastAsia="仿宋" w:cs="仿宋"/>
          <w:color w:val="333333"/>
          <w:kern w:val="0"/>
          <w:sz w:val="24"/>
          <w:szCs w:val="24"/>
        </w:rPr>
        <w:t>2．服务期限：</w:t>
      </w:r>
      <w:r>
        <w:rPr>
          <w:rFonts w:hint="eastAsia" w:ascii="仿宋" w:hAnsi="仿宋" w:eastAsia="仿宋" w:cs="仿宋"/>
          <w:color w:val="333333"/>
          <w:kern w:val="0"/>
          <w:sz w:val="24"/>
          <w:szCs w:val="24"/>
          <w:lang w:val="en-US" w:eastAsia="zh-CN"/>
        </w:rPr>
        <w:t>一年（</w:t>
      </w:r>
      <w:r>
        <w:rPr>
          <w:rFonts w:hint="eastAsia" w:ascii="仿宋" w:hAnsi="仿宋" w:eastAsia="仿宋" w:cs="仿宋"/>
          <w:color w:val="333333"/>
          <w:kern w:val="0"/>
          <w:sz w:val="24"/>
          <w:szCs w:val="24"/>
        </w:rPr>
        <w:t>202</w:t>
      </w:r>
      <w:r>
        <w:rPr>
          <w:rFonts w:hint="eastAsia" w:ascii="仿宋" w:hAnsi="仿宋" w:eastAsia="仿宋" w:cs="仿宋"/>
          <w:color w:val="333333"/>
          <w:kern w:val="0"/>
          <w:sz w:val="24"/>
          <w:szCs w:val="24"/>
          <w:lang w:val="en-US" w:eastAsia="zh-CN"/>
        </w:rPr>
        <w:t>6</w:t>
      </w:r>
      <w:r>
        <w:rPr>
          <w:rFonts w:hint="eastAsia" w:ascii="仿宋" w:hAnsi="仿宋" w:eastAsia="仿宋" w:cs="仿宋"/>
          <w:color w:val="333333"/>
          <w:kern w:val="0"/>
          <w:sz w:val="24"/>
          <w:szCs w:val="24"/>
        </w:rPr>
        <w:t>年</w:t>
      </w:r>
      <w:r>
        <w:rPr>
          <w:rFonts w:hint="eastAsia" w:ascii="仿宋" w:hAnsi="仿宋" w:eastAsia="仿宋" w:cs="仿宋"/>
          <w:color w:val="333333"/>
          <w:kern w:val="0"/>
          <w:sz w:val="24"/>
          <w:szCs w:val="24"/>
          <w:lang w:val="en-US" w:eastAsia="zh-CN"/>
        </w:rPr>
        <w:t>1</w:t>
      </w:r>
      <w:r>
        <w:rPr>
          <w:rFonts w:hint="eastAsia" w:ascii="仿宋" w:hAnsi="仿宋" w:eastAsia="仿宋" w:cs="仿宋"/>
          <w:color w:val="333333"/>
          <w:kern w:val="0"/>
          <w:sz w:val="24"/>
          <w:szCs w:val="24"/>
        </w:rPr>
        <w:t>月</w:t>
      </w:r>
      <w:r>
        <w:rPr>
          <w:rFonts w:hint="eastAsia" w:ascii="仿宋" w:hAnsi="仿宋" w:eastAsia="仿宋" w:cs="仿宋"/>
          <w:color w:val="333333"/>
          <w:kern w:val="0"/>
          <w:sz w:val="24"/>
          <w:szCs w:val="24"/>
          <w:lang w:val="en-US" w:eastAsia="zh-CN"/>
        </w:rPr>
        <w:t>1日</w:t>
      </w:r>
      <w:r>
        <w:rPr>
          <w:rFonts w:hint="eastAsia" w:ascii="仿宋" w:hAnsi="仿宋" w:eastAsia="仿宋" w:cs="仿宋"/>
          <w:color w:val="333333"/>
          <w:kern w:val="0"/>
          <w:sz w:val="24"/>
          <w:szCs w:val="24"/>
        </w:rPr>
        <w:t>- 202</w:t>
      </w:r>
      <w:r>
        <w:rPr>
          <w:rFonts w:hint="eastAsia" w:ascii="仿宋" w:hAnsi="仿宋" w:eastAsia="仿宋" w:cs="仿宋"/>
          <w:color w:val="333333"/>
          <w:kern w:val="0"/>
          <w:sz w:val="24"/>
          <w:szCs w:val="24"/>
          <w:lang w:val="en-US" w:eastAsia="zh-CN"/>
        </w:rPr>
        <w:t>6</w:t>
      </w:r>
      <w:r>
        <w:rPr>
          <w:rFonts w:hint="eastAsia" w:ascii="仿宋" w:hAnsi="仿宋" w:eastAsia="仿宋" w:cs="仿宋"/>
          <w:color w:val="333333"/>
          <w:kern w:val="0"/>
          <w:sz w:val="24"/>
          <w:szCs w:val="24"/>
        </w:rPr>
        <w:t>年</w:t>
      </w:r>
      <w:r>
        <w:rPr>
          <w:rFonts w:hint="eastAsia" w:ascii="仿宋" w:hAnsi="仿宋" w:eastAsia="仿宋" w:cs="仿宋"/>
          <w:color w:val="333333"/>
          <w:kern w:val="0"/>
          <w:sz w:val="24"/>
          <w:szCs w:val="24"/>
          <w:lang w:val="en-US" w:eastAsia="zh-CN"/>
        </w:rPr>
        <w:t>12</w:t>
      </w:r>
      <w:r>
        <w:rPr>
          <w:rFonts w:hint="eastAsia" w:ascii="仿宋" w:hAnsi="仿宋" w:eastAsia="仿宋" w:cs="仿宋"/>
          <w:color w:val="333333"/>
          <w:kern w:val="0"/>
          <w:sz w:val="24"/>
          <w:szCs w:val="24"/>
        </w:rPr>
        <w:t>月</w:t>
      </w:r>
      <w:r>
        <w:rPr>
          <w:rFonts w:hint="eastAsia" w:ascii="仿宋" w:hAnsi="仿宋" w:eastAsia="仿宋" w:cs="仿宋"/>
          <w:color w:val="333333"/>
          <w:kern w:val="0"/>
          <w:sz w:val="24"/>
          <w:szCs w:val="24"/>
          <w:lang w:val="en-US" w:eastAsia="zh-CN"/>
        </w:rPr>
        <w:t>31日）</w:t>
      </w:r>
    </w:p>
    <w:p w14:paraId="34BD9550">
      <w:pPr>
        <w:keepNext w:val="0"/>
        <w:keepLines w:val="0"/>
        <w:pageBreakBefore w:val="0"/>
        <w:widowControl w:val="0"/>
        <w:kinsoku/>
        <w:wordWrap/>
        <w:overflowPunct/>
        <w:topLinePunct w:val="0"/>
        <w:autoSpaceDE/>
        <w:autoSpaceDN/>
        <w:bidi w:val="0"/>
        <w:adjustRightInd/>
        <w:snapToGrid/>
        <w:spacing w:before="156" w:beforeLines="50" w:line="440" w:lineRule="exact"/>
        <w:ind w:firstLine="482" w:firstLineChars="200"/>
        <w:textAlignment w:val="auto"/>
        <w:rPr>
          <w:rFonts w:hint="eastAsia" w:ascii="仿宋" w:hAnsi="仿宋" w:eastAsia="仿宋" w:cstheme="minorEastAsia"/>
          <w:b/>
          <w:sz w:val="24"/>
          <w:szCs w:val="24"/>
          <w:lang w:eastAsia="zh-CN"/>
        </w:rPr>
      </w:pPr>
      <w:r>
        <w:rPr>
          <w:rFonts w:hint="eastAsia" w:ascii="仿宋" w:hAnsi="仿宋" w:eastAsia="仿宋" w:cstheme="minorEastAsia"/>
          <w:b/>
          <w:sz w:val="24"/>
          <w:szCs w:val="24"/>
        </w:rPr>
        <w:t>二、服务内容及要求</w:t>
      </w:r>
      <w:r>
        <w:rPr>
          <w:rFonts w:hint="eastAsia" w:ascii="仿宋" w:hAnsi="仿宋" w:eastAsia="仿宋" w:cstheme="minorEastAsia"/>
          <w:b/>
          <w:sz w:val="24"/>
          <w:szCs w:val="24"/>
          <w:lang w:eastAsia="zh-CN"/>
        </w:rPr>
        <w:t>：</w:t>
      </w:r>
    </w:p>
    <w:p w14:paraId="0A2DE796">
      <w:pPr>
        <w:keepNext w:val="0"/>
        <w:keepLines w:val="0"/>
        <w:pageBreakBefore w:val="0"/>
        <w:widowControl w:val="0"/>
        <w:kinsoku/>
        <w:wordWrap/>
        <w:overflowPunct/>
        <w:topLinePunct w:val="0"/>
        <w:autoSpaceDE/>
        <w:autoSpaceDN/>
        <w:bidi w:val="0"/>
        <w:adjustRightInd/>
        <w:snapToGrid/>
        <w:spacing w:before="156" w:beforeLines="50" w:line="440" w:lineRule="exact"/>
        <w:ind w:firstLine="480" w:firstLineChars="200"/>
        <w:textAlignment w:val="auto"/>
        <w:rPr>
          <w:rFonts w:hint="eastAsia" w:ascii="仿宋" w:hAnsi="仿宋" w:eastAsia="仿宋" w:cs="Times New Roman"/>
          <w:kern w:val="2"/>
          <w:sz w:val="24"/>
          <w:szCs w:val="24"/>
          <w:u w:val="none"/>
          <w:lang w:val="en-US" w:eastAsia="zh-CN" w:bidi="ar-SA"/>
        </w:rPr>
      </w:pPr>
      <w:r>
        <w:rPr>
          <w:rFonts w:hint="eastAsia" w:ascii="仿宋" w:hAnsi="仿宋" w:eastAsia="仿宋" w:cs="Times New Roman"/>
          <w:kern w:val="2"/>
          <w:sz w:val="24"/>
          <w:szCs w:val="24"/>
          <w:u w:val="none"/>
          <w:lang w:val="en-US" w:eastAsia="zh-CN" w:bidi="ar-SA"/>
        </w:rPr>
        <w:t>1、7×24小时产品技术支持，支持形式为：服务热线、网络咨询、远程协助以及必要的现场支持。</w:t>
      </w:r>
    </w:p>
    <w:p w14:paraId="7D218A3E">
      <w:pPr>
        <w:keepNext w:val="0"/>
        <w:keepLines w:val="0"/>
        <w:pageBreakBefore w:val="0"/>
        <w:widowControl w:val="0"/>
        <w:kinsoku/>
        <w:wordWrap/>
        <w:overflowPunct/>
        <w:topLinePunct w:val="0"/>
        <w:autoSpaceDE/>
        <w:autoSpaceDN/>
        <w:bidi w:val="0"/>
        <w:adjustRightInd/>
        <w:snapToGrid/>
        <w:spacing w:before="156" w:beforeLines="50" w:line="440" w:lineRule="exact"/>
        <w:ind w:firstLine="480" w:firstLineChars="200"/>
        <w:textAlignment w:val="auto"/>
        <w:rPr>
          <w:rFonts w:hint="eastAsia" w:ascii="仿宋" w:hAnsi="仿宋" w:eastAsia="仿宋" w:cs="Times New Roman"/>
          <w:kern w:val="2"/>
          <w:sz w:val="24"/>
          <w:szCs w:val="24"/>
          <w:u w:val="none"/>
          <w:lang w:val="en-US" w:eastAsia="zh-CN" w:bidi="ar-SA"/>
        </w:rPr>
      </w:pPr>
      <w:r>
        <w:rPr>
          <w:rFonts w:hint="eastAsia" w:ascii="仿宋" w:hAnsi="仿宋" w:eastAsia="仿宋" w:cs="Times New Roman"/>
          <w:kern w:val="2"/>
          <w:sz w:val="24"/>
          <w:szCs w:val="24"/>
          <w:u w:val="none"/>
          <w:lang w:val="en-US" w:eastAsia="zh-CN" w:bidi="ar-SA"/>
        </w:rPr>
        <w:t>2、服务内容列表：</w:t>
      </w:r>
    </w:p>
    <w:tbl>
      <w:tblPr>
        <w:tblStyle w:val="17"/>
        <w:tblW w:w="842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01"/>
        <w:gridCol w:w="6428"/>
      </w:tblGrid>
      <w:tr w14:paraId="21AAE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681AD987">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服务模块</w:t>
            </w:r>
          </w:p>
        </w:tc>
        <w:tc>
          <w:tcPr>
            <w:tcW w:w="6428" w:type="dxa"/>
            <w:tcBorders>
              <w:top w:val="single" w:color="000000" w:sz="4" w:space="0"/>
              <w:left w:val="single" w:color="000000" w:sz="4" w:space="0"/>
              <w:bottom w:val="single" w:color="000000" w:sz="4" w:space="0"/>
              <w:right w:val="single" w:color="000000" w:sz="4" w:space="0"/>
            </w:tcBorders>
            <w:noWrap/>
            <w:vAlign w:val="center"/>
          </w:tcPr>
          <w:p w14:paraId="63EAB812">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服务详情</w:t>
            </w:r>
          </w:p>
        </w:tc>
      </w:tr>
      <w:tr w14:paraId="65F93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5"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698DE6C6">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Web漏洞监测</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5D1092C9">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覆盖主要web漏洞插件、主要Web 漏洞，包含SQL 注入、跨站脚本攻击（XSS）、跨站请求伪造（CSRF）、文件上传等常见漏洞。</w:t>
            </w:r>
          </w:p>
        </w:tc>
      </w:tr>
      <w:tr w14:paraId="7AD15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591F8D1D">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SSL安全监测</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440A15C4">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支持SSL协议漏洞监测，包括常见心脏出血漏洞、BEAST漏洞和POODLE漏洞等；支持SSL证书配置监测，包括证书到期、证书吊销、证书域名不符等监测。</w:t>
            </w:r>
          </w:p>
        </w:tc>
      </w:tr>
      <w:tr w14:paraId="12656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14F0CF23">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安全事件监测</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27C398CC">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对被监测目标进行页面智能分析被黑监测，提供全面的业务系统安全事件发现，包括暗链、挂马、挖矿、坏链、风险外链等事件。</w:t>
            </w:r>
          </w:p>
        </w:tc>
      </w:tr>
      <w:tr w14:paraId="41F5B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51D84015">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资产变动监测</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722F3AA7">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支持监测目标关联子域名及端口服务上下线等变动信息。</w:t>
            </w:r>
          </w:p>
        </w:tc>
      </w:tr>
      <w:tr w14:paraId="03C9C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0"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07A118E2">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内容合规监测</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1A8EDFC2">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包含主要风险敏感词，涉及暴恐、涉黄、涉政、反动、博彩、民生、政治、其他等8类词库，全面监测业务系统资产是否存在违规风险信息，并支持手机号、银行卡号、邮箱号、身份证号等隐私检测，帮助客户实时掌握业务系统内容风险动态。</w:t>
            </w:r>
          </w:p>
        </w:tc>
      </w:tr>
      <w:tr w14:paraId="50270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0"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4B2C7756">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可用性监测</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0638960C">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监测节点覆盖全国，支持HTTP监测、Ping监测、页面响应监测、源站监测、状态码监测、可用性异常/恢复告警等功能，7*24小时高频持续监测。</w:t>
            </w:r>
          </w:p>
        </w:tc>
      </w:tr>
      <w:tr w14:paraId="5F82F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2562FB98">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可视化数据报表</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616423E9">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可视化展示Web漏洞威胁趋势图、威胁TOP 10 、威胁详情（具体风险地址，风险类型，风险状态）等监测数据。</w:t>
            </w:r>
          </w:p>
        </w:tc>
      </w:tr>
      <w:tr w14:paraId="66978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3B77488B">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安全报告</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090086E9">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提供离线监测数据报告，可自定义下载最近180天内任意时间范围报告，支持Word类型。</w:t>
            </w:r>
          </w:p>
        </w:tc>
      </w:tr>
      <w:tr w14:paraId="2E303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43035595">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告警中心</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7D598E64">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全面记录各类威胁告警信息，统计总告警次数、今日告警次数及今日告警TOP 1 资产等，并支持自定义配置告警组、告警接收人等信息。</w:t>
            </w:r>
          </w:p>
        </w:tc>
      </w:tr>
      <w:tr w14:paraId="2F83E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0B8DD9DF">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周期性监测任务</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6E1A0E68">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系统默认周期性任务，根据设置的监测频率下发Web漏洞、SSL安全、安全事件、内容合规、资产变动、可用性监测周期性任务。</w:t>
            </w:r>
          </w:p>
        </w:tc>
      </w:tr>
      <w:tr w14:paraId="5F489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346A4A64">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自定义单次监测次数</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323B8680">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支持自定义主动下发单次监测任务，可下发Web漏洞任务或SSL安全任务或安全事件任务或内容合规任务或资产变动任务。</w:t>
            </w:r>
          </w:p>
        </w:tc>
      </w:tr>
      <w:tr w14:paraId="40A6A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58DD463A">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多种扫描方式</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5ADB52B9">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支持周期性全量爬取扫描、无感增量爬取扫描以及基于网站业务画像的增量扫描。</w:t>
            </w:r>
          </w:p>
        </w:tc>
      </w:tr>
      <w:tr w14:paraId="2ABD3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7D5182ED">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Web漏洞监测策略</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6CA781CD">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Web漏洞监测最高频率：至少每周一次，自定义单次任务数：至少5次/月，每月一号重置</w:t>
            </w:r>
          </w:p>
        </w:tc>
      </w:tr>
      <w:tr w14:paraId="727FD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1791768D">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SSL安全监测策略</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7A752669">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SSL安全监测最高频率：至少每周一次，自定义单次任务数：至少5次/月，每月一号重置</w:t>
            </w:r>
          </w:p>
        </w:tc>
      </w:tr>
      <w:tr w14:paraId="2DE54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1A73B609">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安全事件监测策略</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64F0FB6B">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安全事件监测最高频率：至少每天一次，自定义单次任务数：至少5次/月，每月一号重置</w:t>
            </w:r>
          </w:p>
        </w:tc>
      </w:tr>
      <w:tr w14:paraId="18EBC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1903255D">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内容合规监测策略</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4C502AC4">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内容安全监测最高频率：至少每天一次，自定义单次任务数：至少5次/月，每月一号重置</w:t>
            </w:r>
          </w:p>
        </w:tc>
      </w:tr>
      <w:tr w14:paraId="74859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2FE58051">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资产变动监测策略</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0A33C65F">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资产变动监测最高频率：至少每天一次，自定义单次任务数：至少5次/月，每月一号重置</w:t>
            </w:r>
          </w:p>
        </w:tc>
      </w:tr>
      <w:tr w14:paraId="7B4D2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2C88B578">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可用性监测策略</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2BF31F52">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HTTP任务数：至少20个，Ping任务数：至少5个；同时监测节点数：至少5个 ；监测最高频率：至多5分钟</w:t>
            </w:r>
          </w:p>
        </w:tc>
      </w:tr>
      <w:tr w14:paraId="60F0F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0"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780CC94F">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扫描URL数</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0578AA08">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Web漏洞监测、安全事件监测需爬取相应的页面，根据参数不同算多个URL，扫描URL数量总数=《150万条/月，每月一号重置。</w:t>
            </w:r>
          </w:p>
        </w:tc>
      </w:tr>
      <w:tr w14:paraId="03990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0"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34B1439F">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告警设置</w:t>
            </w:r>
          </w:p>
        </w:tc>
        <w:tc>
          <w:tcPr>
            <w:tcW w:w="6428" w:type="dxa"/>
            <w:tcBorders>
              <w:top w:val="single" w:color="000000" w:sz="4" w:space="0"/>
              <w:left w:val="single" w:color="000000" w:sz="4" w:space="0"/>
              <w:bottom w:val="single" w:color="000000" w:sz="4" w:space="0"/>
              <w:right w:val="single" w:color="000000" w:sz="4" w:space="0"/>
            </w:tcBorders>
            <w:noWrap w:val="0"/>
            <w:vAlign w:val="center"/>
          </w:tcPr>
          <w:p w14:paraId="19BB790B">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设置告警信息接收组及接收人，告警组：至少3个 ； 告警接收人：至少5人； 短信：至少500条/月，每月一号重置；邮件：至少1000封/月，每月一号重置；微信：不限/月</w:t>
            </w:r>
          </w:p>
        </w:tc>
      </w:tr>
      <w:tr w14:paraId="680F1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2001" w:type="dxa"/>
            <w:tcBorders>
              <w:top w:val="single" w:color="000000" w:sz="4" w:space="0"/>
              <w:left w:val="single" w:color="000000" w:sz="4" w:space="0"/>
              <w:bottom w:val="single" w:color="auto" w:sz="4" w:space="0"/>
              <w:right w:val="single" w:color="000000" w:sz="4" w:space="0"/>
            </w:tcBorders>
            <w:noWrap/>
            <w:vAlign w:val="center"/>
          </w:tcPr>
          <w:p w14:paraId="22F3731B">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告警数据存储</w:t>
            </w:r>
          </w:p>
        </w:tc>
        <w:tc>
          <w:tcPr>
            <w:tcW w:w="6428" w:type="dxa"/>
            <w:tcBorders>
              <w:top w:val="single" w:color="000000" w:sz="4" w:space="0"/>
              <w:left w:val="single" w:color="000000" w:sz="4" w:space="0"/>
              <w:bottom w:val="single" w:color="auto" w:sz="4" w:space="0"/>
              <w:right w:val="single" w:color="000000" w:sz="4" w:space="0"/>
            </w:tcBorders>
            <w:noWrap w:val="0"/>
            <w:vAlign w:val="center"/>
          </w:tcPr>
          <w:p w14:paraId="39C96830">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可用性历史数据存储：至少60天；安全历史数据存储：至少180天；</w:t>
            </w:r>
          </w:p>
        </w:tc>
      </w:tr>
      <w:tr w14:paraId="23AD3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3" w:hRule="atLeast"/>
        </w:trPr>
        <w:tc>
          <w:tcPr>
            <w:tcW w:w="2001" w:type="dxa"/>
            <w:tcBorders>
              <w:top w:val="single" w:color="auto" w:sz="4" w:space="0"/>
              <w:left w:val="single" w:color="auto" w:sz="4" w:space="0"/>
              <w:bottom w:val="single" w:color="auto" w:sz="4" w:space="0"/>
              <w:right w:val="single" w:color="auto" w:sz="4" w:space="0"/>
            </w:tcBorders>
            <w:noWrap w:val="0"/>
            <w:vAlign w:val="center"/>
          </w:tcPr>
          <w:p w14:paraId="0A19E689">
            <w:pPr>
              <w:adjustRightInd w:val="0"/>
              <w:snapToGrid w:val="0"/>
              <w:spacing w:line="400" w:lineRule="exact"/>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基础服务</w:t>
            </w:r>
          </w:p>
        </w:tc>
        <w:tc>
          <w:tcPr>
            <w:tcW w:w="6428" w:type="dxa"/>
            <w:tcBorders>
              <w:top w:val="single" w:color="auto" w:sz="4" w:space="0"/>
              <w:left w:val="single" w:color="auto" w:sz="4" w:space="0"/>
              <w:bottom w:val="single" w:color="auto" w:sz="4" w:space="0"/>
              <w:right w:val="single" w:color="auto" w:sz="4" w:space="0"/>
            </w:tcBorders>
            <w:noWrap w:val="0"/>
            <w:vAlign w:val="center"/>
          </w:tcPr>
          <w:p w14:paraId="72415291">
            <w:pPr>
              <w:adjustRightInd w:val="0"/>
              <w:snapToGrid w:val="0"/>
              <w:spacing w:line="400" w:lineRule="exact"/>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提供部云署服务，构建云端服务的方式将在线预检能力，无需二次登录，检测方便快捷，提供数据云存储，提供服务对象网站接入，网站扫描参数配合以及优化。</w:t>
            </w:r>
          </w:p>
        </w:tc>
      </w:tr>
    </w:tbl>
    <w:p w14:paraId="581FCB6B">
      <w:pPr>
        <w:snapToGrid w:val="0"/>
        <w:spacing w:before="156" w:beforeLines="50" w:line="360" w:lineRule="auto"/>
        <w:jc w:val="left"/>
        <w:rPr>
          <w:rFonts w:hint="eastAsia" w:ascii="仿宋" w:hAnsi="仿宋" w:eastAsia="仿宋" w:cstheme="minorEastAsia"/>
          <w:b/>
          <w:sz w:val="24"/>
          <w:szCs w:val="24"/>
          <w:lang w:eastAsia="zh-CN"/>
        </w:rPr>
      </w:pPr>
    </w:p>
    <w:p w14:paraId="12D6A12B">
      <w:pPr>
        <w:keepNext w:val="0"/>
        <w:keepLines w:val="0"/>
        <w:pageBreakBefore w:val="0"/>
        <w:widowControl w:val="0"/>
        <w:numPr>
          <w:ilvl w:val="0"/>
          <w:numId w:val="1"/>
        </w:numPr>
        <w:kinsoku/>
        <w:wordWrap/>
        <w:overflowPunct/>
        <w:topLinePunct w:val="0"/>
        <w:autoSpaceDE/>
        <w:autoSpaceDN/>
        <w:bidi w:val="0"/>
        <w:adjustRightInd/>
        <w:snapToGrid/>
        <w:spacing w:before="156" w:beforeLines="50" w:line="440" w:lineRule="exact"/>
        <w:ind w:firstLine="482" w:firstLineChars="200"/>
        <w:textAlignment w:val="auto"/>
        <w:rPr>
          <w:rFonts w:hint="eastAsia" w:ascii="仿宋" w:hAnsi="仿宋" w:eastAsia="仿宋" w:cstheme="minorEastAsia"/>
          <w:b/>
          <w:sz w:val="24"/>
          <w:szCs w:val="24"/>
        </w:rPr>
      </w:pPr>
      <w:r>
        <w:rPr>
          <w:rFonts w:hint="eastAsia" w:ascii="仿宋" w:hAnsi="仿宋" w:eastAsia="仿宋" w:cstheme="minorEastAsia"/>
          <w:b/>
          <w:sz w:val="24"/>
          <w:szCs w:val="24"/>
        </w:rPr>
        <w:t>服务质量要求：</w:t>
      </w:r>
    </w:p>
    <w:p w14:paraId="6E799AF0">
      <w:pPr>
        <w:keepNext w:val="0"/>
        <w:keepLines w:val="0"/>
        <w:pageBreakBefore w:val="0"/>
        <w:widowControl w:val="0"/>
        <w:kinsoku/>
        <w:wordWrap/>
        <w:overflowPunct/>
        <w:topLinePunct w:val="0"/>
        <w:autoSpaceDE/>
        <w:autoSpaceDN/>
        <w:bidi w:val="0"/>
        <w:adjustRightInd/>
        <w:snapToGrid/>
        <w:spacing w:before="156" w:beforeLines="50" w:line="440" w:lineRule="exact"/>
        <w:ind w:firstLine="480" w:firstLineChars="200"/>
        <w:textAlignment w:val="auto"/>
        <w:rPr>
          <w:rFonts w:hint="eastAsia" w:ascii="仿宋" w:hAnsi="仿宋" w:eastAsia="仿宋" w:cstheme="minorEastAsia"/>
          <w:b/>
          <w:sz w:val="24"/>
          <w:szCs w:val="24"/>
        </w:rPr>
      </w:pPr>
      <w:r>
        <w:rPr>
          <w:rFonts w:hint="eastAsia" w:ascii="仿宋" w:hAnsi="仿宋" w:eastAsia="仿宋" w:cs="Times New Roman"/>
          <w:kern w:val="2"/>
          <w:sz w:val="24"/>
          <w:szCs w:val="24"/>
          <w:u w:val="none"/>
          <w:lang w:val="en-US" w:eastAsia="zh-CN" w:bidi="ar-SA"/>
        </w:rPr>
        <w:t>提供必要频次服务，保障网站内容合法合规，并提供及时监控结果提醒。</w:t>
      </w:r>
    </w:p>
    <w:p w14:paraId="0EE278FB">
      <w:pPr>
        <w:numPr>
          <w:ilvl w:val="0"/>
          <w:numId w:val="1"/>
        </w:numPr>
        <w:snapToGrid w:val="0"/>
        <w:spacing w:before="156" w:beforeLines="50" w:line="360" w:lineRule="auto"/>
        <w:ind w:left="0" w:leftChars="0" w:firstLine="482" w:firstLineChars="200"/>
        <w:jc w:val="left"/>
        <w:rPr>
          <w:rFonts w:hint="eastAsia"/>
        </w:rPr>
      </w:pPr>
      <w:r>
        <w:rPr>
          <w:rFonts w:hint="eastAsia" w:ascii="仿宋" w:hAnsi="仿宋" w:eastAsia="仿宋" w:cstheme="minorEastAsia"/>
          <w:b/>
          <w:sz w:val="24"/>
          <w:szCs w:val="24"/>
        </w:rPr>
        <w:t>服务质量检查考核标准和方法：</w:t>
      </w:r>
    </w:p>
    <w:p w14:paraId="09CFF971">
      <w:pPr>
        <w:numPr>
          <w:numId w:val="0"/>
        </w:numPr>
        <w:snapToGrid w:val="0"/>
        <w:spacing w:before="156" w:beforeLines="50" w:line="360" w:lineRule="auto"/>
        <w:ind w:firstLine="480" w:firstLineChars="200"/>
        <w:jc w:val="left"/>
        <w:rPr>
          <w:rFonts w:hint="eastAsia"/>
        </w:rPr>
      </w:pPr>
      <w:r>
        <w:rPr>
          <w:rFonts w:hint="eastAsia" w:ascii="仿宋" w:hAnsi="仿宋" w:eastAsia="仿宋" w:cs="Times New Roman"/>
          <w:kern w:val="2"/>
          <w:sz w:val="24"/>
          <w:szCs w:val="24"/>
          <w:u w:val="none"/>
          <w:lang w:val="en-US" w:eastAsia="zh-CN" w:bidi="ar-SA"/>
        </w:rPr>
        <w:t>通过半年度及年度满意度调查衡量整体服务满意度，全年满意度不得低于95%，绩效考核指标包含基础服务满意度及优质服务衡量标准等指标，确保提供优质的服务体验。</w:t>
      </w:r>
    </w:p>
    <w:p w14:paraId="07B64B9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26FDA341">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本项目采购上限价为</w:t>
      </w:r>
      <w:r>
        <w:rPr>
          <w:rFonts w:hint="eastAsia" w:ascii="仿宋" w:hAnsi="仿宋" w:eastAsia="仿宋" w:cs="仿宋"/>
          <w:color w:val="333333"/>
          <w:kern w:val="0"/>
          <w:sz w:val="24"/>
          <w:szCs w:val="24"/>
          <w:lang w:val="en-US" w:eastAsia="zh-CN"/>
        </w:rPr>
        <w:t>6.8</w:t>
      </w:r>
      <w:r>
        <w:rPr>
          <w:rFonts w:hint="eastAsia" w:ascii="仿宋" w:hAnsi="仿宋" w:eastAsia="仿宋" w:cs="仿宋"/>
          <w:color w:val="333333"/>
          <w:kern w:val="0"/>
          <w:sz w:val="24"/>
          <w:szCs w:val="24"/>
        </w:rPr>
        <w:t>万元，报价为一次性报价。</w:t>
      </w:r>
    </w:p>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2936BA9D">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xml:space="preserve"> 本合同为含税总价包干，成交供应商收到成交通知后，应在一周内签订合同。</w:t>
      </w:r>
    </w:p>
    <w:p w14:paraId="60CEE356">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七、付款方式</w:t>
      </w:r>
    </w:p>
    <w:p w14:paraId="69EAF453">
      <w:pPr>
        <w:keepNext w:val="0"/>
        <w:keepLines w:val="0"/>
        <w:pageBreakBefore w:val="0"/>
        <w:widowControl w:val="0"/>
        <w:kinsoku/>
        <w:wordWrap/>
        <w:overflowPunct/>
        <w:topLinePunct w:val="0"/>
        <w:autoSpaceDE/>
        <w:autoSpaceDN/>
        <w:bidi w:val="0"/>
        <w:adjustRightInd/>
        <w:snapToGrid/>
        <w:spacing w:before="156" w:beforeLines="50" w:line="440" w:lineRule="exact"/>
        <w:ind w:firstLine="480" w:firstLineChars="200"/>
        <w:textAlignment w:val="auto"/>
        <w:rPr>
          <w:rFonts w:hint="eastAsia"/>
        </w:rPr>
      </w:pPr>
      <w:r>
        <w:rPr>
          <w:rFonts w:hint="eastAsia" w:ascii="仿宋" w:hAnsi="仿宋" w:eastAsia="仿宋" w:cs="仿宋"/>
          <w:color w:val="333333"/>
          <w:kern w:val="0"/>
          <w:sz w:val="24"/>
          <w:szCs w:val="24"/>
          <w:lang w:val="en-US" w:eastAsia="zh-CN" w:bidi="ar-SA"/>
        </w:rPr>
        <w:t>甲方分两个阶段向乙方付款，第一阶段，合同签订后乙方需向甲方缴纳10%质保金，收到质保金后甲方凭正式发票向乙方支付合同总价款60%，第二阶段，服务期满支付尾款。</w:t>
      </w:r>
    </w:p>
    <w:p w14:paraId="4FB0E074"/>
    <w:p w14:paraId="223FEA38">
      <w:pPr>
        <w:pStyle w:val="16"/>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1.询价小组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450018A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2.1询价。参加询价采购活动的供应商按照询价通知书的规定一次报出不得更改的价。</w:t>
      </w:r>
    </w:p>
    <w:p w14:paraId="7192D788">
      <w:pPr>
        <w:spacing w:line="360" w:lineRule="auto"/>
        <w:ind w:firstLine="480" w:firstLineChars="200"/>
        <w:rPr>
          <w:rFonts w:hint="eastAsia" w:ascii="宋体" w:hAnsi="宋体" w:cs="宋体"/>
          <w:color w:val="FF0000"/>
          <w:sz w:val="24"/>
        </w:rPr>
      </w:pPr>
      <w:r>
        <w:rPr>
          <w:rFonts w:hint="eastAsia" w:ascii="仿宋" w:hAnsi="仿宋" w:eastAsia="仿宋"/>
          <w:sz w:val="24"/>
          <w:szCs w:val="24"/>
        </w:rPr>
        <w:t>2.2确定成交供应商。本次采购由询价小组评审，在质量和服务均能满足采购文件实质性响应要求的前提下，按照报价由低到高的顺序提出3名及以上成交候选人，以提出报价最低的供应商作为推荐成交供应商。</w:t>
      </w:r>
    </w:p>
    <w:p w14:paraId="4E262217">
      <w:pPr>
        <w:spacing w:line="360" w:lineRule="auto"/>
        <w:ind w:firstLine="480" w:firstLineChars="200"/>
        <w:rPr>
          <w:rFonts w:hint="eastAsia" w:ascii="仿宋" w:hAnsi="仿宋" w:eastAsia="仿宋"/>
          <w:sz w:val="24"/>
          <w:szCs w:val="24"/>
        </w:rPr>
      </w:pPr>
    </w:p>
    <w:p w14:paraId="5077E8EB">
      <w:pPr>
        <w:pStyle w:val="16"/>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一、询价响应声明：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w:t>
      </w:r>
    </w:p>
    <w:p w14:paraId="18F19F73">
      <w:pPr>
        <w:pStyle w:val="16"/>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083C3535"/>
    <w:p w14:paraId="76FA2809"/>
    <w:p w14:paraId="26A326CD">
      <w:pPr>
        <w:pStyle w:val="16"/>
        <w:ind w:left="0" w:leftChars="0" w:firstLine="0"/>
      </w:pPr>
    </w:p>
    <w:p w14:paraId="77055329"/>
    <w:p w14:paraId="4DFEE8F5">
      <w:pPr>
        <w:pStyle w:val="16"/>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5FC3736A">
      <w:pPr>
        <w:pStyle w:val="11"/>
        <w:adjustRightInd w:val="0"/>
        <w:snapToGrid w:val="0"/>
        <w:spacing w:line="360" w:lineRule="auto"/>
        <w:rPr>
          <w:rFonts w:hint="eastAsia" w:ascii="仿宋_GB2312" w:hAnsi="宋体" w:eastAsia="仿宋_GB2312"/>
          <w:b/>
        </w:rPr>
      </w:pPr>
    </w:p>
    <w:p w14:paraId="495F3925">
      <w:pPr>
        <w:pStyle w:val="11"/>
        <w:adjustRightInd w:val="0"/>
        <w:snapToGrid w:val="0"/>
        <w:spacing w:line="360" w:lineRule="auto"/>
        <w:rPr>
          <w:rFonts w:hint="eastAsia" w:ascii="仿宋_GB2312" w:hAnsi="宋体" w:eastAsia="仿宋_GB2312"/>
          <w:b/>
        </w:rPr>
      </w:pPr>
    </w:p>
    <w:p w14:paraId="002BFB56">
      <w:pPr>
        <w:pStyle w:val="11"/>
        <w:adjustRightInd w:val="0"/>
        <w:snapToGrid w:val="0"/>
        <w:spacing w:line="360" w:lineRule="auto"/>
        <w:rPr>
          <w:rFonts w:hint="eastAsia" w:ascii="仿宋_GB2312" w:hAnsi="宋体" w:eastAsia="仿宋_GB2312"/>
          <w:b/>
        </w:rPr>
      </w:pPr>
    </w:p>
    <w:p w14:paraId="3BA2FD4C">
      <w:pPr>
        <w:pStyle w:val="11"/>
        <w:adjustRightInd w:val="0"/>
        <w:snapToGrid w:val="0"/>
        <w:spacing w:line="360" w:lineRule="auto"/>
        <w:rPr>
          <w:rFonts w:hint="eastAsia" w:ascii="仿宋_GB2312" w:hAnsi="宋体" w:eastAsia="仿宋_GB2312"/>
          <w:b/>
        </w:rPr>
      </w:pPr>
    </w:p>
    <w:p w14:paraId="5C02B142">
      <w:pPr>
        <w:pStyle w:val="11"/>
        <w:adjustRightInd w:val="0"/>
        <w:snapToGrid w:val="0"/>
        <w:spacing w:line="360" w:lineRule="auto"/>
        <w:rPr>
          <w:rFonts w:hint="eastAsia" w:ascii="仿宋_GB2312" w:hAnsi="宋体" w:eastAsia="仿宋_GB2312"/>
          <w:b/>
        </w:rPr>
      </w:pPr>
    </w:p>
    <w:p w14:paraId="625771E2">
      <w:pPr>
        <w:pStyle w:val="11"/>
        <w:adjustRightInd w:val="0"/>
        <w:snapToGrid w:val="0"/>
        <w:spacing w:line="360" w:lineRule="auto"/>
        <w:rPr>
          <w:rFonts w:hint="eastAsia" w:ascii="仿宋_GB2312" w:hAnsi="宋体" w:eastAsia="仿宋_GB2312"/>
          <w:b/>
        </w:rPr>
      </w:pPr>
    </w:p>
    <w:p w14:paraId="4396E67A">
      <w:pPr>
        <w:pStyle w:val="11"/>
        <w:adjustRightInd w:val="0"/>
        <w:snapToGrid w:val="0"/>
        <w:spacing w:line="360" w:lineRule="auto"/>
        <w:rPr>
          <w:rFonts w:hint="eastAsia" w:ascii="仿宋_GB2312" w:hAnsi="宋体" w:eastAsia="仿宋_GB2312"/>
          <w:b/>
        </w:rPr>
      </w:pPr>
    </w:p>
    <w:p w14:paraId="33EE1F5B">
      <w:pPr>
        <w:pStyle w:val="11"/>
        <w:adjustRightInd w:val="0"/>
        <w:snapToGrid w:val="0"/>
        <w:spacing w:line="360" w:lineRule="auto"/>
        <w:rPr>
          <w:rFonts w:hint="eastAsia" w:ascii="仿宋_GB2312" w:hAnsi="宋体" w:eastAsia="仿宋_GB2312"/>
          <w:b/>
        </w:rPr>
      </w:pPr>
    </w:p>
    <w:p w14:paraId="6E85FE03">
      <w:pPr>
        <w:pStyle w:val="11"/>
        <w:adjustRightInd w:val="0"/>
        <w:snapToGrid w:val="0"/>
        <w:spacing w:line="360" w:lineRule="auto"/>
        <w:rPr>
          <w:rFonts w:hint="eastAsia" w:ascii="仿宋_GB2312" w:hAnsi="宋体" w:eastAsia="仿宋_GB2312"/>
          <w:b/>
        </w:rPr>
      </w:pPr>
    </w:p>
    <w:p w14:paraId="20B9672C">
      <w:pPr>
        <w:pStyle w:val="11"/>
        <w:adjustRightInd w:val="0"/>
        <w:snapToGrid w:val="0"/>
        <w:spacing w:line="360" w:lineRule="auto"/>
        <w:rPr>
          <w:rFonts w:hint="eastAsia" w:ascii="仿宋_GB2312" w:hAnsi="宋体" w:eastAsia="仿宋_GB2312"/>
          <w:b/>
        </w:rPr>
      </w:pPr>
    </w:p>
    <w:p w14:paraId="3C1BA4CE">
      <w:pPr>
        <w:pStyle w:val="11"/>
        <w:adjustRightInd w:val="0"/>
        <w:snapToGrid w:val="0"/>
        <w:spacing w:line="360" w:lineRule="auto"/>
        <w:rPr>
          <w:rFonts w:hint="eastAsia" w:ascii="仿宋_GB2312" w:hAnsi="宋体" w:eastAsia="仿宋_GB2312"/>
          <w:b/>
        </w:rPr>
      </w:pPr>
    </w:p>
    <w:p w14:paraId="6BA60C6A">
      <w:pPr>
        <w:pStyle w:val="11"/>
        <w:adjustRightInd w:val="0"/>
        <w:snapToGrid w:val="0"/>
        <w:spacing w:line="360" w:lineRule="auto"/>
        <w:rPr>
          <w:rFonts w:hint="eastAsia" w:ascii="仿宋_GB2312" w:hAnsi="宋体" w:eastAsia="仿宋_GB2312"/>
          <w:b/>
        </w:rPr>
      </w:pPr>
    </w:p>
    <w:p w14:paraId="2CCC1DC8">
      <w:pPr>
        <w:pStyle w:val="11"/>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询价响应声明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u w:val="single"/>
          <w:lang w:val="en-US" w:eastAsia="zh-CN"/>
        </w:rPr>
        <w:t xml:space="preserve">        </w:t>
      </w:r>
      <w:r>
        <w:rPr>
          <w:rFonts w:hint="eastAsia" w:ascii="仿宋" w:hAnsi="仿宋" w:eastAsia="仿宋" w:cs="Times New Roman"/>
          <w:sz w:val="24"/>
          <w:szCs w:val="24"/>
          <w:u w:val="single"/>
        </w:rPr>
        <w:t xml:space="preserve">  </w:t>
      </w:r>
      <w:r>
        <w:rPr>
          <w:rFonts w:hint="eastAsia" w:ascii="仿宋" w:hAnsi="仿宋" w:eastAsia="仿宋"/>
          <w:sz w:val="24"/>
          <w:szCs w:val="24"/>
          <w:u w:val="single"/>
        </w:rPr>
        <w:t xml:space="preserve">    项目(</w:t>
      </w:r>
      <w:r>
        <w:rPr>
          <w:rFonts w:hint="eastAsia" w:ascii="仿宋" w:hAnsi="仿宋" w:eastAsia="仿宋"/>
          <w:sz w:val="24"/>
          <w:szCs w:val="24"/>
        </w:rPr>
        <w:t>项目名称)的询价采购文件的全部内容，知悉参加询价的风险，我方承诺接受询价采购文件的全部条款且无任何异议。</w:t>
      </w:r>
    </w:p>
    <w:p w14:paraId="6FC4EBF3">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一、我方同意在询价采购文件中规定的提交响应文件截止时间起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u w:val="single"/>
          <w:lang w:val="en-US" w:eastAsia="zh-CN"/>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1"/>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四、我方愿意按询价采购文件规定的文件及更具企业自身报价，详见报价表。</w:t>
      </w:r>
    </w:p>
    <w:p w14:paraId="2E26A803">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五、我方承诺遵守相关法律的规定，保证在获得成交资格后，按照询价采购文件确定的事项签订采购合同，履行双方所签订的合同，并承担合同规定的责任和义务。</w:t>
      </w:r>
    </w:p>
    <w:p w14:paraId="1C248E1D">
      <w:pPr>
        <w:adjustRightInd w:val="0"/>
        <w:snapToGrid w:val="0"/>
        <w:spacing w:line="360" w:lineRule="auto"/>
        <w:ind w:right="24"/>
        <w:rPr>
          <w:rFonts w:hint="eastAsia" w:ascii="仿宋" w:hAnsi="仿宋" w:eastAsia="仿宋"/>
          <w:bCs/>
          <w:sz w:val="24"/>
          <w:szCs w:val="24"/>
        </w:rPr>
      </w:pPr>
    </w:p>
    <w:p w14:paraId="124491FF">
      <w:pPr>
        <w:adjustRightInd w:val="0"/>
        <w:snapToGrid w:val="0"/>
        <w:spacing w:line="360" w:lineRule="auto"/>
        <w:ind w:right="24"/>
        <w:rPr>
          <w:rFonts w:hint="eastAsia" w:ascii="仿宋" w:hAnsi="仿宋" w:eastAsia="仿宋"/>
          <w:bCs/>
          <w:sz w:val="24"/>
          <w:szCs w:val="24"/>
        </w:rPr>
      </w:pPr>
    </w:p>
    <w:p w14:paraId="4FF266DC">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法定代表人身份证明(法定代表人参加询价)</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：法定代表人授权书(委托代理人参加询价)</w:t>
      </w:r>
    </w:p>
    <w:p w14:paraId="6B7C009A">
      <w:pPr>
        <w:pStyle w:val="11"/>
        <w:adjustRightInd w:val="0"/>
        <w:snapToGrid w:val="0"/>
        <w:spacing w:line="360" w:lineRule="auto"/>
        <w:rPr>
          <w:rFonts w:hint="eastAsia" w:ascii="仿宋" w:hAnsi="仿宋" w:eastAsia="仿宋"/>
          <w:sz w:val="24"/>
          <w:szCs w:val="24"/>
        </w:rPr>
      </w:pPr>
    </w:p>
    <w:p w14:paraId="5B8CF27D">
      <w:pPr>
        <w:pStyle w:val="11"/>
        <w:adjustRightInd w:val="0"/>
        <w:snapToGrid w:val="0"/>
        <w:spacing w:line="360" w:lineRule="auto"/>
        <w:rPr>
          <w:rFonts w:hint="eastAsia" w:ascii="仿宋" w:hAnsi="仿宋" w:eastAsia="仿宋"/>
          <w:sz w:val="24"/>
          <w:szCs w:val="24"/>
        </w:rPr>
      </w:pPr>
    </w:p>
    <w:p w14:paraId="0E155071">
      <w:pPr>
        <w:pStyle w:val="11"/>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hint="eastAsia" w:ascii="仿宋" w:hAnsi="仿宋" w:eastAsia="仿宋"/>
          <w:bCs/>
          <w:sz w:val="24"/>
        </w:rPr>
      </w:pPr>
    </w:p>
    <w:p w14:paraId="53E8A92D">
      <w:pPr>
        <w:adjustRightInd w:val="0"/>
        <w:snapToGrid w:val="0"/>
        <w:spacing w:line="360" w:lineRule="auto"/>
        <w:ind w:right="24"/>
        <w:rPr>
          <w:rFonts w:hint="eastAsia" w:ascii="仿宋_GB2312" w:hAnsi="华文中宋" w:eastAsia="仿宋_GB2312"/>
          <w:bCs/>
          <w:sz w:val="24"/>
        </w:rPr>
      </w:pPr>
    </w:p>
    <w:p w14:paraId="7FC44160">
      <w:pPr>
        <w:adjustRightInd w:val="0"/>
        <w:snapToGrid w:val="0"/>
        <w:spacing w:line="360" w:lineRule="auto"/>
        <w:ind w:right="24"/>
        <w:rPr>
          <w:rFonts w:hint="eastAsia" w:ascii="仿宋_GB2312" w:hAnsi="华文中宋" w:eastAsia="仿宋_GB2312"/>
          <w:bCs/>
          <w:sz w:val="24"/>
        </w:rPr>
      </w:pPr>
    </w:p>
    <w:p w14:paraId="2F5415D5">
      <w:pPr>
        <w:adjustRightInd w:val="0"/>
        <w:snapToGrid w:val="0"/>
        <w:spacing w:line="360" w:lineRule="auto"/>
        <w:ind w:right="24"/>
        <w:rPr>
          <w:szCs w:val="21"/>
        </w:rPr>
      </w:pP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法定代表人身份证明(法定代表人参加询价)</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hint="eastAsia" w:ascii="仿宋" w:hAnsi="仿宋" w:eastAsia="仿宋"/>
          <w:sz w:val="24"/>
          <w:szCs w:val="24"/>
        </w:rPr>
      </w:pPr>
    </w:p>
    <w:p w14:paraId="4EAB8206">
      <w:pPr>
        <w:snapToGrid w:val="0"/>
        <w:rPr>
          <w:rFonts w:hint="eastAsia" w:ascii="仿宋" w:hAnsi="仿宋" w:eastAsia="仿宋"/>
          <w:sz w:val="24"/>
          <w:szCs w:val="24"/>
        </w:rPr>
      </w:pPr>
    </w:p>
    <w:p w14:paraId="67C67ED1">
      <w:pPr>
        <w:snapToGrid w:val="0"/>
        <w:rPr>
          <w:rFonts w:hint="eastAsia" w:ascii="仿宋" w:hAnsi="仿宋" w:eastAsia="仿宋"/>
          <w:sz w:val="24"/>
          <w:szCs w:val="24"/>
        </w:rPr>
      </w:pPr>
    </w:p>
    <w:p w14:paraId="172E056E">
      <w:pPr>
        <w:snapToGrid w:val="0"/>
        <w:rPr>
          <w:rFonts w:hint="eastAsia" w:ascii="仿宋" w:hAnsi="仿宋" w:eastAsia="仿宋"/>
          <w:sz w:val="24"/>
          <w:szCs w:val="24"/>
        </w:rPr>
      </w:pPr>
    </w:p>
    <w:p w14:paraId="336B8B31">
      <w:pPr>
        <w:snapToGrid w:val="0"/>
        <w:rPr>
          <w:rFonts w:hint="eastAsia" w:ascii="仿宋" w:hAnsi="仿宋" w:eastAsia="仿宋"/>
          <w:sz w:val="24"/>
          <w:szCs w:val="24"/>
        </w:rPr>
      </w:pP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hint="eastAsia" w:ascii="仿宋_GB2312" w:hAnsi="宋体" w:eastAsia="仿宋_GB2312"/>
          <w:sz w:val="24"/>
          <w:szCs w:val="24"/>
        </w:rPr>
      </w:pPr>
    </w:p>
    <w:p w14:paraId="325667BA">
      <w:pPr>
        <w:adjustRightInd w:val="0"/>
        <w:snapToGrid w:val="0"/>
        <w:spacing w:before="156" w:beforeLines="50" w:line="360" w:lineRule="auto"/>
        <w:rPr>
          <w:rFonts w:hint="eastAsia" w:ascii="仿宋_GB2312" w:hAnsi="宋体" w:eastAsia="仿宋_GB2312"/>
          <w:sz w:val="24"/>
          <w:szCs w:val="24"/>
        </w:rPr>
      </w:pP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法定代表人授权书(委托代理人参加询价)</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编号）响应文件；(2)签署并提交响应文件报价；(3)退出询价；(4)签订合同和处理有关事宜，其法律后果由我方承担。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16"/>
      </w:pPr>
    </w:p>
    <w:p w14:paraId="10CB8852"/>
    <w:p w14:paraId="7F870902"/>
    <w:p w14:paraId="78DBABB8">
      <w:pPr>
        <w:pStyle w:val="16"/>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033553B5">
      <w:pPr>
        <w:jc w:val="center"/>
        <w:rPr>
          <w:rFonts w:hint="eastAsia" w:ascii="仿宋" w:hAnsi="仿宋" w:eastAsia="仿宋"/>
          <w:b/>
          <w:sz w:val="32"/>
          <w:szCs w:val="32"/>
        </w:rPr>
      </w:pPr>
      <w:r>
        <w:rPr>
          <w:rFonts w:ascii="仿宋" w:hAnsi="仿宋" w:eastAsia="仿宋"/>
          <w:b/>
          <w:sz w:val="32"/>
          <w:szCs w:val="32"/>
        </w:rPr>
        <w:t>报价函</w:t>
      </w:r>
    </w:p>
    <w:p w14:paraId="090965E8">
      <w:pPr>
        <w:rPr>
          <w:rFonts w:hint="eastAsia"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rPr>
        <w:t xml:space="preserve">               项目</w:t>
      </w:r>
      <w:r>
        <w:rPr>
          <w:rFonts w:hint="eastAsia" w:ascii="仿宋" w:hAnsi="仿宋" w:eastAsia="仿宋"/>
          <w:sz w:val="24"/>
          <w:szCs w:val="24"/>
        </w:rPr>
        <w:t>询价文件，清楚文件中关于本项目的相关采购需求。</w:t>
      </w:r>
    </w:p>
    <w:p w14:paraId="18CF9AF0">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52D52477">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428420B7">
      <w:pPr>
        <w:pStyle w:val="16"/>
        <w:rPr>
          <w:rFonts w:hint="eastAsia" w:ascii="仿宋" w:hAnsi="仿宋" w:eastAsia="仿宋"/>
        </w:rPr>
      </w:pPr>
    </w:p>
    <w:p w14:paraId="5550980C">
      <w:pPr>
        <w:pStyle w:val="16"/>
        <w:ind w:left="0" w:leftChars="0" w:firstLine="0"/>
        <w:rPr>
          <w:rFonts w:hint="eastAsia" w:ascii="仿宋" w:hAnsi="仿宋" w:eastAsia="仿宋"/>
        </w:rPr>
      </w:pPr>
    </w:p>
    <w:p w14:paraId="638C8DB7">
      <w:pPr>
        <w:spacing w:line="360" w:lineRule="auto"/>
        <w:ind w:firstLine="640"/>
        <w:jc w:val="left"/>
        <w:rPr>
          <w:rFonts w:hint="eastAsia" w:ascii="仿宋" w:hAnsi="仿宋" w:eastAsia="仿宋"/>
          <w:sz w:val="24"/>
          <w:szCs w:val="24"/>
        </w:rPr>
      </w:pPr>
    </w:p>
    <w:p w14:paraId="6E3AC60B">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0000000000000000000"/>
    <w:charset w:val="86"/>
    <w:family w:val="script"/>
    <w:pitch w:val="default"/>
    <w:sig w:usb0="00000000" w:usb1="0000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439EEF50">
    <w:panose1 w:val="02000000000000000000"/>
    <w:charset w:val="86"/>
    <w:family w:val="auto"/>
    <w:pitch w:val="default"/>
    <w:sig w:usb0="00000001" w:usb1="00000000" w:usb2="00000000" w:usb3="00000000" w:csb0="00040001" w:csb1="00000000"/>
  </w:font>
  <w:font w:name="PingFang SC Regular">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KSOFE8852770">
    <w:panose1 w:val="03000509000000000000"/>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3"/>
          <w:jc w:val="center"/>
        </w:pPr>
        <w:r>
          <w:fldChar w:fldCharType="begin"/>
        </w:r>
        <w:r>
          <w:instrText xml:space="preserve">PAGE   \* MERGEFORMAT</w:instrText>
        </w:r>
        <w:r>
          <w:fldChar w:fldCharType="separate"/>
        </w:r>
        <w:r>
          <w:rPr>
            <w:lang w:val="zh-CN"/>
          </w:rPr>
          <w:t>25</w:t>
        </w:r>
        <w:r>
          <w:fldChar w:fldCharType="end"/>
        </w:r>
      </w:p>
    </w:sdtContent>
  </w:sdt>
  <w:p w14:paraId="4ACC8206">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3"/>
      <w:framePr w:wrap="around" w:vAnchor="text" w:hAnchor="margin" w:xAlign="center" w:y="1"/>
      <w:rPr>
        <w:rStyle w:val="20"/>
      </w:rPr>
    </w:pPr>
    <w:r>
      <w:fldChar w:fldCharType="begin"/>
    </w:r>
    <w:r>
      <w:rPr>
        <w:rStyle w:val="20"/>
      </w:rPr>
      <w:instrText xml:space="preserve">PAGE  </w:instrText>
    </w:r>
    <w:r>
      <w:fldChar w:fldCharType="end"/>
    </w:r>
  </w:p>
  <w:p w14:paraId="7B4CFFC0">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4"/>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537128"/>
    <w:multiLevelType w:val="singleLevel"/>
    <w:tmpl w:val="C2537128"/>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72B41"/>
    <w:rsid w:val="000978ED"/>
    <w:rsid w:val="000A4F21"/>
    <w:rsid w:val="000B3E2A"/>
    <w:rsid w:val="000B589D"/>
    <w:rsid w:val="000B5EB2"/>
    <w:rsid w:val="000C38B1"/>
    <w:rsid w:val="000F5572"/>
    <w:rsid w:val="000F5E0A"/>
    <w:rsid w:val="00111A43"/>
    <w:rsid w:val="0011786F"/>
    <w:rsid w:val="00121DE8"/>
    <w:rsid w:val="0012412A"/>
    <w:rsid w:val="0012458D"/>
    <w:rsid w:val="0012755C"/>
    <w:rsid w:val="00133E6C"/>
    <w:rsid w:val="00142CCC"/>
    <w:rsid w:val="0015534D"/>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989"/>
    <w:rsid w:val="003603F2"/>
    <w:rsid w:val="00363043"/>
    <w:rsid w:val="00375975"/>
    <w:rsid w:val="003906B4"/>
    <w:rsid w:val="003A53A1"/>
    <w:rsid w:val="003A55E6"/>
    <w:rsid w:val="003A750D"/>
    <w:rsid w:val="003B0DF4"/>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A78C1"/>
    <w:rsid w:val="004D1D88"/>
    <w:rsid w:val="004D4DC1"/>
    <w:rsid w:val="004D5431"/>
    <w:rsid w:val="004F194E"/>
    <w:rsid w:val="004F6837"/>
    <w:rsid w:val="005038E5"/>
    <w:rsid w:val="00510C43"/>
    <w:rsid w:val="005213BF"/>
    <w:rsid w:val="00521ACC"/>
    <w:rsid w:val="00527948"/>
    <w:rsid w:val="00534255"/>
    <w:rsid w:val="005347BC"/>
    <w:rsid w:val="0053775C"/>
    <w:rsid w:val="00544120"/>
    <w:rsid w:val="00547D86"/>
    <w:rsid w:val="005503FB"/>
    <w:rsid w:val="005504CB"/>
    <w:rsid w:val="0055219A"/>
    <w:rsid w:val="00564560"/>
    <w:rsid w:val="00564D32"/>
    <w:rsid w:val="00574D7B"/>
    <w:rsid w:val="00575A9B"/>
    <w:rsid w:val="00585E27"/>
    <w:rsid w:val="0059459F"/>
    <w:rsid w:val="005A062C"/>
    <w:rsid w:val="005A10B9"/>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2CB9"/>
    <w:rsid w:val="00676612"/>
    <w:rsid w:val="00691796"/>
    <w:rsid w:val="00697843"/>
    <w:rsid w:val="006A6F52"/>
    <w:rsid w:val="006B3AEE"/>
    <w:rsid w:val="006B59C6"/>
    <w:rsid w:val="006C453C"/>
    <w:rsid w:val="006E3F8E"/>
    <w:rsid w:val="006F14B5"/>
    <w:rsid w:val="0070481A"/>
    <w:rsid w:val="00704B82"/>
    <w:rsid w:val="007136E1"/>
    <w:rsid w:val="00716317"/>
    <w:rsid w:val="007201CC"/>
    <w:rsid w:val="0072218D"/>
    <w:rsid w:val="00723967"/>
    <w:rsid w:val="0073488D"/>
    <w:rsid w:val="00751202"/>
    <w:rsid w:val="00751C02"/>
    <w:rsid w:val="00753820"/>
    <w:rsid w:val="00755B07"/>
    <w:rsid w:val="00782076"/>
    <w:rsid w:val="007830BF"/>
    <w:rsid w:val="00785E32"/>
    <w:rsid w:val="00786053"/>
    <w:rsid w:val="00790FFD"/>
    <w:rsid w:val="007A01D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86BCA"/>
    <w:rsid w:val="008A0F71"/>
    <w:rsid w:val="008A5442"/>
    <w:rsid w:val="008B7B0E"/>
    <w:rsid w:val="008C1DFE"/>
    <w:rsid w:val="008C3DAB"/>
    <w:rsid w:val="008C5A1E"/>
    <w:rsid w:val="008C6777"/>
    <w:rsid w:val="008C7219"/>
    <w:rsid w:val="008D390D"/>
    <w:rsid w:val="008E42FD"/>
    <w:rsid w:val="008F12AD"/>
    <w:rsid w:val="00901EAC"/>
    <w:rsid w:val="0090367E"/>
    <w:rsid w:val="0091131C"/>
    <w:rsid w:val="0091197F"/>
    <w:rsid w:val="00914B8F"/>
    <w:rsid w:val="00915032"/>
    <w:rsid w:val="00920941"/>
    <w:rsid w:val="00927E02"/>
    <w:rsid w:val="00953FD6"/>
    <w:rsid w:val="009567AA"/>
    <w:rsid w:val="00975662"/>
    <w:rsid w:val="00982BE7"/>
    <w:rsid w:val="00987145"/>
    <w:rsid w:val="00992170"/>
    <w:rsid w:val="009945FA"/>
    <w:rsid w:val="009A3999"/>
    <w:rsid w:val="009B6342"/>
    <w:rsid w:val="009D6355"/>
    <w:rsid w:val="009E37A4"/>
    <w:rsid w:val="009E6A8E"/>
    <w:rsid w:val="009F7405"/>
    <w:rsid w:val="00A03B59"/>
    <w:rsid w:val="00A10168"/>
    <w:rsid w:val="00A14DD7"/>
    <w:rsid w:val="00A20585"/>
    <w:rsid w:val="00A23F96"/>
    <w:rsid w:val="00A25BA6"/>
    <w:rsid w:val="00A32376"/>
    <w:rsid w:val="00A35BE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347B"/>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179F2"/>
    <w:rsid w:val="00C32C45"/>
    <w:rsid w:val="00C33C22"/>
    <w:rsid w:val="00C366B9"/>
    <w:rsid w:val="00C53205"/>
    <w:rsid w:val="00C53D99"/>
    <w:rsid w:val="00C53E55"/>
    <w:rsid w:val="00C625DA"/>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15B1B"/>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1E31"/>
    <w:rsid w:val="00F07FB6"/>
    <w:rsid w:val="00F129A6"/>
    <w:rsid w:val="00F133F3"/>
    <w:rsid w:val="00F15528"/>
    <w:rsid w:val="00F262E9"/>
    <w:rsid w:val="00F26EA9"/>
    <w:rsid w:val="00F53F67"/>
    <w:rsid w:val="00F55AA7"/>
    <w:rsid w:val="00F60A40"/>
    <w:rsid w:val="00F673D3"/>
    <w:rsid w:val="00F71B67"/>
    <w:rsid w:val="00F72BBE"/>
    <w:rsid w:val="00F86AB7"/>
    <w:rsid w:val="00FA4BEB"/>
    <w:rsid w:val="00FC011A"/>
    <w:rsid w:val="00FE0327"/>
    <w:rsid w:val="00FE4AAE"/>
    <w:rsid w:val="00FE55F5"/>
    <w:rsid w:val="00FF6106"/>
    <w:rsid w:val="017442FA"/>
    <w:rsid w:val="0215299B"/>
    <w:rsid w:val="044E0E32"/>
    <w:rsid w:val="05997E8B"/>
    <w:rsid w:val="066D3445"/>
    <w:rsid w:val="08964B56"/>
    <w:rsid w:val="08C83CB5"/>
    <w:rsid w:val="097D7547"/>
    <w:rsid w:val="09902C2B"/>
    <w:rsid w:val="0A9926DB"/>
    <w:rsid w:val="0C3721EC"/>
    <w:rsid w:val="0CEC11E8"/>
    <w:rsid w:val="0CFD51A3"/>
    <w:rsid w:val="0D7A240F"/>
    <w:rsid w:val="0FB06655"/>
    <w:rsid w:val="10912321"/>
    <w:rsid w:val="10C81F6C"/>
    <w:rsid w:val="11BE5B42"/>
    <w:rsid w:val="13A26E3E"/>
    <w:rsid w:val="13AE369B"/>
    <w:rsid w:val="144F1BCA"/>
    <w:rsid w:val="14FD6A90"/>
    <w:rsid w:val="15455939"/>
    <w:rsid w:val="15B12877"/>
    <w:rsid w:val="16D36F75"/>
    <w:rsid w:val="16FC64CC"/>
    <w:rsid w:val="172E31C9"/>
    <w:rsid w:val="17C3509D"/>
    <w:rsid w:val="19E54DD6"/>
    <w:rsid w:val="1A07140F"/>
    <w:rsid w:val="1A7D2861"/>
    <w:rsid w:val="1BB90E2F"/>
    <w:rsid w:val="1D444728"/>
    <w:rsid w:val="1E4F7829"/>
    <w:rsid w:val="1F9951FF"/>
    <w:rsid w:val="201D3E7D"/>
    <w:rsid w:val="202D76F6"/>
    <w:rsid w:val="20746BB2"/>
    <w:rsid w:val="21E64000"/>
    <w:rsid w:val="22FB1D2D"/>
    <w:rsid w:val="23E9602A"/>
    <w:rsid w:val="242B03F0"/>
    <w:rsid w:val="24F13006"/>
    <w:rsid w:val="26E533CB"/>
    <w:rsid w:val="295D104C"/>
    <w:rsid w:val="29B665AC"/>
    <w:rsid w:val="29D15596"/>
    <w:rsid w:val="2A7725E1"/>
    <w:rsid w:val="2B473D61"/>
    <w:rsid w:val="2CB01DDA"/>
    <w:rsid w:val="2D460049"/>
    <w:rsid w:val="3163566D"/>
    <w:rsid w:val="31D8203D"/>
    <w:rsid w:val="31FA2FC3"/>
    <w:rsid w:val="3248523C"/>
    <w:rsid w:val="353327D7"/>
    <w:rsid w:val="35A3072E"/>
    <w:rsid w:val="35BA60CE"/>
    <w:rsid w:val="38CA49CD"/>
    <w:rsid w:val="39D54C2E"/>
    <w:rsid w:val="3A731769"/>
    <w:rsid w:val="3B3140E6"/>
    <w:rsid w:val="3B8763FC"/>
    <w:rsid w:val="3C0E61D6"/>
    <w:rsid w:val="3D912B45"/>
    <w:rsid w:val="3DC92B7D"/>
    <w:rsid w:val="3E7013C9"/>
    <w:rsid w:val="3F2D1069"/>
    <w:rsid w:val="404D79B1"/>
    <w:rsid w:val="40CF23D7"/>
    <w:rsid w:val="411058C0"/>
    <w:rsid w:val="413277CA"/>
    <w:rsid w:val="41A31919"/>
    <w:rsid w:val="42507548"/>
    <w:rsid w:val="457F75CA"/>
    <w:rsid w:val="471A6376"/>
    <w:rsid w:val="495E1E55"/>
    <w:rsid w:val="4A6C57DD"/>
    <w:rsid w:val="4A842484"/>
    <w:rsid w:val="4ACE4B79"/>
    <w:rsid w:val="4ADA413D"/>
    <w:rsid w:val="4C811ECE"/>
    <w:rsid w:val="4C8E75EA"/>
    <w:rsid w:val="4CD64AED"/>
    <w:rsid w:val="4DEA6AA2"/>
    <w:rsid w:val="4DF74D1B"/>
    <w:rsid w:val="505E5526"/>
    <w:rsid w:val="50C025FA"/>
    <w:rsid w:val="51CA3B38"/>
    <w:rsid w:val="53425821"/>
    <w:rsid w:val="543D7D43"/>
    <w:rsid w:val="54413194"/>
    <w:rsid w:val="554E608A"/>
    <w:rsid w:val="56D36709"/>
    <w:rsid w:val="56EB5013"/>
    <w:rsid w:val="57A557E8"/>
    <w:rsid w:val="57DD4F82"/>
    <w:rsid w:val="59337A15"/>
    <w:rsid w:val="5A865DA5"/>
    <w:rsid w:val="5B3B1FAA"/>
    <w:rsid w:val="5BEE021E"/>
    <w:rsid w:val="5BF22FC6"/>
    <w:rsid w:val="5CF8252C"/>
    <w:rsid w:val="5D0631CD"/>
    <w:rsid w:val="5D215911"/>
    <w:rsid w:val="5DBF70F0"/>
    <w:rsid w:val="5DF23B2E"/>
    <w:rsid w:val="5E7005F6"/>
    <w:rsid w:val="5E7C394C"/>
    <w:rsid w:val="5F4578E7"/>
    <w:rsid w:val="5F4E26F5"/>
    <w:rsid w:val="60511ABB"/>
    <w:rsid w:val="62173015"/>
    <w:rsid w:val="6228716A"/>
    <w:rsid w:val="62652744"/>
    <w:rsid w:val="63A20CFF"/>
    <w:rsid w:val="63F83144"/>
    <w:rsid w:val="66DC6D4D"/>
    <w:rsid w:val="68B735CD"/>
    <w:rsid w:val="6A400653"/>
    <w:rsid w:val="6A7F45BF"/>
    <w:rsid w:val="6B5A68F5"/>
    <w:rsid w:val="6BBF5D79"/>
    <w:rsid w:val="6BC9041D"/>
    <w:rsid w:val="6DAB7F02"/>
    <w:rsid w:val="6FBE0C70"/>
    <w:rsid w:val="719E17CE"/>
    <w:rsid w:val="71CD20B4"/>
    <w:rsid w:val="72567DE8"/>
    <w:rsid w:val="72C16AF2"/>
    <w:rsid w:val="72FA6ED8"/>
    <w:rsid w:val="73A76E7D"/>
    <w:rsid w:val="74A23383"/>
    <w:rsid w:val="75730384"/>
    <w:rsid w:val="78401AE9"/>
    <w:rsid w:val="7B4E5EDA"/>
    <w:rsid w:val="7BEB3862"/>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27"/>
    <w:qFormat/>
    <w:uiPriority w:val="0"/>
    <w:pPr>
      <w:keepNext/>
      <w:keepLines/>
      <w:spacing w:before="480"/>
      <w:jc w:val="center"/>
      <w:outlineLvl w:val="0"/>
    </w:pPr>
    <w:rPr>
      <w:rFonts w:ascii="Cambria" w:hAnsi="Cambria" w:eastAsia="华文中宋"/>
      <w:b/>
      <w:bCs/>
      <w:sz w:val="44"/>
      <w:szCs w:val="28"/>
    </w:rPr>
  </w:style>
  <w:style w:type="paragraph" w:styleId="4">
    <w:name w:val="heading 2"/>
    <w:basedOn w:val="1"/>
    <w:next w:val="1"/>
    <w:link w:val="30"/>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6"/>
    <w:basedOn w:val="1"/>
    <w:next w:val="1"/>
    <w:link w:val="34"/>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39"/>
    <w:pPr>
      <w:tabs>
        <w:tab w:val="right" w:leader="dot" w:pos="9628"/>
      </w:tabs>
      <w:spacing w:line="480" w:lineRule="auto"/>
    </w:pPr>
    <w:rPr>
      <w:rFonts w:ascii="仿宋_GB2312" w:hAnsi="宋体" w:eastAsia="仿宋_GB2312"/>
      <w:b/>
      <w:sz w:val="24"/>
      <w:szCs w:val="20"/>
    </w:rPr>
  </w:style>
  <w:style w:type="paragraph" w:styleId="6">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7">
    <w:name w:val="Document Map"/>
    <w:basedOn w:val="1"/>
    <w:link w:val="23"/>
    <w:semiHidden/>
    <w:unhideWhenUsed/>
    <w:qFormat/>
    <w:uiPriority w:val="99"/>
    <w:rPr>
      <w:rFonts w:ascii="宋体"/>
      <w:sz w:val="18"/>
      <w:szCs w:val="18"/>
    </w:rPr>
  </w:style>
  <w:style w:type="paragraph" w:styleId="8">
    <w:name w:val="Body Text"/>
    <w:basedOn w:val="1"/>
    <w:next w:val="1"/>
    <w:link w:val="35"/>
    <w:qFormat/>
    <w:uiPriority w:val="0"/>
    <w:pPr>
      <w:spacing w:after="120"/>
    </w:pPr>
    <w:rPr>
      <w:rFonts w:ascii="Times New Roman" w:hAnsi="Times New Roman"/>
      <w:szCs w:val="24"/>
    </w:rPr>
  </w:style>
  <w:style w:type="paragraph" w:styleId="9">
    <w:name w:val="Body Text Indent"/>
    <w:basedOn w:val="1"/>
    <w:next w:val="10"/>
    <w:unhideWhenUsed/>
    <w:qFormat/>
    <w:uiPriority w:val="99"/>
    <w:pPr>
      <w:spacing w:after="120"/>
      <w:ind w:left="420" w:leftChars="200"/>
    </w:pPr>
  </w:style>
  <w:style w:type="paragraph" w:styleId="10">
    <w:name w:val="Body Text Indent 2"/>
    <w:basedOn w:val="1"/>
    <w:link w:val="39"/>
    <w:qFormat/>
    <w:uiPriority w:val="99"/>
    <w:pPr>
      <w:spacing w:after="120" w:line="480" w:lineRule="auto"/>
      <w:ind w:left="420" w:leftChars="200"/>
    </w:pPr>
    <w:rPr>
      <w:kern w:val="0"/>
      <w:sz w:val="24"/>
    </w:rPr>
  </w:style>
  <w:style w:type="paragraph" w:styleId="11">
    <w:name w:val="Plain Text"/>
    <w:basedOn w:val="1"/>
    <w:link w:val="28"/>
    <w:qFormat/>
    <w:uiPriority w:val="0"/>
    <w:rPr>
      <w:rFonts w:ascii="宋体" w:hAnsi="Courier New"/>
      <w:kern w:val="0"/>
      <w:szCs w:val="20"/>
    </w:rPr>
  </w:style>
  <w:style w:type="paragraph" w:styleId="12">
    <w:name w:val="Date"/>
    <w:basedOn w:val="1"/>
    <w:next w:val="1"/>
    <w:link w:val="25"/>
    <w:semiHidden/>
    <w:unhideWhenUsed/>
    <w:qFormat/>
    <w:uiPriority w:val="99"/>
    <w:pPr>
      <w:ind w:left="100" w:leftChars="2500"/>
    </w:pPr>
  </w:style>
  <w:style w:type="paragraph" w:styleId="13">
    <w:name w:val="footer"/>
    <w:basedOn w:val="1"/>
    <w:link w:val="22"/>
    <w:unhideWhenUsed/>
    <w:qFormat/>
    <w:uiPriority w:val="99"/>
    <w:pPr>
      <w:tabs>
        <w:tab w:val="center" w:pos="4153"/>
        <w:tab w:val="right" w:pos="8306"/>
      </w:tabs>
      <w:snapToGrid w:val="0"/>
      <w:jc w:val="left"/>
    </w:pPr>
    <w:rPr>
      <w:sz w:val="18"/>
      <w:szCs w:val="18"/>
    </w:rPr>
  </w:style>
  <w:style w:type="paragraph" w:styleId="14">
    <w:name w:val="header"/>
    <w:basedOn w:val="1"/>
    <w:link w:val="21"/>
    <w:unhideWhenUsed/>
    <w:qFormat/>
    <w:uiPriority w:val="0"/>
    <w:pPr>
      <w:pBdr>
        <w:bottom w:val="single" w:color="auto" w:sz="6" w:space="1"/>
      </w:pBdr>
      <w:tabs>
        <w:tab w:val="center" w:pos="4153"/>
        <w:tab w:val="right" w:pos="8306"/>
      </w:tabs>
      <w:snapToGrid w:val="0"/>
      <w:jc w:val="center"/>
    </w:pPr>
    <w:rPr>
      <w:sz w:val="18"/>
      <w:szCs w:val="18"/>
    </w:rPr>
  </w:style>
  <w:style w:type="paragraph" w:styleId="15">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6">
    <w:name w:val="Body Text First Indent 2"/>
    <w:basedOn w:val="9"/>
    <w:next w:val="1"/>
    <w:unhideWhenUsed/>
    <w:qFormat/>
    <w:uiPriority w:val="99"/>
    <w:pPr>
      <w:spacing w:before="100" w:beforeAutospacing="1"/>
      <w:ind w:firstLine="420"/>
    </w:pPr>
    <w:rPr>
      <w:szCs w:val="21"/>
    </w:rPr>
  </w:style>
  <w:style w:type="table" w:styleId="18">
    <w:name w:val="Table Grid"/>
    <w:basedOn w:val="17"/>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qFormat/>
    <w:uiPriority w:val="0"/>
  </w:style>
  <w:style w:type="character" w:customStyle="1" w:styleId="21">
    <w:name w:val="页眉 字符"/>
    <w:basedOn w:val="19"/>
    <w:link w:val="14"/>
    <w:qFormat/>
    <w:uiPriority w:val="0"/>
    <w:rPr>
      <w:rFonts w:ascii="Calibri" w:hAnsi="Calibri" w:eastAsia="宋体" w:cs="Times New Roman"/>
      <w:sz w:val="18"/>
      <w:szCs w:val="18"/>
    </w:rPr>
  </w:style>
  <w:style w:type="character" w:customStyle="1" w:styleId="22">
    <w:name w:val="页脚 字符"/>
    <w:basedOn w:val="19"/>
    <w:link w:val="13"/>
    <w:qFormat/>
    <w:uiPriority w:val="99"/>
    <w:rPr>
      <w:rFonts w:ascii="Calibri" w:hAnsi="Calibri" w:eastAsia="宋体" w:cs="Times New Roman"/>
      <w:sz w:val="18"/>
      <w:szCs w:val="18"/>
    </w:rPr>
  </w:style>
  <w:style w:type="character" w:customStyle="1" w:styleId="23">
    <w:name w:val="文档结构图 字符"/>
    <w:basedOn w:val="19"/>
    <w:link w:val="7"/>
    <w:semiHidden/>
    <w:qFormat/>
    <w:uiPriority w:val="99"/>
    <w:rPr>
      <w:rFonts w:ascii="宋体" w:hAnsi="Calibri" w:eastAsia="宋体" w:cs="Times New Roman"/>
      <w:sz w:val="18"/>
      <w:szCs w:val="18"/>
    </w:rPr>
  </w:style>
  <w:style w:type="paragraph" w:customStyle="1" w:styleId="24">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5">
    <w:name w:val="日期 字符"/>
    <w:basedOn w:val="19"/>
    <w:link w:val="12"/>
    <w:semiHidden/>
    <w:qFormat/>
    <w:uiPriority w:val="99"/>
    <w:rPr>
      <w:rFonts w:ascii="Calibri" w:hAnsi="Calibri" w:eastAsia="宋体" w:cs="Times New Roman"/>
    </w:rPr>
  </w:style>
  <w:style w:type="paragraph" w:customStyle="1" w:styleId="26">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7">
    <w:name w:val="标题 1 字符"/>
    <w:basedOn w:val="19"/>
    <w:link w:val="3"/>
    <w:qFormat/>
    <w:uiPriority w:val="0"/>
    <w:rPr>
      <w:rFonts w:ascii="Cambria" w:hAnsi="Cambria" w:eastAsia="华文中宋" w:cs="Times New Roman"/>
      <w:b/>
      <w:bCs/>
      <w:sz w:val="44"/>
      <w:szCs w:val="28"/>
    </w:rPr>
  </w:style>
  <w:style w:type="character" w:customStyle="1" w:styleId="28">
    <w:name w:val="纯文本 字符"/>
    <w:link w:val="11"/>
    <w:qFormat/>
    <w:locked/>
    <w:uiPriority w:val="0"/>
    <w:rPr>
      <w:rFonts w:ascii="宋体" w:hAnsi="Courier New"/>
      <w:sz w:val="21"/>
    </w:rPr>
  </w:style>
  <w:style w:type="character" w:customStyle="1" w:styleId="29">
    <w:name w:val="纯文本 Char"/>
    <w:basedOn w:val="19"/>
    <w:semiHidden/>
    <w:qFormat/>
    <w:uiPriority w:val="99"/>
    <w:rPr>
      <w:rFonts w:ascii="宋体" w:hAnsi="Courier New" w:cs="Courier New"/>
      <w:kern w:val="2"/>
      <w:sz w:val="21"/>
      <w:szCs w:val="21"/>
    </w:rPr>
  </w:style>
  <w:style w:type="character" w:customStyle="1" w:styleId="30">
    <w:name w:val="标题 2 字符"/>
    <w:basedOn w:val="19"/>
    <w:link w:val="4"/>
    <w:semiHidden/>
    <w:qFormat/>
    <w:uiPriority w:val="9"/>
    <w:rPr>
      <w:rFonts w:asciiTheme="majorHAnsi" w:hAnsiTheme="majorHAnsi" w:eastAsiaTheme="majorEastAsia" w:cstheme="majorBidi"/>
      <w:b/>
      <w:bCs/>
      <w:kern w:val="2"/>
      <w:sz w:val="32"/>
      <w:szCs w:val="32"/>
    </w:rPr>
  </w:style>
  <w:style w:type="paragraph" w:customStyle="1" w:styleId="31">
    <w:name w:val="Table Paragraph"/>
    <w:basedOn w:val="1"/>
    <w:qFormat/>
    <w:uiPriority w:val="1"/>
  </w:style>
  <w:style w:type="paragraph" w:customStyle="1" w:styleId="32">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3">
    <w:name w:val="Char1 Char Char Char Char Char Char Char"/>
    <w:basedOn w:val="1"/>
    <w:qFormat/>
    <w:uiPriority w:val="0"/>
    <w:rPr>
      <w:rFonts w:ascii="Tahoma" w:hAnsi="Tahoma"/>
      <w:sz w:val="24"/>
      <w:szCs w:val="20"/>
    </w:rPr>
  </w:style>
  <w:style w:type="character" w:customStyle="1" w:styleId="34">
    <w:name w:val="标题 6 字符"/>
    <w:basedOn w:val="19"/>
    <w:link w:val="5"/>
    <w:qFormat/>
    <w:uiPriority w:val="9"/>
    <w:rPr>
      <w:rFonts w:asciiTheme="majorHAnsi" w:hAnsiTheme="majorHAnsi" w:eastAsiaTheme="majorEastAsia" w:cstheme="majorBidi"/>
      <w:b/>
      <w:bCs/>
      <w:kern w:val="2"/>
      <w:sz w:val="24"/>
      <w:szCs w:val="24"/>
    </w:rPr>
  </w:style>
  <w:style w:type="character" w:customStyle="1" w:styleId="35">
    <w:name w:val="正文文本 字符"/>
    <w:basedOn w:val="19"/>
    <w:link w:val="8"/>
    <w:qFormat/>
    <w:uiPriority w:val="0"/>
    <w:rPr>
      <w:kern w:val="2"/>
      <w:sz w:val="21"/>
      <w:szCs w:val="24"/>
    </w:rPr>
  </w:style>
  <w:style w:type="paragraph" w:styleId="36">
    <w:name w:val="List Paragraph"/>
    <w:basedOn w:val="1"/>
    <w:qFormat/>
    <w:uiPriority w:val="34"/>
    <w:pPr>
      <w:ind w:firstLine="420" w:firstLineChars="200"/>
    </w:pPr>
    <w:rPr>
      <w:rFonts w:ascii="Times New Roman" w:hAnsi="Times New Roman"/>
      <w:szCs w:val="24"/>
    </w:rPr>
  </w:style>
  <w:style w:type="paragraph" w:customStyle="1" w:styleId="37">
    <w:name w:val="样式 宋体1"/>
    <w:basedOn w:val="1"/>
    <w:qFormat/>
    <w:uiPriority w:val="0"/>
    <w:pPr>
      <w:ind w:firstLine="420" w:firstLineChars="200"/>
      <w:jc w:val="left"/>
    </w:pPr>
    <w:rPr>
      <w:rFonts w:ascii="宋体" w:hAnsi="宋体" w:eastAsia="等线" w:cs="宋体"/>
      <w:szCs w:val="20"/>
    </w:rPr>
  </w:style>
  <w:style w:type="paragraph" w:customStyle="1" w:styleId="38">
    <w:name w:val="Normal_1"/>
    <w:qFormat/>
    <w:uiPriority w:val="0"/>
    <w:rPr>
      <w:rFonts w:ascii="Calibri" w:hAnsi="Calibri" w:eastAsia="宋体" w:cs="Times New Roman"/>
      <w:sz w:val="24"/>
      <w:szCs w:val="24"/>
      <w:lang w:val="en-US" w:eastAsia="zh-CN" w:bidi="ar-SA"/>
    </w:rPr>
  </w:style>
  <w:style w:type="character" w:customStyle="1" w:styleId="39">
    <w:name w:val="正文文本缩进 2 字符"/>
    <w:link w:val="10"/>
    <w:qFormat/>
    <w:uiPriority w:val="99"/>
    <w:rPr>
      <w:rFonts w:ascii="Calibri" w:hAnsi="Calibri"/>
      <w:sz w:val="24"/>
      <w:szCs w:val="22"/>
    </w:rPr>
  </w:style>
  <w:style w:type="paragraph" w:customStyle="1" w:styleId="40">
    <w:name w:val="01 文件标题"/>
    <w:basedOn w:val="1"/>
    <w:next w:val="1"/>
    <w:qFormat/>
    <w:uiPriority w:val="0"/>
    <w:pPr>
      <w:spacing w:line="560" w:lineRule="exact"/>
      <w:jc w:val="center"/>
    </w:pPr>
    <w:rPr>
      <w:rFonts w:ascii="方正小标宋简体" w:eastAsia="方正小标宋简体"/>
      <w:sz w:val="44"/>
    </w:rPr>
  </w:style>
  <w:style w:type="paragraph" w:customStyle="1" w:styleId="41">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2">
    <w:name w:val="04 二级标题"/>
    <w:basedOn w:val="4"/>
    <w:qFormat/>
    <w:uiPriority w:val="0"/>
    <w:pPr>
      <w:spacing w:before="0" w:after="0" w:line="560" w:lineRule="exact"/>
      <w:ind w:firstLine="200" w:firstLineChars="200"/>
    </w:pPr>
    <w:rPr>
      <w:rFonts w:ascii="楷体_GB2312" w:hAnsi="Times New Roman" w:eastAsia="楷体_GB2312"/>
      <w:b w:val="0"/>
    </w:rPr>
  </w:style>
  <w:style w:type="character" w:customStyle="1" w:styleId="43">
    <w:name w:val="font61"/>
    <w:basedOn w:val="19"/>
    <w:qFormat/>
    <w:uiPriority w:val="0"/>
    <w:rPr>
      <w:rFonts w:hint="default" w:ascii="PingFang SC Regular" w:hAnsi="PingFang SC Regular" w:eastAsia="PingFang SC Regular" w:cs="PingFang SC Regular"/>
      <w:color w:val="000000"/>
      <w:sz w:val="24"/>
      <w:szCs w:val="24"/>
      <w:u w:val="none"/>
    </w:rPr>
  </w:style>
  <w:style w:type="paragraph" w:customStyle="1" w:styleId="44">
    <w:name w:val=" Char1 Char Char Char Char Char Char Char"/>
    <w:basedOn w:val="1"/>
    <w:qFormat/>
    <w:uiPriority w:val="0"/>
    <w:rPr>
      <w:rFonts w:ascii="Tahoma" w:hAnsi="Tahoma"/>
      <w:sz w:val="24"/>
      <w:szCs w:val="20"/>
    </w:rPr>
  </w:style>
  <w:style w:type="character" w:customStyle="1" w:styleId="45">
    <w:name w:val="font81"/>
    <w:basedOn w:val="19"/>
    <w:uiPriority w:val="0"/>
    <w:rPr>
      <w:rFonts w:hint="default" w:ascii="PingFang SC Regular" w:hAnsi="PingFang SC Regular" w:eastAsia="PingFang SC Regular" w:cs="PingFang SC Regular"/>
      <w:color w:val="FF0000"/>
      <w:sz w:val="24"/>
      <w:szCs w:val="24"/>
      <w:u w:val="none"/>
    </w:rPr>
  </w:style>
  <w:style w:type="character" w:customStyle="1" w:styleId="46">
    <w:name w:val="font31"/>
    <w:basedOn w:val="19"/>
    <w:uiPriority w:val="0"/>
    <w:rPr>
      <w:rFonts w:hint="default" w:ascii="PingFang SC Regular" w:hAnsi="PingFang SC Regular" w:eastAsia="PingFang SC Regular" w:cs="PingFang SC Regular"/>
      <w:color w:val="000000"/>
      <w:sz w:val="24"/>
      <w:szCs w:val="24"/>
      <w:u w:val="none"/>
    </w:rPr>
  </w:style>
  <w:style w:type="character" w:customStyle="1" w:styleId="47">
    <w:name w:val="font01"/>
    <w:basedOn w:val="19"/>
    <w:qFormat/>
    <w:uiPriority w:val="0"/>
    <w:rPr>
      <w:rFonts w:hint="eastAsia" w:ascii="宋体" w:hAnsi="宋体" w:eastAsia="宋体" w:cs="宋体"/>
      <w:color w:val="000000"/>
      <w:sz w:val="24"/>
      <w:szCs w:val="24"/>
      <w:u w:val="none"/>
    </w:rPr>
  </w:style>
  <w:style w:type="character" w:customStyle="1" w:styleId="48">
    <w:name w:val="font91"/>
    <w:basedOn w:val="19"/>
    <w:qFormat/>
    <w:uiPriority w:val="0"/>
    <w:rPr>
      <w:rFonts w:hint="eastAsia" w:ascii="宋体" w:hAnsi="宋体" w:eastAsia="宋体" w:cs="宋体"/>
      <w:color w:val="FF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2354</Words>
  <Characters>2413</Characters>
  <Lines>184</Lines>
  <Paragraphs>156</Paragraphs>
  <TotalTime>0</TotalTime>
  <ScaleCrop>false</ScaleCrop>
  <LinksUpToDate>false</LinksUpToDate>
  <CharactersWithSpaces>3210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2025-01-03T02:27:00Z</dcterms:created>
  <dc:creator>china</dc:creator>
  <cp:lastModifiedBy></cp:lastModifiedBy>
  <cp:lastPrinted>2020-08-24T02:17:00Z</cp:lastPrinted>
  <dcterms:modified xsi:type="dcterms:W3CDTF">2025-12-09T08:29:13Z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2A6AD23BD4B94AE5A9AD659C39BF99E0_13</vt:lpwstr>
  </property>
  <property fmtid="{D5CDD505-2E9C-101B-9397-08002B2CF9AE}" pid="4" name="KSOTemplateDocerSaveRecord">
    <vt:lpwstr>eyJoZGlkIjoiNjExNjA1MzY4NDcxNDhlNGIwYWUzMzQ5YTk5ZTk5ZTUiLCJ1c2VySWQiOiI0OTQ3NjU2MzMifQ==</vt:lpwstr>
  </property>
</Properties>
</file>