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5"/>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5"/>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5"/>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5"/>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5"/>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5"/>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20"/>
        <w:ind w:firstLine="640" w:firstLineChars="2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sz w:val="32"/>
          <w:szCs w:val="32"/>
        </w:rPr>
        <w:t>湖南铁道职业技术学院中国特色高水平高职学校和专业建设计划(2025-2029年)2026年度绩效评价审核服务</w:t>
      </w:r>
      <w:r>
        <w:rPr>
          <w:rFonts w:hint="eastAsia" w:ascii="黑体" w:hAnsi="黑体" w:eastAsia="黑体"/>
          <w:kern w:val="0"/>
          <w:sz w:val="32"/>
          <w:szCs w:val="32"/>
        </w:rPr>
        <w:t>项目</w:t>
      </w:r>
    </w:p>
    <w:p w14:paraId="3286CA34">
      <w:pPr>
        <w:pStyle w:val="5"/>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5"/>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5"/>
        <w:adjustRightInd w:val="0"/>
        <w:snapToGrid w:val="0"/>
        <w:spacing w:line="440" w:lineRule="exact"/>
        <w:jc w:val="center"/>
        <w:rPr>
          <w:rFonts w:hint="eastAsia" w:ascii="黑体" w:hAnsi="黑体" w:eastAsia="黑体"/>
          <w:b/>
          <w:sz w:val="32"/>
        </w:rPr>
      </w:pPr>
    </w:p>
    <w:p w14:paraId="12277452">
      <w:pPr>
        <w:pStyle w:val="5"/>
        <w:adjustRightInd w:val="0"/>
        <w:snapToGrid w:val="0"/>
        <w:spacing w:line="440" w:lineRule="exact"/>
        <w:jc w:val="center"/>
        <w:rPr>
          <w:rFonts w:hint="eastAsia" w:ascii="黑体" w:hAnsi="黑体" w:eastAsia="黑体"/>
          <w:b/>
          <w:sz w:val="32"/>
        </w:rPr>
      </w:pPr>
    </w:p>
    <w:p w14:paraId="263E19F8">
      <w:pPr>
        <w:pStyle w:val="5"/>
        <w:adjustRightInd w:val="0"/>
        <w:snapToGrid w:val="0"/>
        <w:spacing w:line="440" w:lineRule="exact"/>
        <w:jc w:val="center"/>
        <w:rPr>
          <w:rFonts w:hint="eastAsia" w:ascii="黑体" w:hAnsi="黑体" w:eastAsia="黑体"/>
          <w:b/>
          <w:sz w:val="32"/>
        </w:rPr>
      </w:pPr>
    </w:p>
    <w:p w14:paraId="00E611DA">
      <w:pPr>
        <w:pStyle w:val="5"/>
        <w:adjustRightInd w:val="0"/>
        <w:snapToGrid w:val="0"/>
        <w:spacing w:line="440" w:lineRule="exact"/>
        <w:jc w:val="center"/>
        <w:rPr>
          <w:rFonts w:hint="eastAsia" w:ascii="黑体" w:hAnsi="黑体" w:eastAsia="黑体"/>
          <w:b/>
          <w:sz w:val="32"/>
        </w:rPr>
      </w:pPr>
    </w:p>
    <w:p w14:paraId="5BD02E6F">
      <w:pPr>
        <w:pStyle w:val="5"/>
        <w:adjustRightInd w:val="0"/>
        <w:snapToGrid w:val="0"/>
        <w:spacing w:line="440" w:lineRule="exact"/>
        <w:jc w:val="center"/>
        <w:rPr>
          <w:rFonts w:hint="eastAsia" w:ascii="黑体" w:hAnsi="黑体" w:eastAsia="黑体"/>
          <w:b/>
          <w:sz w:val="32"/>
        </w:rPr>
      </w:pPr>
    </w:p>
    <w:p w14:paraId="51D3F09C">
      <w:pPr>
        <w:pStyle w:val="5"/>
        <w:adjustRightInd w:val="0"/>
        <w:snapToGrid w:val="0"/>
        <w:spacing w:line="440" w:lineRule="exact"/>
        <w:jc w:val="center"/>
        <w:rPr>
          <w:rFonts w:hint="eastAsia" w:ascii="黑体" w:hAnsi="黑体" w:eastAsia="黑体"/>
          <w:b/>
          <w:sz w:val="32"/>
        </w:rPr>
      </w:pPr>
    </w:p>
    <w:p w14:paraId="33437265">
      <w:pPr>
        <w:pStyle w:val="5"/>
        <w:adjustRightInd w:val="0"/>
        <w:snapToGrid w:val="0"/>
        <w:spacing w:line="440" w:lineRule="exact"/>
        <w:jc w:val="center"/>
        <w:rPr>
          <w:rFonts w:hint="eastAsia" w:ascii="黑体" w:hAnsi="黑体" w:eastAsia="黑体"/>
          <w:b/>
          <w:sz w:val="32"/>
        </w:rPr>
      </w:pPr>
    </w:p>
    <w:p w14:paraId="646F9A24">
      <w:pPr>
        <w:pStyle w:val="5"/>
        <w:adjustRightInd w:val="0"/>
        <w:snapToGrid w:val="0"/>
        <w:spacing w:line="440" w:lineRule="exact"/>
        <w:jc w:val="center"/>
        <w:rPr>
          <w:rFonts w:hint="eastAsia" w:ascii="黑体" w:hAnsi="黑体" w:eastAsia="黑体"/>
          <w:b/>
          <w:sz w:val="32"/>
        </w:rPr>
      </w:pPr>
    </w:p>
    <w:p w14:paraId="3BDBB089">
      <w:pPr>
        <w:pStyle w:val="5"/>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rPr>
        <w:t>一</w:t>
      </w:r>
      <w:r>
        <w:rPr>
          <w:rFonts w:ascii="黑体" w:hAnsi="黑体" w:eastAsia="黑体"/>
          <w:sz w:val="32"/>
          <w:szCs w:val="32"/>
        </w:rPr>
        <w:t>月</w:t>
      </w:r>
    </w:p>
    <w:p w14:paraId="09B8538F">
      <w:pPr>
        <w:jc w:val="center"/>
        <w:rPr>
          <w:rFonts w:hint="eastAsia" w:ascii="宋体" w:hAnsi="宋体" w:cs="宋体"/>
          <w:b/>
          <w:bCs/>
          <w:kern w:val="0"/>
          <w:sz w:val="28"/>
          <w:szCs w:val="28"/>
        </w:rPr>
      </w:pPr>
    </w:p>
    <w:p w14:paraId="30CE0069">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w:t>
      </w:r>
    </w:p>
    <w:p w14:paraId="5A4F64A8">
      <w:pPr>
        <w:jc w:val="center"/>
        <w:outlineLvl w:val="0"/>
        <w:rPr>
          <w:rFonts w:hint="eastAsia" w:ascii="黑体" w:hAnsi="黑体" w:eastAsia="黑体"/>
          <w:b/>
          <w:sz w:val="36"/>
          <w:szCs w:val="36"/>
        </w:rPr>
      </w:pPr>
      <w:r>
        <w:rPr>
          <w:rFonts w:hint="eastAsia" w:ascii="黑体" w:hAnsi="黑体" w:eastAsia="黑体"/>
          <w:b/>
          <w:sz w:val="36"/>
          <w:szCs w:val="36"/>
        </w:rPr>
        <w:t>中国特色高水平高职学校和专业建设计划(2025-2029年)2026年度绩效评价审核服务询比采购公告</w:t>
      </w:r>
    </w:p>
    <w:p w14:paraId="32D56EF4">
      <w:pPr>
        <w:pStyle w:val="8"/>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湖南铁道职业技术学院中国特色高水平高职学校和专业建设计划(2025-2029年)2026年度绩效评价审核服务项目</w:t>
      </w:r>
      <w:r>
        <w:rPr>
          <w:rFonts w:hint="eastAsia" w:ascii="仿宋" w:hAnsi="仿宋" w:eastAsia="仿宋"/>
          <w:sz w:val="24"/>
          <w:szCs w:val="24"/>
          <w:lang w:val="en-US" w:eastAsia="zh-CN"/>
        </w:rPr>
        <w:t>需</w:t>
      </w:r>
      <w:r>
        <w:rPr>
          <w:rFonts w:hint="eastAsia" w:ascii="仿宋" w:hAnsi="仿宋" w:eastAsia="仿宋"/>
          <w:sz w:val="24"/>
          <w:szCs w:val="24"/>
        </w:rPr>
        <w:t>进行采购，现采用发布公告方式，邀请符合资格条件的供应商参与采购活动。</w:t>
      </w:r>
    </w:p>
    <w:p w14:paraId="410E4C06">
      <w:pPr>
        <w:snapToGrid w:val="0"/>
        <w:spacing w:line="360" w:lineRule="auto"/>
        <w:ind w:firstLine="482" w:firstLineChars="200"/>
        <w:jc w:val="left"/>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 xml:space="preserve">一、采购项目基本情况 </w:t>
      </w:r>
    </w:p>
    <w:p w14:paraId="5C8763A9">
      <w:pPr>
        <w:pStyle w:val="8"/>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1.项目名称：中国特色高水平高职学校和专业建设计划(2025-2029年)2026年度绩效评价审核服务</w:t>
      </w:r>
    </w:p>
    <w:p w14:paraId="5107304C">
      <w:pPr>
        <w:pStyle w:val="8"/>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2.项目概况：</w:t>
      </w:r>
    </w:p>
    <w:p w14:paraId="34CFE674">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根据《教育部财政部关于实施中国特色高水平高职学校和专业建设计划(2025-2029年)的通知》，为深入贯彻《教育强国建设规划纲要(2024—2035年)》和三年行动计划的总体工作部署，教育部、财政部决定实施中国特色高水平高职学校和专业建设计划(2025—2029年)，简称第二期“双高计划”。通知中指出了发挥绩效评价的指挥棒作用，引导高职学校坚定服务导向的办学理念；发挥第三方评价作用，定期跟踪评价。充分发挥第三方评价作用，顺利建设第二期“双高计划”项目，有助于我校资源与声誉的双重升级。</w:t>
      </w:r>
    </w:p>
    <w:p w14:paraId="3ADE27DC">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第二轮“双高计划”注重资金效能与战略目标深度契合，对院校的项目管理和资金使用效率提出了更高要求，我校积极参与“双高计划”建设，为提升建设质量和效益，需要专业的咨询服务来规范项目管理流程，确保资金合理使用。基于此，本项目以提升业财融合水平为核心，通过引入第三方培训、全程咨询、绩效审计等服务，为学校“双高计划”建设提供全方位支持。</w:t>
      </w:r>
    </w:p>
    <w:p w14:paraId="493CE461">
      <w:pPr>
        <w:widowControl/>
        <w:spacing w:line="360" w:lineRule="auto"/>
        <w:ind w:firstLine="480" w:firstLineChars="200"/>
        <w:jc w:val="left"/>
        <w:rPr>
          <w:rFonts w:hint="eastAsia" w:ascii="宋体" w:hAnsi="宋体" w:cs="宋体"/>
          <w:bCs/>
          <w:sz w:val="24"/>
        </w:rPr>
      </w:pPr>
      <w:r>
        <w:rPr>
          <w:rFonts w:hint="eastAsia" w:ascii="仿宋" w:hAnsi="仿宋" w:eastAsia="仿宋" w:cs="Times New Roman"/>
          <w:kern w:val="2"/>
          <w:sz w:val="24"/>
          <w:szCs w:val="24"/>
          <w:lang w:val="en-US" w:eastAsia="zh-CN" w:bidi="ar-SA"/>
        </w:rPr>
        <w:t xml:space="preserve">本次2026年度第三方全过程咨询服务，紧密结合我校第二轮“双高计划”建设实际需求，量身定制咨询服务方案，确保服务内容和方式与学校发展战略和项目特点相适应，有效解决学校在项目管理、资金合规、任务执行中遇到的实际问题。         </w:t>
      </w:r>
      <w:r>
        <w:rPr>
          <w:rFonts w:hint="eastAsia" w:ascii="宋体" w:hAnsi="宋体" w:cs="宋体"/>
          <w:bCs/>
          <w:sz w:val="24"/>
        </w:rPr>
        <w:t xml:space="preserve">      </w:t>
      </w:r>
    </w:p>
    <w:p w14:paraId="07F61913">
      <w:pPr>
        <w:pStyle w:val="8"/>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3.服务内容</w:t>
      </w:r>
      <w:r>
        <w:rPr>
          <w:rFonts w:hint="eastAsia" w:ascii="仿宋" w:hAnsi="仿宋" w:eastAsia="仿宋" w:cs="Times New Roman"/>
          <w:sz w:val="24"/>
          <w:szCs w:val="24"/>
          <w:lang w:eastAsia="zh-CN"/>
        </w:rPr>
        <w:t>：（</w:t>
      </w:r>
      <w:r>
        <w:rPr>
          <w:rFonts w:hint="eastAsia" w:ascii="仿宋" w:hAnsi="仿宋" w:eastAsia="仿宋" w:cs="Times New Roman"/>
          <w:sz w:val="24"/>
          <w:szCs w:val="24"/>
          <w:lang w:val="en-US" w:eastAsia="zh-CN"/>
        </w:rPr>
        <w:t>详见附件询比采购文件</w:t>
      </w:r>
      <w:r>
        <w:rPr>
          <w:rFonts w:hint="eastAsia" w:ascii="仿宋" w:hAnsi="仿宋" w:eastAsia="仿宋" w:cs="Times New Roman"/>
          <w:sz w:val="24"/>
          <w:szCs w:val="24"/>
          <w:lang w:eastAsia="zh-CN"/>
        </w:rPr>
        <w:t>）</w:t>
      </w:r>
    </w:p>
    <w:p w14:paraId="562312B9">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4.采购项目预算金额：19.8万元</w:t>
      </w:r>
    </w:p>
    <w:p w14:paraId="668087F3">
      <w:pPr>
        <w:snapToGrid w:val="0"/>
        <w:spacing w:line="360" w:lineRule="auto"/>
        <w:ind w:firstLine="482" w:firstLineChars="200"/>
        <w:jc w:val="left"/>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二、投标人资格条件</w:t>
      </w:r>
    </w:p>
    <w:p w14:paraId="0B3AE5B8">
      <w:pPr>
        <w:widowControl/>
        <w:spacing w:line="360" w:lineRule="auto"/>
        <w:ind w:firstLine="480" w:firstLineChars="200"/>
        <w:jc w:val="left"/>
        <w:rPr>
          <w:rFonts w:hint="eastAsia" w:ascii="仿宋" w:hAnsi="仿宋" w:eastAsia="仿宋" w:cs="Times New Roman"/>
          <w:kern w:val="2"/>
          <w:sz w:val="24"/>
          <w:szCs w:val="24"/>
          <w:lang w:val="en-US" w:eastAsia="zh-CN" w:bidi="ar-SA"/>
        </w:rPr>
      </w:pPr>
      <w:bookmarkStart w:id="0" w:name="_Toc58335831"/>
      <w:r>
        <w:rPr>
          <w:rFonts w:hint="eastAsia" w:ascii="仿宋" w:hAnsi="仿宋" w:eastAsia="仿宋" w:cs="Times New Roman"/>
          <w:kern w:val="2"/>
          <w:sz w:val="24"/>
          <w:szCs w:val="24"/>
          <w:lang w:val="en-US" w:eastAsia="zh-CN" w:bidi="ar-SA"/>
        </w:rPr>
        <w:t>1、基本资格条件：供应商必须是在中华人民共和国境内注册登记的法人、其他组织或者自然人，且应当符合下列规定，即：</w:t>
      </w:r>
    </w:p>
    <w:p w14:paraId="558D4F3C">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（1）具有独立承担民事责任的能力；</w:t>
      </w:r>
    </w:p>
    <w:p w14:paraId="0080E3D3">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（2）具有良好的商业信誉和健全的财务会计制度；</w:t>
      </w:r>
    </w:p>
    <w:p w14:paraId="0346A422">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（3）具有履行合同所必需的设备和专业技术能力；</w:t>
      </w:r>
    </w:p>
    <w:p w14:paraId="206FC3D0">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（4）有依法缴纳税收的良好记录；</w:t>
      </w:r>
    </w:p>
    <w:p w14:paraId="5E98A488">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（5）参加采购活动前三年内，在经营活动中没有重大违法记录；</w:t>
      </w:r>
    </w:p>
    <w:p w14:paraId="075E8405">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（6）法律、行政法规规定的其他条件。</w:t>
      </w:r>
    </w:p>
    <w:p w14:paraId="12270B25">
      <w:pPr>
        <w:widowControl/>
        <w:spacing w:line="360" w:lineRule="auto"/>
        <w:ind w:firstLine="480" w:firstLineChars="200"/>
        <w:jc w:val="left"/>
        <w:rPr>
          <w:rFonts w:hint="eastAsia" w:ascii="仿宋" w:hAnsi="仿宋" w:eastAsia="仿宋" w:cs="Times New Roman"/>
          <w:kern w:val="2"/>
          <w:sz w:val="24"/>
          <w:szCs w:val="24"/>
          <w:lang w:val="zh-CN" w:eastAsia="zh-CN" w:bidi="ar-SA"/>
        </w:rPr>
      </w:pPr>
      <w:r>
        <w:rPr>
          <w:rFonts w:hint="eastAsia" w:ascii="仿宋" w:hAnsi="仿宋" w:eastAsia="仿宋" w:cs="Times New Roman"/>
          <w:kern w:val="2"/>
          <w:sz w:val="24"/>
          <w:szCs w:val="24"/>
          <w:lang w:val="en-US" w:eastAsia="zh-CN" w:bidi="ar-SA"/>
        </w:rPr>
        <w:t>2、特定资格条件：无</w:t>
      </w:r>
      <w:r>
        <w:rPr>
          <w:rFonts w:hint="eastAsia" w:ascii="仿宋" w:hAnsi="仿宋" w:eastAsia="仿宋" w:cs="Times New Roman"/>
          <w:kern w:val="2"/>
          <w:sz w:val="24"/>
          <w:szCs w:val="24"/>
          <w:lang w:val="zh-CN" w:eastAsia="zh-CN" w:bidi="ar-SA"/>
        </w:rPr>
        <w:t>。</w:t>
      </w:r>
    </w:p>
    <w:p w14:paraId="54915567">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3、本项目不接受联合体投标，不允许分包、转包。</w:t>
      </w:r>
    </w:p>
    <w:p w14:paraId="7181F904">
      <w:pPr>
        <w:snapToGrid w:val="0"/>
        <w:spacing w:line="360" w:lineRule="auto"/>
        <w:ind w:firstLine="482" w:firstLineChars="200"/>
        <w:jc w:val="left"/>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三、响应文件提交的截止时间、开启时间及地点</w:t>
      </w:r>
      <w:bookmarkEnd w:id="0"/>
    </w:p>
    <w:p w14:paraId="34462FD1">
      <w:pPr>
        <w:widowControl/>
        <w:spacing w:line="360" w:lineRule="auto"/>
        <w:ind w:firstLine="480" w:firstLineChars="200"/>
        <w:jc w:val="left"/>
        <w:rPr>
          <w:rFonts w:hint="eastAsia" w:ascii="仿宋" w:hAnsi="仿宋" w:eastAsia="仿宋" w:cs="Times New Roman"/>
          <w:kern w:val="2"/>
          <w:sz w:val="24"/>
          <w:szCs w:val="24"/>
          <w:lang w:val="en-US" w:eastAsia="zh-CN" w:bidi="ar-SA"/>
        </w:rPr>
      </w:pPr>
      <w:bookmarkStart w:id="1" w:name="_Toc58335832"/>
      <w:bookmarkStart w:id="2" w:name="_Hlk186730358"/>
      <w:r>
        <w:rPr>
          <w:rFonts w:hint="eastAsia" w:ascii="仿宋" w:hAnsi="仿宋" w:eastAsia="仿宋" w:cs="Times New Roman"/>
          <w:kern w:val="2"/>
          <w:sz w:val="24"/>
          <w:szCs w:val="24"/>
          <w:lang w:val="en-US" w:eastAsia="zh-CN" w:bidi="ar-SA"/>
        </w:rPr>
        <w:t>1．首次响应文件的提交截止时间：2026年1月27日10时</w:t>
      </w:r>
    </w:p>
    <w:p w14:paraId="57F3D8F1">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2．首次响应文件的开启时间：2026年1月27日10时</w:t>
      </w:r>
    </w:p>
    <w:p w14:paraId="477BC4C0">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3．首次响应文件的开启地点：湖南铁道职业技术学院</w:t>
      </w:r>
    </w:p>
    <w:p w14:paraId="1E570455">
      <w:pPr>
        <w:snapToGrid w:val="0"/>
        <w:spacing w:line="360" w:lineRule="auto"/>
        <w:ind w:firstLine="482" w:firstLineChars="200"/>
        <w:jc w:val="left"/>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四、公告期限</w:t>
      </w:r>
      <w:bookmarkEnd w:id="1"/>
    </w:p>
    <w:p w14:paraId="0B4DFAE9">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1．本招标公告在湖南铁道职业技术学院官网（www.hnrpc.com）发布。公告期限从</w:t>
      </w:r>
      <w:bookmarkStart w:id="19" w:name="_GoBack"/>
      <w:bookmarkEnd w:id="19"/>
      <w:r>
        <w:rPr>
          <w:rFonts w:hint="eastAsia" w:ascii="仿宋" w:hAnsi="仿宋" w:eastAsia="仿宋" w:cs="Times New Roman"/>
          <w:kern w:val="2"/>
          <w:sz w:val="24"/>
          <w:szCs w:val="24"/>
          <w:lang w:val="en-US" w:eastAsia="zh-CN" w:bidi="ar-SA"/>
        </w:rPr>
        <w:t>本招标公告发布之日起3个工作日。</w:t>
      </w:r>
      <w:bookmarkEnd w:id="2"/>
    </w:p>
    <w:p w14:paraId="499F81CE">
      <w:pPr>
        <w:snapToGrid w:val="0"/>
        <w:spacing w:line="360" w:lineRule="auto"/>
        <w:ind w:firstLine="482" w:firstLineChars="200"/>
        <w:jc w:val="left"/>
        <w:rPr>
          <w:rFonts w:hint="eastAsia" w:ascii="仿宋" w:hAnsi="仿宋" w:eastAsia="仿宋" w:cs="仿宋"/>
          <w:b/>
          <w:bCs/>
          <w:color w:val="333333"/>
          <w:kern w:val="0"/>
          <w:sz w:val="24"/>
          <w:szCs w:val="24"/>
        </w:rPr>
      </w:pPr>
      <w:bookmarkStart w:id="3" w:name="_Toc58335833"/>
      <w:r>
        <w:rPr>
          <w:rFonts w:hint="eastAsia" w:ascii="仿宋" w:hAnsi="仿宋" w:eastAsia="仿宋" w:cs="仿宋"/>
          <w:b/>
          <w:bCs/>
          <w:color w:val="333333"/>
          <w:kern w:val="0"/>
          <w:sz w:val="24"/>
          <w:szCs w:val="24"/>
        </w:rPr>
        <w:t>五、疑问及质疑</w:t>
      </w:r>
      <w:bookmarkEnd w:id="3"/>
    </w:p>
    <w:p w14:paraId="0743886B">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1．潜在投标人对采购活动事项如有疑问的，可以向采购人提出询问。采购人将在3</w:t>
      </w:r>
    </w:p>
    <w:p w14:paraId="44D51669">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个工作日内作出答复。</w:t>
      </w:r>
    </w:p>
    <w:p w14:paraId="3DC9940F">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2．潜在投标人认为招标文件或招标公告使自己的合法权益受到损害的，可以在收</w:t>
      </w:r>
    </w:p>
    <w:p w14:paraId="7941DC16">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到招标文件之日或招标公告期限届满之日起7个工作日内，以书面形式向采购人提出质疑。</w:t>
      </w:r>
    </w:p>
    <w:p w14:paraId="6EA5339F">
      <w:pPr>
        <w:snapToGrid w:val="0"/>
        <w:spacing w:line="360" w:lineRule="auto"/>
        <w:ind w:firstLine="482" w:firstLineChars="200"/>
        <w:jc w:val="left"/>
        <w:rPr>
          <w:rFonts w:hint="eastAsia" w:ascii="仿宋" w:hAnsi="仿宋" w:eastAsia="仿宋" w:cs="仿宋"/>
          <w:b/>
          <w:bCs/>
          <w:color w:val="333333"/>
          <w:kern w:val="0"/>
          <w:sz w:val="24"/>
          <w:szCs w:val="24"/>
        </w:rPr>
      </w:pPr>
      <w:bookmarkStart w:id="4" w:name="_Toc58335834"/>
      <w:r>
        <w:rPr>
          <w:rFonts w:hint="eastAsia" w:ascii="仿宋" w:hAnsi="仿宋" w:eastAsia="仿宋" w:cs="仿宋"/>
          <w:b/>
          <w:bCs/>
          <w:color w:val="333333"/>
          <w:kern w:val="0"/>
          <w:sz w:val="24"/>
          <w:szCs w:val="24"/>
        </w:rPr>
        <w:t>六、采购项目联系人姓名和电话</w:t>
      </w:r>
      <w:bookmarkEnd w:id="4"/>
    </w:p>
    <w:p w14:paraId="52BA4FE0">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1．项目联系人和电话</w:t>
      </w:r>
    </w:p>
    <w:p w14:paraId="30959B5F">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联系人姓名：刘硕</w:t>
      </w:r>
    </w:p>
    <w:p w14:paraId="194C0EC5">
      <w:pPr>
        <w:widowControl/>
        <w:spacing w:line="360" w:lineRule="auto"/>
        <w:ind w:firstLine="480" w:firstLineChars="200"/>
        <w:jc w:val="left"/>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电 话：0731-22783828</w:t>
      </w:r>
    </w:p>
    <w:p w14:paraId="1E9F064F">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2.采购人</w:t>
      </w:r>
    </w:p>
    <w:p w14:paraId="55C1C0F1">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名 称：湖南铁道职业技术学院</w:t>
      </w:r>
    </w:p>
    <w:p w14:paraId="0513B8E4">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地 址：株洲市石峰区田心路18号</w:t>
      </w:r>
    </w:p>
    <w:p w14:paraId="77F5045F">
      <w:pPr>
        <w:spacing w:line="480" w:lineRule="exact"/>
        <w:rPr>
          <w:rFonts w:hint="default" w:ascii="宋体" w:hAnsi="宋体" w:cs="宋体"/>
          <w:kern w:val="0"/>
          <w:sz w:val="24"/>
          <w:lang w:val="en-US" w:eastAsia="zh-CN"/>
        </w:rPr>
      </w:pPr>
    </w:p>
    <w:p w14:paraId="611302C1">
      <w:pPr>
        <w:pStyle w:val="8"/>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sz w:val="24"/>
          <w:szCs w:val="24"/>
        </w:rPr>
        <w:t>中国特色高水平高职学校和专业建设计划(2025-2029年)2026年度绩效评价审核服务</w:t>
      </w:r>
      <w:r>
        <w:rPr>
          <w:rFonts w:hint="eastAsia" w:ascii="仿宋" w:hAnsi="仿宋" w:eastAsia="仿宋" w:cs="仿宋"/>
          <w:color w:val="333333"/>
          <w:kern w:val="0"/>
          <w:sz w:val="24"/>
          <w:szCs w:val="24"/>
        </w:rPr>
        <w:t>项目</w:t>
      </w:r>
    </w:p>
    <w:p w14:paraId="5A3630E4">
      <w:pPr>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Times New Roman"/>
          <w:sz w:val="24"/>
          <w:szCs w:val="24"/>
        </w:rPr>
        <w:t>服务期限为1年，自</w:t>
      </w:r>
      <w:r>
        <w:rPr>
          <w:rFonts w:hint="eastAsia" w:ascii="仿宋" w:hAnsi="仿宋" w:eastAsia="仿宋" w:cs="Times New Roman"/>
          <w:sz w:val="24"/>
          <w:szCs w:val="24"/>
          <w:lang w:val="en-US" w:eastAsia="zh-CN"/>
        </w:rPr>
        <w:t>合同签订之日起</w:t>
      </w:r>
      <w:r>
        <w:rPr>
          <w:rFonts w:hint="eastAsia" w:ascii="仿宋" w:hAnsi="仿宋" w:eastAsia="仿宋" w:cs="Times New Roman"/>
          <w:sz w:val="24"/>
          <w:szCs w:val="24"/>
        </w:rPr>
        <w:t>至2026年年度绩效</w:t>
      </w:r>
      <w:r>
        <w:rPr>
          <w:rFonts w:hint="eastAsia" w:ascii="仿宋" w:hAnsi="仿宋" w:eastAsia="仿宋" w:cs="Times New Roman"/>
          <w:sz w:val="24"/>
          <w:szCs w:val="24"/>
          <w:lang w:val="en-US" w:eastAsia="zh-CN"/>
        </w:rPr>
        <w:t>结束为</w:t>
      </w:r>
      <w:r>
        <w:rPr>
          <w:rFonts w:hint="eastAsia" w:ascii="仿宋" w:hAnsi="仿宋" w:eastAsia="仿宋" w:cs="Times New Roman"/>
          <w:sz w:val="24"/>
          <w:szCs w:val="24"/>
        </w:rPr>
        <w:t>止。</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6C7C58F0">
      <w:pPr>
        <w:spacing w:line="360" w:lineRule="auto"/>
        <w:ind w:firstLine="480"/>
        <w:rPr>
          <w:rFonts w:hint="eastAsia" w:ascii="仿宋" w:hAnsi="仿宋" w:eastAsia="仿宋" w:cs="Times New Roman"/>
          <w:b/>
          <w:bCs/>
          <w:sz w:val="24"/>
          <w:szCs w:val="24"/>
          <w:lang w:val="en-US" w:eastAsia="zh-CN"/>
        </w:rPr>
      </w:pPr>
      <w:bookmarkStart w:id="5" w:name="heading_4"/>
      <w:r>
        <w:rPr>
          <w:rFonts w:hint="eastAsia" w:ascii="仿宋" w:hAnsi="仿宋" w:eastAsia="仿宋" w:cs="Times New Roman"/>
          <w:b/>
          <w:bCs/>
          <w:sz w:val="24"/>
          <w:szCs w:val="24"/>
          <w:lang w:val="en-US" w:eastAsia="zh-CN"/>
        </w:rPr>
        <w:t>（一）预算编制协同服务</w:t>
      </w:r>
      <w:bookmarkEnd w:id="5"/>
    </w:p>
    <w:p w14:paraId="470D5996">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1.深入了解学校“双高计划”建设目标、任务及资金配置需求，协助学校梳理预算编制依据和标准。</w:t>
      </w:r>
    </w:p>
    <w:p w14:paraId="6FE6DFDB">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2.结合相关政策要求和项目实际情况，提供预算编制专业建议，协助学校完成年度预算明细表的编制，确保预算编制科学、合理、合规，与战略目标深度契合。</w:t>
      </w:r>
    </w:p>
    <w:p w14:paraId="6754F80E">
      <w:pPr>
        <w:spacing w:line="360" w:lineRule="auto"/>
        <w:ind w:firstLine="480"/>
        <w:rPr>
          <w:rFonts w:hint="eastAsia" w:ascii="仿宋" w:hAnsi="仿宋" w:eastAsia="仿宋" w:cs="Times New Roman"/>
          <w:b/>
          <w:bCs/>
          <w:sz w:val="24"/>
          <w:szCs w:val="24"/>
          <w:lang w:val="en-US" w:eastAsia="zh-CN"/>
        </w:rPr>
      </w:pPr>
      <w:bookmarkStart w:id="6" w:name="heading_5"/>
      <w:r>
        <w:rPr>
          <w:rFonts w:hint="eastAsia" w:ascii="仿宋" w:hAnsi="仿宋" w:eastAsia="仿宋" w:cs="Times New Roman"/>
          <w:b/>
          <w:bCs/>
          <w:sz w:val="24"/>
          <w:szCs w:val="24"/>
          <w:lang w:val="en-US" w:eastAsia="zh-CN"/>
        </w:rPr>
        <w:t>（二）年度绩效指标分解工作</w:t>
      </w:r>
      <w:bookmarkEnd w:id="6"/>
    </w:p>
    <w:p w14:paraId="4649EB93">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1.依据“双高计划”建设总体绩效目标及相关评价指标体系，协助学校将年度总体绩效目标分解为可量化、可考核的具体绩效指标。</w:t>
      </w:r>
    </w:p>
    <w:p w14:paraId="602D392C">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2.明确各指标的责任部门、完成时限、考核标准等内容，制定详细的年度绩效指标进度表，为绩效跟踪和评价提供依据。</w:t>
      </w:r>
    </w:p>
    <w:p w14:paraId="239921A8">
      <w:pPr>
        <w:spacing w:line="360" w:lineRule="auto"/>
        <w:ind w:firstLine="480"/>
        <w:rPr>
          <w:rFonts w:hint="eastAsia" w:ascii="仿宋" w:hAnsi="仿宋" w:eastAsia="仿宋" w:cs="Times New Roman"/>
          <w:b/>
          <w:bCs/>
          <w:sz w:val="24"/>
          <w:szCs w:val="24"/>
          <w:lang w:val="en-US" w:eastAsia="zh-CN"/>
        </w:rPr>
      </w:pPr>
      <w:bookmarkStart w:id="7" w:name="heading_6"/>
      <w:r>
        <w:rPr>
          <w:rFonts w:hint="eastAsia" w:ascii="仿宋" w:hAnsi="仿宋" w:eastAsia="仿宋" w:cs="Times New Roman"/>
          <w:b/>
          <w:bCs/>
          <w:sz w:val="24"/>
          <w:szCs w:val="24"/>
          <w:lang w:val="en-US" w:eastAsia="zh-CN"/>
        </w:rPr>
        <w:t>（三）预算、任务、绩效指标执行审核服务</w:t>
      </w:r>
      <w:bookmarkEnd w:id="7"/>
    </w:p>
    <w:p w14:paraId="6038E458">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1.每季度对学校“双高计划”建设项目的预算执行情况、任务推进情况及绩效指标完成情况进行全面审核。</w:t>
      </w:r>
    </w:p>
    <w:p w14:paraId="68F02AB6">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2.核查预算支出的合规性、合理性，任务执行的进度与质量，绩效指标达成的真实性、有效性，形成任务、绩效指标佐证材料清单。</w:t>
      </w:r>
    </w:p>
    <w:p w14:paraId="0FE85B85">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3.编制年度预算、任务、绩效指标执行明细表，分析执行过程中存在的问题，提出针对性的整改建议。</w:t>
      </w:r>
    </w:p>
    <w:p w14:paraId="4238BAAB">
      <w:pPr>
        <w:spacing w:line="360" w:lineRule="auto"/>
        <w:ind w:firstLine="480"/>
        <w:rPr>
          <w:rFonts w:hint="eastAsia" w:ascii="仿宋" w:hAnsi="仿宋" w:eastAsia="仿宋" w:cs="Times New Roman"/>
          <w:b/>
          <w:bCs/>
          <w:sz w:val="24"/>
          <w:szCs w:val="24"/>
          <w:lang w:val="en-US" w:eastAsia="zh-CN"/>
        </w:rPr>
      </w:pPr>
      <w:bookmarkStart w:id="8" w:name="heading_7"/>
      <w:r>
        <w:rPr>
          <w:rFonts w:hint="eastAsia" w:ascii="仿宋" w:hAnsi="仿宋" w:eastAsia="仿宋" w:cs="Times New Roman"/>
          <w:b/>
          <w:bCs/>
          <w:sz w:val="24"/>
          <w:szCs w:val="24"/>
          <w:lang w:val="en-US" w:eastAsia="zh-CN"/>
        </w:rPr>
        <w:t>（四）专项培训服务</w:t>
      </w:r>
      <w:bookmarkEnd w:id="8"/>
    </w:p>
    <w:p w14:paraId="1696915A">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1.组织开展1期“双高计划”绩效评价与项目管理专项培训，培训对象包括学校相关职能部门工作人员、项目负责人及专业群建设骨干等。</w:t>
      </w:r>
    </w:p>
    <w:p w14:paraId="0E9F5E68">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2.培训内容涵盖“双高计划”最新政策解读、绩效评价指标体系解析、预算管理规范、项目执行要点、佐证材料整理等方面，采用理论讲解、案例分析、互动交流等多种形式开展，确保培训效果。</w:t>
      </w:r>
    </w:p>
    <w:p w14:paraId="00B14634">
      <w:pPr>
        <w:spacing w:line="360" w:lineRule="auto"/>
        <w:ind w:firstLine="480"/>
        <w:rPr>
          <w:rFonts w:hint="eastAsia" w:ascii="仿宋" w:hAnsi="仿宋" w:eastAsia="仿宋" w:cs="Times New Roman"/>
          <w:b/>
          <w:bCs/>
          <w:sz w:val="24"/>
          <w:szCs w:val="24"/>
          <w:lang w:val="en-US" w:eastAsia="zh-CN"/>
        </w:rPr>
      </w:pPr>
      <w:bookmarkStart w:id="9" w:name="heading_8"/>
      <w:r>
        <w:rPr>
          <w:rFonts w:hint="eastAsia" w:ascii="仿宋" w:hAnsi="仿宋" w:eastAsia="仿宋" w:cs="Times New Roman"/>
          <w:b/>
          <w:bCs/>
          <w:sz w:val="24"/>
          <w:szCs w:val="24"/>
          <w:lang w:val="en-US" w:eastAsia="zh-CN"/>
        </w:rPr>
        <w:t>（五）绩效评价服务</w:t>
      </w:r>
      <w:bookmarkEnd w:id="9"/>
    </w:p>
    <w:p w14:paraId="4168553C">
      <w:pPr>
        <w:spacing w:line="360" w:lineRule="auto"/>
        <w:ind w:firstLine="480"/>
        <w:rPr>
          <w:rFonts w:hint="default" w:ascii="仿宋" w:hAnsi="仿宋" w:eastAsia="仿宋" w:cs="Times New Roman"/>
          <w:sz w:val="24"/>
          <w:szCs w:val="24"/>
          <w:lang w:val="en-US" w:eastAsia="zh-CN"/>
        </w:rPr>
      </w:pPr>
      <w:r>
        <w:rPr>
          <w:rFonts w:hint="eastAsia" w:ascii="仿宋" w:hAnsi="仿宋" w:eastAsia="仿宋" w:cs="Times New Roman"/>
          <w:sz w:val="24"/>
          <w:szCs w:val="24"/>
          <w:lang w:val="en-US" w:eastAsia="zh-CN"/>
        </w:rPr>
        <w:t>1.协助学校做好校内各部门“双高计划”建设绩效考核及分配管理。</w:t>
      </w:r>
    </w:p>
    <w:p w14:paraId="6EACB693">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2.年末依据绩效指标体系及相关要求，对学校“双高计划”建设项目年度绩效完成情况进行全面评价，编制年度绩效评价报告，客观反映项目建设成效、存在的问题及原因。</w:t>
      </w:r>
    </w:p>
    <w:p w14:paraId="45AC754A">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2.针对评价中发现的问题，制定详细的问题整改清单，明确整改责任、整改措施及整改时限。</w:t>
      </w:r>
    </w:p>
    <w:p w14:paraId="6B529632">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3.根据学校需求，提供绩效审计相关服务，编制绩效审计报告，确保绩效评价结果真实、准确、可靠。</w:t>
      </w:r>
    </w:p>
    <w:p w14:paraId="43E34C8D">
      <w:pPr>
        <w:spacing w:line="360" w:lineRule="auto"/>
        <w:ind w:firstLine="480"/>
        <w:rPr>
          <w:rFonts w:hint="eastAsia" w:ascii="仿宋" w:hAnsi="仿宋" w:eastAsia="仿宋" w:cs="Times New Roman"/>
          <w:b/>
          <w:bCs/>
          <w:sz w:val="24"/>
          <w:szCs w:val="24"/>
          <w:lang w:val="en-US" w:eastAsia="zh-CN"/>
        </w:rPr>
      </w:pPr>
      <w:bookmarkStart w:id="10" w:name="heading_9"/>
      <w:r>
        <w:rPr>
          <w:rFonts w:hint="eastAsia" w:ascii="仿宋" w:hAnsi="仿宋" w:eastAsia="仿宋" w:cs="Times New Roman"/>
          <w:b/>
          <w:bCs/>
          <w:sz w:val="24"/>
          <w:szCs w:val="24"/>
          <w:lang w:val="en-US" w:eastAsia="zh-CN"/>
        </w:rPr>
        <w:t>（六）全年咨询服务</w:t>
      </w:r>
      <w:bookmarkEnd w:id="10"/>
    </w:p>
    <w:p w14:paraId="3E2C17D5">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1.建立常态化咨询服务机制，通过电话、邮件、线上会议、现场指导等多种方式，为学校提供全年不间断的咨询服务。</w:t>
      </w:r>
    </w:p>
    <w:p w14:paraId="55EFB61F">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2.解答学校在“双高计划”项目建设过程中涉及预算管理、任务执行、绩效指标设定与达成、政策理解等方面的疑问。</w:t>
      </w:r>
    </w:p>
    <w:p w14:paraId="0B8D7966">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3.及时提供相关政策更新解读，为学校项目管理决策提供专业支持。</w:t>
      </w:r>
    </w:p>
    <w:p w14:paraId="162C60D7">
      <w:pPr>
        <w:spacing w:line="360" w:lineRule="auto"/>
        <w:ind w:firstLine="480"/>
        <w:rPr>
          <w:rFonts w:hint="eastAsia" w:ascii="仿宋" w:hAnsi="仿宋" w:eastAsia="仿宋" w:cs="Times New Roman"/>
          <w:b/>
          <w:bCs/>
          <w:sz w:val="24"/>
          <w:szCs w:val="24"/>
          <w:lang w:val="en-US" w:eastAsia="zh-CN"/>
        </w:rPr>
      </w:pPr>
      <w:bookmarkStart w:id="11" w:name="heading_10"/>
      <w:r>
        <w:rPr>
          <w:rFonts w:hint="eastAsia" w:ascii="仿宋" w:hAnsi="仿宋" w:eastAsia="仿宋" w:cs="Times New Roman"/>
          <w:b/>
          <w:bCs/>
          <w:sz w:val="24"/>
          <w:szCs w:val="24"/>
          <w:lang w:val="en-US" w:eastAsia="zh-CN"/>
        </w:rPr>
        <w:t>（七）满意度调研服务</w:t>
      </w:r>
      <w:bookmarkEnd w:id="11"/>
    </w:p>
    <w:p w14:paraId="417179C5">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1.制定科学合理的满意度调研方案，明确调研对象、调研内容、调研方式及评价标准。</w:t>
      </w:r>
    </w:p>
    <w:p w14:paraId="489584E5">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2.调研对象包括学校相关职能部门、教学单位、项目参与人员及服务对象等。</w:t>
      </w:r>
    </w:p>
    <w:p w14:paraId="1E55AE06">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3.通过问卷调查、访谈等方式收集满意度相关数据，进行统计分析，编制满意度调研报告，提出改进建议。</w:t>
      </w:r>
    </w:p>
    <w:p w14:paraId="7EBCD4BD">
      <w:pPr>
        <w:spacing w:line="360" w:lineRule="auto"/>
        <w:ind w:firstLine="480"/>
        <w:rPr>
          <w:rFonts w:hint="eastAsia" w:ascii="仿宋" w:hAnsi="仿宋" w:eastAsia="仿宋" w:cs="Times New Roman"/>
          <w:b/>
          <w:bCs/>
          <w:sz w:val="24"/>
          <w:szCs w:val="24"/>
          <w:lang w:val="en-US" w:eastAsia="zh-CN"/>
        </w:rPr>
      </w:pPr>
      <w:bookmarkStart w:id="12" w:name="heading_11"/>
      <w:r>
        <w:rPr>
          <w:rFonts w:hint="eastAsia" w:ascii="仿宋" w:hAnsi="仿宋" w:eastAsia="仿宋" w:cs="Times New Roman"/>
          <w:b/>
          <w:bCs/>
          <w:sz w:val="24"/>
          <w:szCs w:val="24"/>
          <w:lang w:val="en-US" w:eastAsia="zh-CN"/>
        </w:rPr>
        <w:t>（八）完善运行制度服务</w:t>
      </w:r>
      <w:bookmarkEnd w:id="12"/>
    </w:p>
    <w:p w14:paraId="5E61925C">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1.梳理学校“双高计划”建设现有运行制度，结合项目建设实际情况及相关政策要求，查找制度漏洞和不足。</w:t>
      </w:r>
    </w:p>
    <w:p w14:paraId="1061A2F2">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2.协助学校修订和完善项目管理、预算管理、绩效评价、资金使用等相关运行制度，形成健全、规范、可操作的制度体系。</w:t>
      </w:r>
    </w:p>
    <w:p w14:paraId="7819B007">
      <w:pPr>
        <w:spacing w:line="360" w:lineRule="auto"/>
        <w:ind w:firstLine="480"/>
        <w:rPr>
          <w:rFonts w:hint="eastAsia" w:ascii="仿宋" w:hAnsi="仿宋" w:eastAsia="仿宋" w:cs="Times New Roman"/>
          <w:b/>
          <w:bCs/>
          <w:sz w:val="24"/>
          <w:szCs w:val="24"/>
          <w:lang w:val="en-US" w:eastAsia="zh-CN"/>
        </w:rPr>
      </w:pPr>
      <w:bookmarkStart w:id="13" w:name="heading_12"/>
      <w:r>
        <w:rPr>
          <w:rFonts w:hint="eastAsia" w:ascii="仿宋" w:hAnsi="仿宋" w:eastAsia="仿宋" w:cs="Times New Roman"/>
          <w:b/>
          <w:bCs/>
          <w:sz w:val="24"/>
          <w:szCs w:val="24"/>
          <w:lang w:val="en-US" w:eastAsia="zh-CN"/>
        </w:rPr>
        <w:t>（九）梳理学校和专业群两级运行关系</w:t>
      </w:r>
      <w:bookmarkEnd w:id="13"/>
    </w:p>
    <w:p w14:paraId="1640E65C">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1.深入调研学校及两个专业群“双高计划”建设的职责分工、工作流程及协作机制。</w:t>
      </w:r>
    </w:p>
    <w:p w14:paraId="6C18555C">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2.明确学校层面重点任务的年度清单，细化任务内容、责任主体、完成标准及时间节点。</w:t>
      </w:r>
    </w:p>
    <w:p w14:paraId="748F4F9D">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3.明确两个专业群层面各重点任务的年度清单，理清学校与专业群之间、专业群之间的工作衔接关系，优化运行机制，提高工作效率。</w:t>
      </w:r>
    </w:p>
    <w:p w14:paraId="295B2FEC">
      <w:pPr>
        <w:spacing w:line="360" w:lineRule="auto"/>
        <w:ind w:firstLine="480"/>
        <w:rPr>
          <w:rFonts w:hint="eastAsia" w:ascii="仿宋" w:hAnsi="仿宋" w:eastAsia="仿宋" w:cs="Times New Roman"/>
          <w:b/>
          <w:bCs/>
          <w:sz w:val="24"/>
          <w:szCs w:val="24"/>
          <w:lang w:val="en-US" w:eastAsia="zh-CN"/>
        </w:rPr>
      </w:pPr>
      <w:bookmarkStart w:id="14" w:name="heading_13"/>
      <w:r>
        <w:rPr>
          <w:rFonts w:hint="eastAsia" w:ascii="仿宋" w:hAnsi="仿宋" w:eastAsia="仿宋" w:cs="Times New Roman"/>
          <w:b/>
          <w:bCs/>
          <w:sz w:val="24"/>
          <w:szCs w:val="24"/>
          <w:lang w:val="en-US" w:eastAsia="zh-CN"/>
        </w:rPr>
        <w:t>（十）平台搭建协助服务</w:t>
      </w:r>
      <w:bookmarkEnd w:id="14"/>
    </w:p>
    <w:p w14:paraId="664CC830">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1.协助学校优化或完善“双高计划”建设相关信息化管理平台功能，确保平台能够满足项目任务跟踪、数据统计分析、绩效指标监控等需求。</w:t>
      </w:r>
    </w:p>
    <w:p w14:paraId="2BFF6C7A">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2.提供平台操作指导，协助学校相关人员熟练运用平台开展工作，实现项目管理的信息化、高效化。</w:t>
      </w:r>
    </w:p>
    <w:p w14:paraId="22E25D16">
      <w:pPr>
        <w:spacing w:line="360" w:lineRule="auto"/>
        <w:ind w:firstLine="480"/>
        <w:rPr>
          <w:rFonts w:hint="eastAsia" w:ascii="仿宋" w:hAnsi="仿宋" w:eastAsia="仿宋" w:cs="Times New Roman"/>
          <w:b/>
          <w:bCs/>
          <w:sz w:val="24"/>
          <w:szCs w:val="24"/>
          <w:lang w:val="en-US" w:eastAsia="zh-CN"/>
        </w:rPr>
      </w:pPr>
      <w:bookmarkStart w:id="15" w:name="heading_14"/>
      <w:r>
        <w:rPr>
          <w:rFonts w:hint="eastAsia" w:ascii="仿宋" w:hAnsi="仿宋" w:eastAsia="仿宋" w:cs="Times New Roman"/>
          <w:b/>
          <w:bCs/>
          <w:sz w:val="24"/>
          <w:szCs w:val="24"/>
          <w:lang w:val="en-US" w:eastAsia="zh-CN"/>
        </w:rPr>
        <w:t>（十一）日常督查服务</w:t>
      </w:r>
      <w:bookmarkEnd w:id="15"/>
    </w:p>
    <w:p w14:paraId="59B923FC">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1.每月通过学校双高平台，对项目任务开展情况、预算执行进度、绩效指标完成情况等进行线上审核与督查。</w:t>
      </w:r>
    </w:p>
    <w:p w14:paraId="2592B38D">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2.及时发现项目实施过程中的苗头性、倾向性问题，向学校发出督查预警通知，提出整改建议，并跟踪整改进度。</w:t>
      </w:r>
    </w:p>
    <w:p w14:paraId="20916D5B">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3.形成月度督查记录，定期向学校汇报督查情况。</w:t>
      </w:r>
    </w:p>
    <w:p w14:paraId="1AECE943">
      <w:pPr>
        <w:spacing w:line="360" w:lineRule="auto"/>
        <w:ind w:firstLine="480"/>
        <w:rPr>
          <w:rFonts w:hint="eastAsia" w:ascii="仿宋" w:hAnsi="仿宋" w:eastAsia="仿宋" w:cs="Times New Roman"/>
          <w:b/>
          <w:bCs/>
          <w:sz w:val="24"/>
          <w:szCs w:val="24"/>
          <w:lang w:val="en-US" w:eastAsia="zh-CN"/>
        </w:rPr>
      </w:pPr>
      <w:bookmarkStart w:id="16" w:name="heading_15"/>
      <w:r>
        <w:rPr>
          <w:rFonts w:hint="eastAsia" w:ascii="仿宋" w:hAnsi="仿宋" w:eastAsia="仿宋" w:cs="Times New Roman"/>
          <w:b/>
          <w:bCs/>
          <w:sz w:val="24"/>
          <w:szCs w:val="24"/>
          <w:lang w:val="en-US" w:eastAsia="zh-CN"/>
        </w:rPr>
        <w:t>（十二）经验材料整理服务</w:t>
      </w:r>
      <w:bookmarkEnd w:id="16"/>
    </w:p>
    <w:p w14:paraId="30A829CD">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1.收集整理学校“双高计划”建设过程中的典型经验、创新做法及成效案例。</w:t>
      </w:r>
    </w:p>
    <w:p w14:paraId="2A6D87A3">
      <w:pPr>
        <w:spacing w:line="360" w:lineRule="auto"/>
        <w:ind w:firstLine="480"/>
        <w:rPr>
          <w:rFonts w:hint="eastAsia" w:ascii="仿宋" w:hAnsi="仿宋" w:eastAsia="仿宋" w:cs="仿宋"/>
          <w:color w:val="333333"/>
          <w:kern w:val="0"/>
          <w:sz w:val="24"/>
          <w:szCs w:val="24"/>
        </w:rPr>
      </w:pPr>
      <w:r>
        <w:rPr>
          <w:rFonts w:hint="eastAsia" w:ascii="仿宋" w:hAnsi="仿宋" w:eastAsia="仿宋" w:cs="Times New Roman"/>
          <w:sz w:val="24"/>
          <w:szCs w:val="24"/>
          <w:lang w:val="en-US" w:eastAsia="zh-CN"/>
        </w:rPr>
        <w:t>2.协助学校撰写项目建设经验总结、宣传材料等，提升学校“双高计划”建设的影响力。</w:t>
      </w:r>
    </w:p>
    <w:p w14:paraId="165EA8D3">
      <w:pPr>
        <w:spacing w:line="360" w:lineRule="auto"/>
        <w:ind w:firstLine="480"/>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2E864A24">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1.服务团队应具备高度的责任心和敬业精神，严格遵守国家相关法律法规及学校的各项规章制度，恪守职业道德，保守学校商业秘密和项目建设相关敏感信息。</w:t>
      </w:r>
    </w:p>
    <w:p w14:paraId="4A9A1ABD">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2.各项服务成果需符合“双高计划”相关政策要求、绩效评价标准及学校项目建设实际需求，内容真实、准确、完整，逻辑清晰，数据可靠，具有针对性和可操作性。</w:t>
      </w:r>
    </w:p>
    <w:p w14:paraId="38E29F4F">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3.严格按照服务期限及各阶段时间节点完成相关服务工作，不得无故拖延；若因特殊情况需调整时间，需提前与学校沟通并获得同意。</w:t>
      </w:r>
    </w:p>
    <w:p w14:paraId="094E65F1">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4.建立快速响应机制，对于学校提出的咨询、需求或问题，应在2个工作日内给予回应，对于紧急事项，应在12小时内进行处理。</w:t>
      </w:r>
    </w:p>
    <w:p w14:paraId="6980B44C">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5.服务过程中应主动与学校相关部门及人员保持密切沟通，定期汇报工作进展情况，及时听取学校意见和建议，并根据学校要求调整优化服务方案。</w:t>
      </w:r>
    </w:p>
    <w:p w14:paraId="44B6F03A">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6.各项服务成果需经过内部严格审核后提交学校，确保成果质量；提交的报告、清单、制度等材料需符合规范的格式要求，且提供纸质版和电子版各1份。</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3F303504">
      <w:pPr>
        <w:spacing w:line="360" w:lineRule="auto"/>
        <w:ind w:firstLine="480"/>
        <w:rPr>
          <w:rFonts w:hint="eastAsia" w:ascii="仿宋" w:hAnsi="仿宋" w:eastAsia="仿宋" w:cs="Times New Roman"/>
          <w:b/>
          <w:bCs/>
          <w:sz w:val="24"/>
          <w:szCs w:val="24"/>
          <w:lang w:val="en-US" w:eastAsia="zh-CN"/>
        </w:rPr>
      </w:pPr>
      <w:bookmarkStart w:id="17" w:name="heading_18"/>
      <w:r>
        <w:rPr>
          <w:rFonts w:hint="eastAsia" w:ascii="仿宋" w:hAnsi="仿宋" w:eastAsia="仿宋" w:cs="Times New Roman"/>
          <w:b/>
          <w:bCs/>
          <w:sz w:val="24"/>
          <w:szCs w:val="24"/>
          <w:lang w:val="en-US" w:eastAsia="zh-CN"/>
        </w:rPr>
        <w:t>（一）检查考核标准</w:t>
      </w:r>
      <w:bookmarkEnd w:id="17"/>
    </w:p>
    <w:p w14:paraId="7C270A73">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1.成果质量：服务成果是否符合政策要求和学校需求，内容是否完整、准确、规范，是否具有针对性和可操作性。</w:t>
      </w:r>
    </w:p>
    <w:p w14:paraId="7EDFF7DD">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2.时限要求：是否按照规定的时间节点完成各项服务工作；若出现无故拖延。</w:t>
      </w:r>
    </w:p>
    <w:p w14:paraId="2A6C4D70">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3.沟通响应：是否建立有效的沟通机制，对学校的咨询和需求是否及时响应、妥善处理。</w:t>
      </w:r>
    </w:p>
    <w:p w14:paraId="1939B11E">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4.工作态度：服务团队是否具备良好的工作态度，是否主动配合学校开展工作，是否认真听取学校意见并及时改进。</w:t>
      </w:r>
    </w:p>
    <w:p w14:paraId="3D8ADE35">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5.附加项：若服务过程中提出创新性建议并被学校采纳，或服务成果获得上级主管部门认可。</w:t>
      </w:r>
    </w:p>
    <w:p w14:paraId="050A91E6">
      <w:pPr>
        <w:spacing w:line="360" w:lineRule="auto"/>
        <w:ind w:firstLine="480"/>
        <w:rPr>
          <w:rFonts w:hint="eastAsia" w:ascii="仿宋" w:hAnsi="仿宋" w:eastAsia="仿宋" w:cs="Times New Roman"/>
          <w:b/>
          <w:bCs/>
          <w:sz w:val="24"/>
          <w:szCs w:val="24"/>
          <w:lang w:val="en-US" w:eastAsia="zh-CN"/>
        </w:rPr>
      </w:pPr>
      <w:bookmarkStart w:id="18" w:name="heading_19"/>
      <w:r>
        <w:rPr>
          <w:rFonts w:hint="eastAsia" w:ascii="仿宋" w:hAnsi="仿宋" w:eastAsia="仿宋" w:cs="Times New Roman"/>
          <w:b/>
          <w:bCs/>
          <w:sz w:val="24"/>
          <w:szCs w:val="24"/>
          <w:lang w:val="en-US" w:eastAsia="zh-CN"/>
        </w:rPr>
        <w:t>（二）检查考核方法</w:t>
      </w:r>
      <w:bookmarkEnd w:id="18"/>
    </w:p>
    <w:p w14:paraId="0B2DE286">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1.日常检查：学校项目负责人及相关部门人员对服务团队的日常工作表现、沟通响应情况、阶段性工作成果等进行实时跟踪和记录，作为考核的重要依据。</w:t>
      </w:r>
    </w:p>
    <w:p w14:paraId="4455DD1E">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2.阶段考核：每季度末，学校组织相关人员对该季度的服务工作进行全面考核，对照考核标准，结合日常检查记录及服务成果，进行打分评价，形成阶段考核报告。</w:t>
      </w:r>
    </w:p>
    <w:p w14:paraId="1E3EE5F2">
      <w:pPr>
        <w:spacing w:line="360" w:lineRule="auto"/>
        <w:ind w:firstLine="48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3.年度考核：服务期满后，学校组织考核小组对服务团队全年的服务工作进行综合考核，结合各阶段考核结果、年度服务成果质量、学校满意度调研情况等，进行最终打分评价。</w:t>
      </w:r>
    </w:p>
    <w:p w14:paraId="7AC4A19C">
      <w:pPr>
        <w:spacing w:line="360" w:lineRule="auto"/>
        <w:ind w:firstLine="480"/>
        <w:rPr>
          <w:rFonts w:hint="eastAsia" w:ascii="仿宋" w:hAnsi="仿宋" w:eastAsia="仿宋" w:cstheme="minorEastAsia"/>
          <w:b/>
          <w:sz w:val="24"/>
          <w:szCs w:val="24"/>
        </w:rPr>
      </w:pPr>
      <w:r>
        <w:rPr>
          <w:rFonts w:hint="eastAsia" w:ascii="仿宋" w:hAnsi="仿宋" w:eastAsia="仿宋" w:cs="Times New Roman"/>
          <w:sz w:val="24"/>
          <w:szCs w:val="24"/>
          <w:lang w:val="en-US" w:eastAsia="zh-CN"/>
        </w:rPr>
        <w:t>4.满意度测评：在服务中期和末期，分别组织学校相关部门、项目参与人员等对服务质量进行满意度测评，测评结果按一定权重计入考核总分。</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2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w:t>
      </w:r>
      <w:r>
        <w:rPr>
          <w:rFonts w:hint="eastAsia" w:ascii="仿宋" w:hAnsi="仿宋" w:eastAsia="仿宋" w:cs="仿宋"/>
          <w:color w:val="333333"/>
          <w:kern w:val="0"/>
          <w:sz w:val="24"/>
          <w:szCs w:val="24"/>
          <w:u w:val="none"/>
        </w:rPr>
        <w:t>为</w:t>
      </w:r>
      <w:r>
        <w:rPr>
          <w:rFonts w:hint="eastAsia" w:ascii="仿宋" w:hAnsi="仿宋" w:eastAsia="仿宋" w:cs="仿宋"/>
          <w:color w:val="333333"/>
          <w:kern w:val="0"/>
          <w:sz w:val="24"/>
          <w:szCs w:val="24"/>
          <w:u w:val="none"/>
          <w:lang w:val="en-US" w:eastAsia="zh-CN"/>
        </w:rPr>
        <w:t>19.8</w:t>
      </w:r>
      <w:r>
        <w:rPr>
          <w:rFonts w:hint="eastAsia" w:ascii="仿宋" w:hAnsi="仿宋" w:eastAsia="仿宋" w:cs="仿宋"/>
          <w:color w:val="333333"/>
          <w:kern w:val="0"/>
          <w:sz w:val="24"/>
          <w:szCs w:val="24"/>
          <w:u w:val="none"/>
        </w:rPr>
        <w:t>万元</w:t>
      </w:r>
      <w:r>
        <w:rPr>
          <w:rFonts w:hint="eastAsia" w:ascii="仿宋" w:hAnsi="仿宋" w:eastAsia="仿宋" w:cs="仿宋"/>
          <w:color w:val="333333"/>
          <w:kern w:val="0"/>
          <w:sz w:val="24"/>
          <w:szCs w:val="24"/>
        </w:rPr>
        <w:t>，报价为一次性报价。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2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14C21D50">
      <w:pPr>
        <w:spacing w:line="360" w:lineRule="auto"/>
        <w:ind w:firstLine="48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本项目款项分两期支付。</w:t>
      </w:r>
    </w:p>
    <w:p w14:paraId="57001F9B">
      <w:pPr>
        <w:spacing w:line="360" w:lineRule="auto"/>
        <w:ind w:firstLine="48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1.第一期付款（合同总额的20%）：合同签订且供应商按照要求提交服务实施方案并经学校审核通过后，学校向供应商支付20%合同款项。</w:t>
      </w:r>
    </w:p>
    <w:p w14:paraId="6886DBCD">
      <w:pPr>
        <w:spacing w:line="360" w:lineRule="auto"/>
        <w:ind w:firstLine="48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2.第二期付款（合同总额的80%）：服务期满，经学校年度考核合格，且供应商按照合同约定完成全部服务内容并提交所有服务成果，经学校验收通过后，学校向供应商支付剩余80%合同款项。</w:t>
      </w:r>
    </w:p>
    <w:p w14:paraId="74122B42">
      <w:pPr>
        <w:pStyle w:val="8"/>
        <w:ind w:left="0" w:leftChars="0" w:firstLine="0"/>
        <w:jc w:val="center"/>
        <w:rPr>
          <w:rFonts w:hint="eastAsia" w:ascii="仿宋" w:hAnsi="仿宋" w:eastAsia="仿宋" w:cs="仿宋"/>
          <w:color w:val="333333"/>
          <w:kern w:val="0"/>
          <w:sz w:val="24"/>
          <w:szCs w:val="24"/>
          <w:lang w:val="en-US" w:eastAsia="zh-CN" w:bidi="ar-SA"/>
        </w:rPr>
      </w:pPr>
    </w:p>
    <w:p w14:paraId="673C5573">
      <w:pPr>
        <w:pStyle w:val="8"/>
        <w:ind w:left="0" w:leftChars="0" w:firstLine="0"/>
        <w:jc w:val="center"/>
        <w:rPr>
          <w:rFonts w:hint="eastAsia" w:ascii="仿宋" w:hAnsi="仿宋" w:eastAsia="仿宋" w:cs="仿宋"/>
          <w:color w:val="333333"/>
          <w:kern w:val="0"/>
          <w:sz w:val="24"/>
          <w:szCs w:val="24"/>
          <w:lang w:val="en-US" w:eastAsia="zh-CN" w:bidi="ar-SA"/>
        </w:rPr>
      </w:pPr>
    </w:p>
    <w:p w14:paraId="4A4744C8">
      <w:pPr>
        <w:pStyle w:val="8"/>
        <w:ind w:left="0" w:leftChars="0" w:firstLine="0"/>
        <w:jc w:val="center"/>
        <w:rPr>
          <w:rFonts w:hint="eastAsia" w:ascii="仿宋" w:hAnsi="仿宋" w:eastAsia="仿宋" w:cs="仿宋"/>
          <w:color w:val="333333"/>
          <w:kern w:val="0"/>
          <w:sz w:val="24"/>
          <w:szCs w:val="24"/>
          <w:lang w:val="en-US" w:eastAsia="zh-CN" w:bidi="ar-SA"/>
        </w:rPr>
      </w:pPr>
    </w:p>
    <w:p w14:paraId="7D8758AE">
      <w:pPr>
        <w:pStyle w:val="8"/>
        <w:ind w:left="0" w:leftChars="0" w:firstLine="0"/>
        <w:jc w:val="center"/>
        <w:rPr>
          <w:rFonts w:hint="eastAsia" w:ascii="仿宋" w:hAnsi="仿宋" w:eastAsia="仿宋" w:cs="仿宋"/>
          <w:color w:val="333333"/>
          <w:kern w:val="0"/>
          <w:sz w:val="24"/>
          <w:szCs w:val="24"/>
          <w:lang w:val="en-US" w:eastAsia="zh-CN" w:bidi="ar-SA"/>
        </w:rPr>
      </w:pPr>
    </w:p>
    <w:p w14:paraId="37A1ADE2">
      <w:pPr>
        <w:pStyle w:val="8"/>
        <w:ind w:left="0" w:leftChars="0" w:firstLine="0"/>
        <w:jc w:val="center"/>
        <w:rPr>
          <w:rFonts w:hint="eastAsia" w:ascii="仿宋" w:hAnsi="仿宋" w:eastAsia="仿宋" w:cs="仿宋"/>
          <w:color w:val="333333"/>
          <w:kern w:val="0"/>
          <w:sz w:val="24"/>
          <w:szCs w:val="24"/>
          <w:lang w:val="en-US" w:eastAsia="zh-CN" w:bidi="ar-SA"/>
        </w:rPr>
      </w:pPr>
    </w:p>
    <w:p w14:paraId="41B8575B">
      <w:pPr>
        <w:pStyle w:val="8"/>
        <w:ind w:left="0" w:leftChars="0" w:firstLine="0"/>
        <w:jc w:val="center"/>
        <w:rPr>
          <w:rFonts w:hint="eastAsia" w:ascii="仿宋" w:hAnsi="仿宋" w:eastAsia="仿宋" w:cs="仿宋"/>
          <w:color w:val="333333"/>
          <w:kern w:val="0"/>
          <w:sz w:val="24"/>
          <w:szCs w:val="24"/>
          <w:lang w:val="en-US" w:eastAsia="zh-CN" w:bidi="ar-SA"/>
        </w:rPr>
      </w:pPr>
    </w:p>
    <w:p w14:paraId="523B9FC1">
      <w:pPr>
        <w:pStyle w:val="8"/>
        <w:ind w:left="0" w:leftChars="0" w:firstLine="0"/>
        <w:jc w:val="center"/>
        <w:rPr>
          <w:rFonts w:hint="eastAsia" w:ascii="仿宋" w:hAnsi="仿宋" w:eastAsia="仿宋" w:cs="仿宋"/>
          <w:color w:val="333333"/>
          <w:kern w:val="0"/>
          <w:sz w:val="24"/>
          <w:szCs w:val="24"/>
          <w:lang w:val="en-US" w:eastAsia="zh-CN" w:bidi="ar-SA"/>
        </w:rPr>
      </w:pPr>
    </w:p>
    <w:p w14:paraId="612F6A57">
      <w:pPr>
        <w:pStyle w:val="8"/>
        <w:ind w:left="0" w:leftChars="0" w:firstLine="0"/>
        <w:jc w:val="center"/>
        <w:rPr>
          <w:rFonts w:hint="eastAsia" w:ascii="仿宋" w:hAnsi="仿宋" w:eastAsia="仿宋" w:cs="仿宋"/>
          <w:color w:val="333333"/>
          <w:kern w:val="0"/>
          <w:sz w:val="24"/>
          <w:szCs w:val="24"/>
          <w:lang w:val="en-US" w:eastAsia="zh-CN" w:bidi="ar-SA"/>
        </w:rPr>
      </w:pPr>
    </w:p>
    <w:p w14:paraId="198458DA">
      <w:pPr>
        <w:rPr>
          <w:rFonts w:hint="eastAsia"/>
          <w:lang w:val="en-US" w:eastAsia="zh-CN"/>
        </w:rPr>
      </w:pPr>
    </w:p>
    <w:p w14:paraId="3DB39A84">
      <w:pPr>
        <w:pStyle w:val="8"/>
        <w:ind w:left="0" w:leftChars="0" w:firstLine="0"/>
        <w:jc w:val="center"/>
        <w:rPr>
          <w:rFonts w:hint="eastAsia" w:ascii="仿宋" w:hAnsi="仿宋" w:eastAsia="仿宋" w:cs="仿宋"/>
          <w:color w:val="333333"/>
          <w:kern w:val="0"/>
          <w:sz w:val="24"/>
          <w:szCs w:val="24"/>
          <w:lang w:val="en-US" w:eastAsia="zh-CN" w:bidi="ar-SA"/>
        </w:rPr>
      </w:pPr>
    </w:p>
    <w:p w14:paraId="4514269B">
      <w:pPr>
        <w:pStyle w:val="8"/>
        <w:ind w:left="0" w:leftChars="0" w:firstLine="0"/>
        <w:jc w:val="center"/>
        <w:rPr>
          <w:rFonts w:hint="eastAsia" w:ascii="仿宋" w:hAnsi="仿宋" w:eastAsia="仿宋" w:cs="仿宋"/>
          <w:color w:val="333333"/>
          <w:kern w:val="0"/>
          <w:sz w:val="24"/>
          <w:szCs w:val="24"/>
          <w:lang w:val="en-US" w:eastAsia="zh-CN" w:bidi="ar-SA"/>
        </w:rPr>
      </w:pPr>
    </w:p>
    <w:p w14:paraId="223FEA38">
      <w:pPr>
        <w:pStyle w:val="8"/>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6842793B">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2A57729E">
      <w:pPr>
        <w:pStyle w:val="8"/>
        <w:ind w:left="0" w:leftChars="0" w:firstLine="0"/>
      </w:pPr>
    </w:p>
    <w:p w14:paraId="056FE710">
      <w:pPr>
        <w:pStyle w:val="8"/>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0"/>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79D1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59AFEDA7">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0C748504">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4F2F7146">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46B85A0E">
            <w:pPr>
              <w:jc w:val="center"/>
              <w:rPr>
                <w:rFonts w:hint="eastAsia" w:ascii="仿宋" w:hAnsi="仿宋" w:eastAsia="仿宋"/>
                <w:b/>
                <w:sz w:val="24"/>
                <w:szCs w:val="24"/>
              </w:rPr>
            </w:pPr>
            <w:r>
              <w:rPr>
                <w:rFonts w:hint="eastAsia" w:ascii="仿宋" w:hAnsi="仿宋" w:eastAsia="仿宋"/>
                <w:b/>
                <w:sz w:val="24"/>
                <w:szCs w:val="24"/>
              </w:rPr>
              <w:t>评分标准</w:t>
            </w:r>
          </w:p>
        </w:tc>
      </w:tr>
      <w:tr w14:paraId="4A69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501" w:type="dxa"/>
            <w:vAlign w:val="center"/>
          </w:tcPr>
          <w:p w14:paraId="62BC2181">
            <w:pPr>
              <w:jc w:val="center"/>
              <w:rPr>
                <w:rFonts w:hint="eastAsia" w:ascii="仿宋" w:hAnsi="仿宋" w:eastAsia="仿宋"/>
                <w:b/>
                <w:kern w:val="0"/>
                <w:sz w:val="24"/>
                <w:szCs w:val="24"/>
                <w:highlight w:val="none"/>
              </w:rPr>
            </w:pPr>
            <w:r>
              <w:rPr>
                <w:rFonts w:hint="eastAsia" w:ascii="仿宋" w:hAnsi="仿宋" w:eastAsia="仿宋"/>
                <w:sz w:val="24"/>
                <w:szCs w:val="24"/>
                <w:highlight w:val="none"/>
              </w:rPr>
              <w:t>1</w:t>
            </w:r>
          </w:p>
        </w:tc>
        <w:tc>
          <w:tcPr>
            <w:tcW w:w="1308" w:type="dxa"/>
            <w:vAlign w:val="center"/>
          </w:tcPr>
          <w:p w14:paraId="7D8E7FFA">
            <w:pPr>
              <w:jc w:val="center"/>
              <w:rPr>
                <w:rFonts w:hint="eastAsia" w:ascii="仿宋" w:hAnsi="仿宋" w:eastAsia="仿宋"/>
                <w:b/>
                <w:kern w:val="0"/>
                <w:sz w:val="24"/>
                <w:szCs w:val="24"/>
                <w:highlight w:val="none"/>
              </w:rPr>
            </w:pPr>
            <w:r>
              <w:rPr>
                <w:rFonts w:hint="eastAsia" w:ascii="仿宋" w:hAnsi="仿宋" w:eastAsia="仿宋"/>
                <w:kern w:val="0"/>
                <w:sz w:val="24"/>
                <w:szCs w:val="24"/>
                <w:highlight w:val="none"/>
              </w:rPr>
              <w:t>报价</w:t>
            </w:r>
          </w:p>
        </w:tc>
        <w:tc>
          <w:tcPr>
            <w:tcW w:w="709" w:type="dxa"/>
            <w:vAlign w:val="center"/>
          </w:tcPr>
          <w:p w14:paraId="3AB271F7">
            <w:pPr>
              <w:jc w:val="center"/>
              <w:rPr>
                <w:rFonts w:hint="default" w:ascii="仿宋" w:hAnsi="仿宋" w:eastAsia="仿宋"/>
                <w:kern w:val="0"/>
                <w:sz w:val="24"/>
                <w:szCs w:val="24"/>
                <w:highlight w:val="none"/>
                <w:lang w:val="en-US" w:eastAsia="zh-CN"/>
              </w:rPr>
            </w:pPr>
            <w:r>
              <w:rPr>
                <w:rFonts w:hint="eastAsia" w:ascii="仿宋" w:hAnsi="仿宋" w:eastAsia="仿宋"/>
                <w:kern w:val="0"/>
                <w:sz w:val="24"/>
                <w:szCs w:val="24"/>
                <w:highlight w:val="none"/>
              </w:rPr>
              <w:t>30</w:t>
            </w:r>
          </w:p>
        </w:tc>
        <w:tc>
          <w:tcPr>
            <w:tcW w:w="6237" w:type="dxa"/>
            <w:vAlign w:val="center"/>
          </w:tcPr>
          <w:p w14:paraId="5ED2E53D">
            <w:pPr>
              <w:jc w:val="left"/>
              <w:rPr>
                <w:rFonts w:hint="eastAsia" w:ascii="仿宋" w:hAnsi="仿宋" w:eastAsia="仿宋"/>
                <w:b/>
                <w:sz w:val="24"/>
                <w:szCs w:val="24"/>
                <w:highlight w:val="none"/>
              </w:rPr>
            </w:pPr>
            <w:r>
              <w:rPr>
                <w:rFonts w:hint="eastAsia" w:ascii="仿宋" w:hAnsi="仿宋" w:eastAsia="仿宋" w:cs="宋体"/>
                <w:sz w:val="24"/>
                <w:szCs w:val="24"/>
                <w:highlight w:val="none"/>
              </w:rPr>
              <w:t>以经评委会一致认定满足招标文件要求且投标价格最低的投标报价为评标基准价，其价格得分计30分。其他投标人的价格得分统一按公式计算：报价得分=（评标基准价/投标报价）×价格权重。</w:t>
            </w:r>
          </w:p>
        </w:tc>
      </w:tr>
      <w:tr w14:paraId="14C3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6389F210">
            <w:pPr>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2</w:t>
            </w:r>
          </w:p>
        </w:tc>
        <w:tc>
          <w:tcPr>
            <w:tcW w:w="1308" w:type="dxa"/>
            <w:vAlign w:val="center"/>
          </w:tcPr>
          <w:p w14:paraId="0B4E691E">
            <w:pPr>
              <w:jc w:val="center"/>
              <w:rPr>
                <w:rFonts w:hint="eastAsia" w:ascii="仿宋" w:hAnsi="仿宋" w:eastAsia="仿宋" w:cs="宋体"/>
                <w:sz w:val="24"/>
                <w:szCs w:val="24"/>
                <w:highlight w:val="none"/>
              </w:rPr>
            </w:pPr>
            <w:r>
              <w:rPr>
                <w:rFonts w:hint="eastAsia" w:ascii="仿宋" w:hAnsi="仿宋" w:eastAsia="仿宋" w:cs="宋体"/>
                <w:sz w:val="24"/>
                <w:szCs w:val="24"/>
                <w:highlight w:val="none"/>
              </w:rPr>
              <w:t>服务团队能力</w:t>
            </w:r>
          </w:p>
        </w:tc>
        <w:tc>
          <w:tcPr>
            <w:tcW w:w="709" w:type="dxa"/>
            <w:vAlign w:val="center"/>
          </w:tcPr>
          <w:p w14:paraId="1B87B594">
            <w:pPr>
              <w:jc w:val="center"/>
              <w:rPr>
                <w:rFonts w:hint="eastAsia" w:ascii="仿宋" w:hAnsi="仿宋" w:eastAsia="仿宋" w:cs="宋体"/>
                <w:sz w:val="24"/>
                <w:szCs w:val="24"/>
                <w:highlight w:val="none"/>
              </w:rPr>
            </w:pPr>
            <w:r>
              <w:rPr>
                <w:rFonts w:hint="eastAsia" w:ascii="仿宋" w:hAnsi="仿宋" w:eastAsia="仿宋" w:cs="宋体"/>
                <w:sz w:val="24"/>
                <w:szCs w:val="24"/>
                <w:highlight w:val="none"/>
              </w:rPr>
              <w:t>10</w:t>
            </w:r>
          </w:p>
        </w:tc>
        <w:tc>
          <w:tcPr>
            <w:tcW w:w="6237" w:type="dxa"/>
            <w:vAlign w:val="center"/>
          </w:tcPr>
          <w:p w14:paraId="6979EFB7">
            <w:pPr>
              <w:jc w:val="left"/>
              <w:rPr>
                <w:rFonts w:hint="eastAsia" w:ascii="仿宋" w:hAnsi="仿宋" w:eastAsia="仿宋" w:cs="宋体"/>
                <w:sz w:val="24"/>
                <w:szCs w:val="24"/>
                <w:highlight w:val="none"/>
                <w:lang w:eastAsia="zh-CN"/>
              </w:rPr>
            </w:pPr>
            <w:r>
              <w:rPr>
                <w:rFonts w:hint="eastAsia" w:ascii="仿宋" w:hAnsi="仿宋" w:eastAsia="仿宋" w:cs="宋体"/>
                <w:sz w:val="24"/>
                <w:szCs w:val="24"/>
                <w:highlight w:val="none"/>
              </w:rPr>
              <w:t>（1）服务团队中的项目负责人具有高端绩效评价人才证书得</w:t>
            </w:r>
            <w:r>
              <w:rPr>
                <w:rFonts w:ascii="仿宋" w:hAnsi="仿宋" w:eastAsia="仿宋" w:cs="宋体"/>
                <w:sz w:val="24"/>
                <w:szCs w:val="24"/>
                <w:highlight w:val="none"/>
              </w:rPr>
              <w:t>3</w:t>
            </w:r>
            <w:r>
              <w:rPr>
                <w:rFonts w:hint="eastAsia" w:ascii="仿宋" w:hAnsi="仿宋" w:eastAsia="仿宋" w:cs="宋体"/>
                <w:sz w:val="24"/>
                <w:szCs w:val="24"/>
                <w:highlight w:val="none"/>
              </w:rPr>
              <w:t>分，近三年具有双高绩效评价或双高绩效审计服务业绩的，得</w:t>
            </w:r>
            <w:r>
              <w:rPr>
                <w:rFonts w:ascii="仿宋" w:hAnsi="仿宋" w:eastAsia="仿宋" w:cs="宋体"/>
                <w:sz w:val="24"/>
                <w:szCs w:val="24"/>
                <w:highlight w:val="none"/>
              </w:rPr>
              <w:t>1</w:t>
            </w:r>
            <w:r>
              <w:rPr>
                <w:rFonts w:hint="eastAsia" w:ascii="仿宋" w:hAnsi="仿宋" w:eastAsia="仿宋" w:cs="宋体"/>
                <w:sz w:val="24"/>
                <w:szCs w:val="24"/>
                <w:highlight w:val="none"/>
              </w:rPr>
              <w:t>分</w:t>
            </w:r>
            <w:r>
              <w:rPr>
                <w:rFonts w:hint="eastAsia" w:ascii="仿宋" w:hAnsi="仿宋" w:eastAsia="仿宋" w:cs="宋体"/>
                <w:sz w:val="24"/>
                <w:szCs w:val="24"/>
                <w:highlight w:val="none"/>
                <w:lang w:eastAsia="zh-CN"/>
              </w:rPr>
              <w:t>，</w:t>
            </w:r>
            <w:r>
              <w:rPr>
                <w:rFonts w:hint="eastAsia" w:ascii="仿宋" w:hAnsi="仿宋" w:eastAsia="仿宋" w:cs="宋体"/>
                <w:sz w:val="24"/>
                <w:szCs w:val="24"/>
                <w:highlight w:val="none"/>
              </w:rPr>
              <w:t>最高得</w:t>
            </w:r>
            <w:r>
              <w:rPr>
                <w:rFonts w:hint="eastAsia" w:ascii="仿宋" w:hAnsi="仿宋" w:eastAsia="仿宋" w:cs="宋体"/>
                <w:sz w:val="24"/>
                <w:szCs w:val="24"/>
                <w:highlight w:val="none"/>
                <w:lang w:val="en-US" w:eastAsia="zh-CN"/>
              </w:rPr>
              <w:t>4</w:t>
            </w:r>
            <w:r>
              <w:rPr>
                <w:rFonts w:hint="eastAsia" w:ascii="仿宋" w:hAnsi="仿宋" w:eastAsia="仿宋" w:cs="宋体"/>
                <w:sz w:val="24"/>
                <w:szCs w:val="24"/>
                <w:highlight w:val="none"/>
              </w:rPr>
              <w:t>分。</w:t>
            </w:r>
          </w:p>
          <w:p w14:paraId="6D559572">
            <w:pPr>
              <w:jc w:val="left"/>
              <w:rPr>
                <w:rFonts w:ascii="仿宋" w:hAnsi="仿宋" w:eastAsia="仿宋" w:cs="宋体"/>
                <w:sz w:val="24"/>
                <w:szCs w:val="24"/>
                <w:highlight w:val="none"/>
              </w:rPr>
            </w:pPr>
            <w:r>
              <w:rPr>
                <w:rFonts w:hint="eastAsia" w:ascii="仿宋" w:hAnsi="仿宋" w:eastAsia="仿宋" w:cs="宋体"/>
                <w:sz w:val="24"/>
                <w:szCs w:val="24"/>
                <w:highlight w:val="none"/>
              </w:rPr>
              <w:t>（2）服务团队中的项目成员（项目负责人除外）：</w:t>
            </w:r>
          </w:p>
          <w:p w14:paraId="3B4DD845">
            <w:pPr>
              <w:jc w:val="left"/>
              <w:rPr>
                <w:rFonts w:ascii="仿宋" w:hAnsi="仿宋" w:eastAsia="仿宋" w:cs="宋体"/>
                <w:sz w:val="24"/>
                <w:szCs w:val="24"/>
                <w:highlight w:val="none"/>
              </w:rPr>
            </w:pPr>
            <w:r>
              <w:rPr>
                <w:rFonts w:hint="eastAsia" w:ascii="仿宋" w:hAnsi="仿宋" w:eastAsia="仿宋" w:cs="宋体"/>
                <w:sz w:val="24"/>
                <w:szCs w:val="24"/>
                <w:highlight w:val="none"/>
              </w:rPr>
              <w:t>①具备项目管理师证书的，每提供1人得</w:t>
            </w:r>
            <w:r>
              <w:rPr>
                <w:rFonts w:ascii="仿宋" w:hAnsi="仿宋" w:eastAsia="仿宋" w:cs="宋体"/>
                <w:sz w:val="24"/>
                <w:szCs w:val="24"/>
                <w:highlight w:val="none"/>
              </w:rPr>
              <w:t>1</w:t>
            </w:r>
            <w:r>
              <w:rPr>
                <w:rFonts w:hint="eastAsia" w:ascii="仿宋" w:hAnsi="仿宋" w:eastAsia="仿宋" w:cs="宋体"/>
                <w:sz w:val="24"/>
                <w:szCs w:val="24"/>
                <w:highlight w:val="none"/>
              </w:rPr>
              <w:t>分，最高得</w:t>
            </w:r>
            <w:r>
              <w:rPr>
                <w:rFonts w:ascii="仿宋" w:hAnsi="仿宋" w:eastAsia="仿宋" w:cs="宋体"/>
                <w:sz w:val="24"/>
                <w:szCs w:val="24"/>
                <w:highlight w:val="none"/>
              </w:rPr>
              <w:t>2</w:t>
            </w:r>
            <w:r>
              <w:rPr>
                <w:rFonts w:hint="eastAsia" w:ascii="仿宋" w:hAnsi="仿宋" w:eastAsia="仿宋" w:cs="宋体"/>
                <w:sz w:val="24"/>
                <w:szCs w:val="24"/>
                <w:highlight w:val="none"/>
              </w:rPr>
              <w:t>分。</w:t>
            </w:r>
          </w:p>
          <w:p w14:paraId="5805D272">
            <w:pPr>
              <w:jc w:val="left"/>
              <w:rPr>
                <w:rFonts w:ascii="仿宋" w:hAnsi="仿宋" w:eastAsia="仿宋" w:cs="宋体"/>
                <w:sz w:val="24"/>
                <w:szCs w:val="24"/>
                <w:highlight w:val="none"/>
              </w:rPr>
            </w:pPr>
            <w:r>
              <w:rPr>
                <w:rFonts w:hint="eastAsia" w:ascii="仿宋" w:hAnsi="仿宋" w:eastAsia="仿宋" w:cs="宋体"/>
                <w:sz w:val="24"/>
                <w:szCs w:val="24"/>
                <w:highlight w:val="none"/>
              </w:rPr>
              <w:t>②具备国际注册内部审计师证书的，每提供1人得</w:t>
            </w:r>
            <w:r>
              <w:rPr>
                <w:rFonts w:ascii="仿宋" w:hAnsi="仿宋" w:eastAsia="仿宋" w:cs="宋体"/>
                <w:sz w:val="24"/>
                <w:szCs w:val="24"/>
                <w:highlight w:val="none"/>
              </w:rPr>
              <w:t>1</w:t>
            </w:r>
            <w:r>
              <w:rPr>
                <w:rFonts w:hint="eastAsia" w:ascii="仿宋" w:hAnsi="仿宋" w:eastAsia="仿宋" w:cs="宋体"/>
                <w:sz w:val="24"/>
                <w:szCs w:val="24"/>
                <w:highlight w:val="none"/>
              </w:rPr>
              <w:t>分，最高得</w:t>
            </w:r>
            <w:r>
              <w:rPr>
                <w:rFonts w:ascii="仿宋" w:hAnsi="仿宋" w:eastAsia="仿宋" w:cs="宋体"/>
                <w:sz w:val="24"/>
                <w:szCs w:val="24"/>
                <w:highlight w:val="none"/>
              </w:rPr>
              <w:t>2</w:t>
            </w:r>
            <w:r>
              <w:rPr>
                <w:rFonts w:hint="eastAsia" w:ascii="仿宋" w:hAnsi="仿宋" w:eastAsia="仿宋" w:cs="宋体"/>
                <w:sz w:val="24"/>
                <w:szCs w:val="24"/>
                <w:highlight w:val="none"/>
              </w:rPr>
              <w:t>分。</w:t>
            </w:r>
          </w:p>
          <w:p w14:paraId="506E700B">
            <w:pPr>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③成员中具有从事双高绩效评价或双高绩效审计服务项目经验的，每提供1个案例得</w:t>
            </w:r>
            <w:r>
              <w:rPr>
                <w:rFonts w:ascii="仿宋" w:hAnsi="仿宋" w:eastAsia="仿宋" w:cs="宋体"/>
                <w:sz w:val="24"/>
                <w:szCs w:val="24"/>
                <w:highlight w:val="none"/>
              </w:rPr>
              <w:t>1</w:t>
            </w:r>
            <w:r>
              <w:rPr>
                <w:rFonts w:hint="eastAsia" w:ascii="仿宋" w:hAnsi="仿宋" w:eastAsia="仿宋" w:cs="宋体"/>
                <w:sz w:val="24"/>
                <w:szCs w:val="24"/>
                <w:highlight w:val="none"/>
              </w:rPr>
              <w:t>分，最高得</w:t>
            </w:r>
            <w:r>
              <w:rPr>
                <w:rFonts w:ascii="仿宋" w:hAnsi="仿宋" w:eastAsia="仿宋" w:cs="宋体"/>
                <w:sz w:val="24"/>
                <w:szCs w:val="24"/>
                <w:highlight w:val="none"/>
              </w:rPr>
              <w:t>2</w:t>
            </w:r>
            <w:r>
              <w:rPr>
                <w:rFonts w:hint="eastAsia" w:ascii="仿宋" w:hAnsi="仿宋" w:eastAsia="仿宋" w:cs="宋体"/>
                <w:sz w:val="24"/>
                <w:szCs w:val="24"/>
                <w:highlight w:val="none"/>
              </w:rPr>
              <w:t>分。</w:t>
            </w:r>
          </w:p>
          <w:p w14:paraId="5E031275">
            <w:pPr>
              <w:jc w:val="left"/>
              <w:rPr>
                <w:rFonts w:hint="eastAsia" w:ascii="仿宋" w:hAnsi="仿宋" w:eastAsia="仿宋" w:cs="宋体"/>
                <w:b/>
                <w:bCs/>
                <w:sz w:val="24"/>
                <w:szCs w:val="24"/>
                <w:highlight w:val="none"/>
              </w:rPr>
            </w:pPr>
            <w:r>
              <w:rPr>
                <w:rFonts w:hint="eastAsia" w:ascii="仿宋" w:hAnsi="仿宋" w:eastAsia="仿宋" w:cs="宋体"/>
                <w:b/>
                <w:bCs/>
                <w:sz w:val="24"/>
                <w:szCs w:val="24"/>
                <w:highlight w:val="none"/>
              </w:rPr>
              <w:t>本项满分10分。</w:t>
            </w:r>
          </w:p>
          <w:p w14:paraId="4EC7629E">
            <w:pPr>
              <w:jc w:val="left"/>
              <w:rPr>
                <w:rFonts w:hint="eastAsia" w:ascii="仿宋" w:hAnsi="仿宋" w:eastAsia="仿宋" w:cs="宋体"/>
                <w:sz w:val="24"/>
                <w:szCs w:val="24"/>
                <w:highlight w:val="none"/>
              </w:rPr>
            </w:pPr>
            <w:r>
              <w:rPr>
                <w:rFonts w:hint="eastAsia" w:ascii="仿宋" w:hAnsi="仿宋" w:eastAsia="仿宋" w:cs="宋体"/>
                <w:b/>
                <w:bCs/>
                <w:sz w:val="24"/>
                <w:szCs w:val="24"/>
                <w:highlight w:val="none"/>
              </w:rPr>
              <w:t>【评审依据】：1）响应文件中提供以上人员证书扫描件和供应商为其缴纳的近三个月（不含</w:t>
            </w:r>
            <w:r>
              <w:rPr>
                <w:rFonts w:hint="eastAsia" w:ascii="仿宋" w:hAnsi="仿宋" w:eastAsia="仿宋" w:cs="宋体"/>
                <w:b/>
                <w:bCs/>
                <w:sz w:val="24"/>
                <w:szCs w:val="24"/>
                <w:highlight w:val="none"/>
                <w:lang w:val="en-US" w:eastAsia="zh-CN"/>
              </w:rPr>
              <w:t>询比</w:t>
            </w:r>
            <w:r>
              <w:rPr>
                <w:rFonts w:hint="eastAsia" w:ascii="仿宋" w:hAnsi="仿宋" w:eastAsia="仿宋" w:cs="宋体"/>
                <w:b/>
                <w:bCs/>
                <w:sz w:val="24"/>
                <w:szCs w:val="24"/>
                <w:highlight w:val="none"/>
              </w:rPr>
              <w:t>当月）的社保证明扫描件并加盖供应商公章，未提供或提供的证明材料不齐全的不得分。2）服务团队中人员证书不得复用，否则不予加分。</w:t>
            </w:r>
          </w:p>
        </w:tc>
      </w:tr>
      <w:tr w14:paraId="5B54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501" w:type="dxa"/>
            <w:vAlign w:val="center"/>
          </w:tcPr>
          <w:p w14:paraId="5040FC1A">
            <w:pPr>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3</w:t>
            </w:r>
          </w:p>
        </w:tc>
        <w:tc>
          <w:tcPr>
            <w:tcW w:w="1308" w:type="dxa"/>
            <w:vAlign w:val="center"/>
          </w:tcPr>
          <w:p w14:paraId="4CB097CA">
            <w:pPr>
              <w:jc w:val="center"/>
              <w:rPr>
                <w:rFonts w:hint="eastAsia" w:ascii="仿宋" w:hAnsi="仿宋" w:eastAsia="仿宋" w:cs="宋体"/>
                <w:sz w:val="24"/>
                <w:szCs w:val="24"/>
                <w:highlight w:val="none"/>
              </w:rPr>
            </w:pPr>
            <w:r>
              <w:rPr>
                <w:rFonts w:hint="eastAsia" w:ascii="仿宋" w:hAnsi="仿宋" w:eastAsia="仿宋" w:cs="宋体"/>
                <w:sz w:val="24"/>
                <w:szCs w:val="24"/>
                <w:highlight w:val="none"/>
              </w:rPr>
              <w:t>项目整体实施方案</w:t>
            </w:r>
          </w:p>
        </w:tc>
        <w:tc>
          <w:tcPr>
            <w:tcW w:w="709" w:type="dxa"/>
            <w:vAlign w:val="center"/>
          </w:tcPr>
          <w:p w14:paraId="5F6B02FB">
            <w:pPr>
              <w:jc w:val="center"/>
              <w:rPr>
                <w:rFonts w:hint="eastAsia" w:ascii="仿宋" w:hAnsi="仿宋" w:eastAsia="仿宋" w:cs="宋体"/>
                <w:sz w:val="24"/>
                <w:szCs w:val="24"/>
                <w:highlight w:val="none"/>
              </w:rPr>
            </w:pPr>
            <w:r>
              <w:rPr>
                <w:rFonts w:hint="eastAsia" w:ascii="仿宋" w:hAnsi="仿宋" w:eastAsia="仿宋" w:cs="宋体"/>
                <w:sz w:val="24"/>
                <w:szCs w:val="24"/>
                <w:highlight w:val="none"/>
              </w:rPr>
              <w:t>24</w:t>
            </w:r>
          </w:p>
        </w:tc>
        <w:tc>
          <w:tcPr>
            <w:tcW w:w="6237" w:type="dxa"/>
            <w:vAlign w:val="center"/>
          </w:tcPr>
          <w:p w14:paraId="41D3001B">
            <w:pPr>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供应商根据本项目实施特点及技术要求，结合项目所在地现有情况制定实施方案，方案至少应包括：①</w:t>
            </w:r>
            <w:r>
              <w:rPr>
                <w:rFonts w:hint="eastAsia" w:ascii="仿宋" w:hAnsi="仿宋" w:eastAsia="仿宋" w:cs="宋体"/>
                <w:color w:val="000000"/>
                <w:kern w:val="0"/>
                <w:sz w:val="24"/>
                <w:szCs w:val="24"/>
                <w:highlight w:val="none"/>
              </w:rPr>
              <w:t>项目实施思路</w:t>
            </w:r>
            <w:r>
              <w:rPr>
                <w:rFonts w:hint="eastAsia" w:ascii="仿宋" w:hAnsi="仿宋" w:eastAsia="仿宋" w:cs="宋体"/>
                <w:sz w:val="24"/>
                <w:szCs w:val="24"/>
                <w:highlight w:val="none"/>
              </w:rPr>
              <w:t>；②</w:t>
            </w:r>
            <w:r>
              <w:rPr>
                <w:rFonts w:hint="eastAsia" w:ascii="仿宋" w:hAnsi="仿宋" w:eastAsia="仿宋" w:cs="宋体"/>
                <w:color w:val="000000"/>
                <w:kern w:val="0"/>
                <w:sz w:val="24"/>
                <w:szCs w:val="24"/>
                <w:highlight w:val="none"/>
              </w:rPr>
              <w:t>项目工作方法</w:t>
            </w:r>
            <w:r>
              <w:rPr>
                <w:rFonts w:hint="eastAsia" w:ascii="仿宋" w:hAnsi="仿宋" w:eastAsia="仿宋" w:cs="宋体"/>
                <w:sz w:val="24"/>
                <w:szCs w:val="24"/>
                <w:highlight w:val="none"/>
              </w:rPr>
              <w:t>；③</w:t>
            </w:r>
            <w:r>
              <w:rPr>
                <w:rFonts w:hint="eastAsia" w:ascii="仿宋" w:hAnsi="仿宋" w:eastAsia="仿宋" w:cs="宋体"/>
                <w:color w:val="000000"/>
                <w:kern w:val="0"/>
                <w:sz w:val="24"/>
                <w:szCs w:val="24"/>
                <w:highlight w:val="none"/>
              </w:rPr>
              <w:t>项目实施步骤</w:t>
            </w:r>
            <w:r>
              <w:rPr>
                <w:rFonts w:hint="eastAsia" w:ascii="仿宋" w:hAnsi="仿宋" w:eastAsia="仿宋" w:cs="宋体"/>
                <w:sz w:val="24"/>
                <w:szCs w:val="24"/>
                <w:highlight w:val="none"/>
              </w:rPr>
              <w:t>；④项目重点难点分析、应对措施及相关的合理化建议；⑤质量保障措施；⑥项目完成后的服务承诺。</w:t>
            </w:r>
          </w:p>
          <w:p w14:paraId="28CE538E">
            <w:pPr>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评审小组根据方案的完整性、合理性及操作性等进行评价，以上①~⑥条方案内容全面、科学合理的每条得4分；方案较完整、能满足基本保障要求的每条得2分；方案有缺失、操作性一般的得1分；其他不得分。</w:t>
            </w:r>
          </w:p>
          <w:p w14:paraId="26F9CE39">
            <w:pPr>
              <w:jc w:val="left"/>
              <w:rPr>
                <w:rFonts w:hint="eastAsia" w:ascii="仿宋" w:hAnsi="仿宋" w:eastAsia="仿宋" w:cs="宋体"/>
                <w:b/>
                <w:bCs/>
                <w:sz w:val="24"/>
                <w:szCs w:val="24"/>
                <w:highlight w:val="none"/>
              </w:rPr>
            </w:pPr>
            <w:r>
              <w:rPr>
                <w:rFonts w:hint="eastAsia" w:ascii="仿宋" w:hAnsi="仿宋" w:eastAsia="仿宋" w:cs="宋体"/>
                <w:b/>
                <w:bCs/>
                <w:sz w:val="24"/>
                <w:szCs w:val="24"/>
                <w:highlight w:val="none"/>
              </w:rPr>
              <w:t>本项满分24分。</w:t>
            </w:r>
          </w:p>
          <w:p w14:paraId="4D0B48F6">
            <w:pPr>
              <w:jc w:val="left"/>
              <w:rPr>
                <w:rFonts w:hint="eastAsia" w:ascii="仿宋" w:hAnsi="仿宋" w:eastAsia="仿宋" w:cs="宋体"/>
                <w:sz w:val="24"/>
                <w:szCs w:val="24"/>
                <w:highlight w:val="none"/>
              </w:rPr>
            </w:pPr>
            <w:r>
              <w:rPr>
                <w:rFonts w:hint="eastAsia" w:ascii="仿宋" w:hAnsi="仿宋" w:eastAsia="仿宋" w:cs="宋体"/>
                <w:b/>
                <w:bCs/>
                <w:sz w:val="24"/>
                <w:szCs w:val="24"/>
                <w:highlight w:val="none"/>
              </w:rPr>
              <w:t>【评审依据】：响应文件中提供项目整体实施方案，未提供不得分。</w:t>
            </w:r>
          </w:p>
        </w:tc>
      </w:tr>
      <w:tr w14:paraId="2E70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9" w:hRule="atLeast"/>
        </w:trPr>
        <w:tc>
          <w:tcPr>
            <w:tcW w:w="501" w:type="dxa"/>
            <w:vAlign w:val="center"/>
          </w:tcPr>
          <w:p w14:paraId="55734A43">
            <w:pPr>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4</w:t>
            </w:r>
          </w:p>
        </w:tc>
        <w:tc>
          <w:tcPr>
            <w:tcW w:w="1308" w:type="dxa"/>
            <w:vAlign w:val="center"/>
          </w:tcPr>
          <w:p w14:paraId="329C7FA8">
            <w:pPr>
              <w:jc w:val="center"/>
              <w:rPr>
                <w:rFonts w:hint="eastAsia" w:ascii="仿宋" w:hAnsi="仿宋" w:eastAsia="仿宋" w:cs="宋体"/>
                <w:sz w:val="24"/>
                <w:szCs w:val="24"/>
                <w:highlight w:val="none"/>
              </w:rPr>
            </w:pPr>
            <w:r>
              <w:rPr>
                <w:rFonts w:hint="eastAsia" w:ascii="仿宋" w:hAnsi="仿宋" w:eastAsia="仿宋" w:cs="宋体"/>
                <w:sz w:val="24"/>
                <w:szCs w:val="24"/>
                <w:highlight w:val="none"/>
              </w:rPr>
              <w:t>知识产权</w:t>
            </w:r>
          </w:p>
        </w:tc>
        <w:tc>
          <w:tcPr>
            <w:tcW w:w="709" w:type="dxa"/>
            <w:vAlign w:val="center"/>
          </w:tcPr>
          <w:p w14:paraId="19462B79">
            <w:pPr>
              <w:jc w:val="center"/>
              <w:rPr>
                <w:rFonts w:hint="eastAsia" w:ascii="仿宋" w:hAnsi="仿宋" w:eastAsia="仿宋" w:cs="宋体"/>
                <w:sz w:val="24"/>
                <w:szCs w:val="24"/>
                <w:highlight w:val="none"/>
              </w:rPr>
            </w:pPr>
            <w:r>
              <w:rPr>
                <w:rFonts w:hint="eastAsia" w:ascii="仿宋" w:hAnsi="仿宋" w:eastAsia="仿宋" w:cs="宋体"/>
                <w:sz w:val="24"/>
                <w:szCs w:val="24"/>
                <w:highlight w:val="none"/>
              </w:rPr>
              <w:t>6</w:t>
            </w:r>
          </w:p>
        </w:tc>
        <w:tc>
          <w:tcPr>
            <w:tcW w:w="6237" w:type="dxa"/>
            <w:vAlign w:val="center"/>
          </w:tcPr>
          <w:p w14:paraId="779D88F5">
            <w:pPr>
              <w:jc w:val="left"/>
              <w:rPr>
                <w:rFonts w:ascii="仿宋" w:hAnsi="仿宋" w:eastAsia="仿宋" w:cs="宋体"/>
                <w:sz w:val="24"/>
                <w:szCs w:val="24"/>
                <w:highlight w:val="none"/>
              </w:rPr>
            </w:pPr>
            <w:r>
              <w:rPr>
                <w:rFonts w:hint="eastAsia" w:ascii="仿宋" w:hAnsi="仿宋" w:eastAsia="仿宋" w:cs="宋体"/>
                <w:sz w:val="24"/>
                <w:szCs w:val="24"/>
                <w:highlight w:val="none"/>
              </w:rPr>
              <w:t>供应商具有双高相关自主知识产权，每提供1个得3分。</w:t>
            </w:r>
          </w:p>
          <w:p w14:paraId="0831C1E3">
            <w:pPr>
              <w:jc w:val="left"/>
              <w:rPr>
                <w:rFonts w:hint="eastAsia" w:ascii="仿宋" w:hAnsi="仿宋" w:eastAsia="仿宋" w:cs="宋体"/>
                <w:b/>
                <w:bCs/>
                <w:sz w:val="24"/>
                <w:szCs w:val="24"/>
                <w:highlight w:val="none"/>
              </w:rPr>
            </w:pPr>
            <w:r>
              <w:rPr>
                <w:rFonts w:hint="eastAsia" w:ascii="仿宋" w:hAnsi="仿宋" w:eastAsia="仿宋" w:cs="宋体"/>
                <w:b/>
                <w:bCs/>
                <w:sz w:val="24"/>
                <w:szCs w:val="24"/>
                <w:highlight w:val="none"/>
              </w:rPr>
              <w:t>本项满分6分。</w:t>
            </w:r>
          </w:p>
          <w:p w14:paraId="4F6EC615">
            <w:pPr>
              <w:jc w:val="left"/>
              <w:rPr>
                <w:rFonts w:hint="eastAsia" w:ascii="仿宋" w:hAnsi="仿宋" w:eastAsia="仿宋" w:cs="宋体"/>
                <w:sz w:val="24"/>
                <w:szCs w:val="24"/>
                <w:highlight w:val="none"/>
              </w:rPr>
            </w:pPr>
            <w:r>
              <w:rPr>
                <w:rFonts w:hint="eastAsia" w:ascii="仿宋" w:hAnsi="仿宋" w:eastAsia="仿宋" w:cs="宋体"/>
                <w:b/>
                <w:bCs/>
                <w:sz w:val="24"/>
                <w:szCs w:val="24"/>
                <w:highlight w:val="none"/>
              </w:rPr>
              <w:t>【评审依据】：响应文件中提供有效的证书等证明材料，未提供不得分。</w:t>
            </w:r>
          </w:p>
        </w:tc>
      </w:tr>
      <w:tr w14:paraId="5517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258C8DA">
            <w:pPr>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5</w:t>
            </w:r>
          </w:p>
        </w:tc>
        <w:tc>
          <w:tcPr>
            <w:tcW w:w="1308" w:type="dxa"/>
            <w:vAlign w:val="center"/>
          </w:tcPr>
          <w:p w14:paraId="12982FC6">
            <w:pPr>
              <w:jc w:val="center"/>
              <w:rPr>
                <w:rFonts w:hint="eastAsia" w:ascii="仿宋" w:hAnsi="仿宋" w:eastAsia="仿宋" w:cs="宋体"/>
                <w:sz w:val="24"/>
                <w:szCs w:val="24"/>
                <w:highlight w:val="none"/>
              </w:rPr>
            </w:pPr>
            <w:r>
              <w:rPr>
                <w:rFonts w:hint="eastAsia" w:ascii="仿宋" w:hAnsi="仿宋" w:eastAsia="仿宋" w:cs="宋体"/>
                <w:sz w:val="24"/>
                <w:szCs w:val="24"/>
                <w:highlight w:val="none"/>
              </w:rPr>
              <w:t>履约能力</w:t>
            </w:r>
          </w:p>
        </w:tc>
        <w:tc>
          <w:tcPr>
            <w:tcW w:w="709" w:type="dxa"/>
            <w:vAlign w:val="center"/>
          </w:tcPr>
          <w:p w14:paraId="01FC025E">
            <w:pPr>
              <w:jc w:val="center"/>
              <w:rPr>
                <w:rFonts w:hint="default"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21</w:t>
            </w:r>
          </w:p>
        </w:tc>
        <w:tc>
          <w:tcPr>
            <w:tcW w:w="6237" w:type="dxa"/>
            <w:vAlign w:val="center"/>
          </w:tcPr>
          <w:p w14:paraId="6E9592EE">
            <w:pPr>
              <w:jc w:val="left"/>
              <w:rPr>
                <w:rFonts w:hint="eastAsia" w:ascii="仿宋" w:hAnsi="仿宋" w:eastAsia="仿宋" w:cs="宋体"/>
                <w:sz w:val="24"/>
                <w:szCs w:val="24"/>
                <w:highlight w:val="none"/>
              </w:rPr>
            </w:pPr>
            <w:r>
              <w:rPr>
                <w:rFonts w:hint="eastAsia" w:ascii="仿宋" w:hAnsi="仿宋" w:eastAsia="仿宋" w:cs="仿宋"/>
                <w:color w:val="000000"/>
                <w:kern w:val="0"/>
                <w:sz w:val="24"/>
                <w:highlight w:val="none"/>
                <w:lang w:val="en-US" w:eastAsia="zh-CN"/>
              </w:rPr>
              <w:t>供应商提供</w:t>
            </w:r>
            <w:r>
              <w:rPr>
                <w:rFonts w:hint="eastAsia" w:ascii="仿宋" w:hAnsi="仿宋" w:eastAsia="仿宋" w:cs="仿宋"/>
                <w:color w:val="000000"/>
                <w:kern w:val="0"/>
                <w:sz w:val="24"/>
                <w:highlight w:val="none"/>
              </w:rPr>
              <w:t>自2022年1月1日至本项目</w:t>
            </w:r>
            <w:r>
              <w:rPr>
                <w:rFonts w:hint="eastAsia" w:ascii="仿宋" w:hAnsi="仿宋" w:eastAsia="仿宋" w:cs="仿宋"/>
                <w:color w:val="000000"/>
                <w:kern w:val="0"/>
                <w:sz w:val="24"/>
                <w:highlight w:val="none"/>
                <w:lang w:val="en-US" w:eastAsia="zh-CN"/>
              </w:rPr>
              <w:t>相应文件递交</w:t>
            </w:r>
            <w:r>
              <w:rPr>
                <w:rFonts w:hint="eastAsia" w:ascii="仿宋" w:hAnsi="仿宋" w:eastAsia="仿宋" w:cs="仿宋"/>
                <w:color w:val="000000"/>
                <w:kern w:val="0"/>
                <w:sz w:val="24"/>
                <w:highlight w:val="none"/>
              </w:rPr>
              <w:t>截止之日（以合同签订之日为准）具有双高绩效评价或双高绩效审计业绩</w:t>
            </w:r>
            <w:r>
              <w:rPr>
                <w:rFonts w:hint="eastAsia" w:ascii="仿宋" w:hAnsi="仿宋" w:eastAsia="仿宋" w:cs="仿宋"/>
                <w:color w:val="000000"/>
                <w:kern w:val="0"/>
                <w:sz w:val="24"/>
                <w:highlight w:val="none"/>
                <w:lang w:val="en-US" w:eastAsia="zh-CN"/>
              </w:rPr>
              <w:t>服务项目实施案例的</w:t>
            </w:r>
            <w:r>
              <w:rPr>
                <w:rFonts w:hint="eastAsia" w:ascii="仿宋" w:hAnsi="仿宋" w:eastAsia="仿宋" w:cs="仿宋"/>
                <w:color w:val="000000"/>
                <w:kern w:val="0"/>
                <w:sz w:val="24"/>
                <w:highlight w:val="none"/>
              </w:rPr>
              <w:t>，每提供</w:t>
            </w:r>
            <w:r>
              <w:rPr>
                <w:rFonts w:hint="eastAsia" w:ascii="仿宋" w:hAnsi="仿宋" w:eastAsia="仿宋" w:cs="仿宋"/>
                <w:color w:val="000000"/>
                <w:kern w:val="0"/>
                <w:sz w:val="24"/>
                <w:highlight w:val="none"/>
                <w:lang w:val="en-US" w:eastAsia="zh-CN"/>
              </w:rPr>
              <w:t>一个加7</w:t>
            </w:r>
            <w:r>
              <w:rPr>
                <w:rFonts w:hint="eastAsia" w:ascii="仿宋" w:hAnsi="仿宋" w:eastAsia="仿宋" w:cs="仿宋"/>
                <w:color w:val="000000"/>
                <w:kern w:val="0"/>
                <w:sz w:val="24"/>
                <w:highlight w:val="none"/>
              </w:rPr>
              <w:t>分</w:t>
            </w:r>
            <w:r>
              <w:rPr>
                <w:rFonts w:hint="eastAsia" w:ascii="仿宋" w:hAnsi="仿宋" w:eastAsia="仿宋" w:cs="仿宋"/>
                <w:color w:val="000000"/>
                <w:kern w:val="0"/>
                <w:sz w:val="24"/>
                <w:highlight w:val="none"/>
                <w:lang w:eastAsia="zh-CN"/>
              </w:rPr>
              <w:t>。</w:t>
            </w:r>
          </w:p>
          <w:p w14:paraId="17D98F83">
            <w:pPr>
              <w:jc w:val="left"/>
              <w:rPr>
                <w:rFonts w:hint="eastAsia" w:ascii="仿宋" w:hAnsi="仿宋" w:eastAsia="仿宋" w:cs="宋体"/>
                <w:b/>
                <w:bCs/>
                <w:sz w:val="24"/>
                <w:szCs w:val="24"/>
                <w:highlight w:val="none"/>
              </w:rPr>
            </w:pPr>
            <w:r>
              <w:rPr>
                <w:rFonts w:hint="eastAsia" w:ascii="仿宋" w:hAnsi="仿宋" w:eastAsia="仿宋" w:cs="宋体"/>
                <w:b/>
                <w:bCs/>
                <w:sz w:val="24"/>
                <w:szCs w:val="24"/>
                <w:highlight w:val="none"/>
              </w:rPr>
              <w:t>本项满分</w:t>
            </w:r>
            <w:r>
              <w:rPr>
                <w:rFonts w:hint="eastAsia" w:ascii="仿宋" w:hAnsi="仿宋" w:eastAsia="仿宋" w:cs="宋体"/>
                <w:b/>
                <w:bCs/>
                <w:sz w:val="24"/>
                <w:szCs w:val="24"/>
                <w:highlight w:val="none"/>
                <w:lang w:val="en-US" w:eastAsia="zh-CN"/>
              </w:rPr>
              <w:t>21</w:t>
            </w:r>
            <w:r>
              <w:rPr>
                <w:rFonts w:hint="eastAsia" w:ascii="仿宋" w:hAnsi="仿宋" w:eastAsia="仿宋" w:cs="宋体"/>
                <w:b/>
                <w:bCs/>
                <w:sz w:val="24"/>
                <w:szCs w:val="24"/>
                <w:highlight w:val="none"/>
              </w:rPr>
              <w:t>分。</w:t>
            </w:r>
          </w:p>
          <w:p w14:paraId="21D192DF">
            <w:pPr>
              <w:jc w:val="left"/>
              <w:rPr>
                <w:rFonts w:hint="eastAsia" w:ascii="仿宋" w:hAnsi="仿宋" w:eastAsia="仿宋" w:cs="宋体"/>
                <w:sz w:val="24"/>
                <w:szCs w:val="24"/>
                <w:highlight w:val="none"/>
              </w:rPr>
            </w:pPr>
            <w:r>
              <w:rPr>
                <w:rFonts w:hint="eastAsia" w:ascii="仿宋" w:hAnsi="仿宋" w:eastAsia="仿宋" w:cs="宋体"/>
                <w:b/>
                <w:bCs/>
                <w:sz w:val="24"/>
                <w:szCs w:val="24"/>
                <w:highlight w:val="none"/>
              </w:rPr>
              <w:t>【评审依据】：响应文件中提供合同复印件并加盖供应商公章。（合同复印件需提供合同首页、标的或内容所在页、签字盖章页）</w:t>
            </w:r>
          </w:p>
        </w:tc>
      </w:tr>
      <w:tr w14:paraId="631F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3CA71C8">
            <w:pPr>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6</w:t>
            </w:r>
          </w:p>
        </w:tc>
        <w:tc>
          <w:tcPr>
            <w:tcW w:w="1308" w:type="dxa"/>
            <w:vAlign w:val="center"/>
          </w:tcPr>
          <w:p w14:paraId="343B1904">
            <w:pPr>
              <w:jc w:val="center"/>
              <w:rPr>
                <w:rFonts w:hint="eastAsia" w:ascii="仿宋" w:hAnsi="仿宋" w:eastAsia="仿宋" w:cs="宋体"/>
                <w:sz w:val="24"/>
                <w:szCs w:val="24"/>
                <w:highlight w:val="none"/>
              </w:rPr>
            </w:pPr>
            <w:r>
              <w:rPr>
                <w:rFonts w:hint="eastAsia" w:ascii="仿宋" w:hAnsi="仿宋" w:eastAsia="仿宋" w:cs="宋体"/>
                <w:sz w:val="24"/>
                <w:szCs w:val="24"/>
                <w:highlight w:val="none"/>
              </w:rPr>
              <w:t>企业综合实力</w:t>
            </w:r>
          </w:p>
        </w:tc>
        <w:tc>
          <w:tcPr>
            <w:tcW w:w="709" w:type="dxa"/>
            <w:vAlign w:val="center"/>
          </w:tcPr>
          <w:p w14:paraId="147D11AC">
            <w:pPr>
              <w:jc w:val="center"/>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9</w:t>
            </w:r>
          </w:p>
        </w:tc>
        <w:tc>
          <w:tcPr>
            <w:tcW w:w="6237" w:type="dxa"/>
            <w:vAlign w:val="center"/>
          </w:tcPr>
          <w:p w14:paraId="5154D115">
            <w:pPr>
              <w:jc w:val="left"/>
              <w:rPr>
                <w:rFonts w:hint="eastAsia" w:ascii="仿宋" w:hAnsi="仿宋" w:eastAsia="仿宋" w:cs="仿宋"/>
                <w:color w:val="000000"/>
                <w:kern w:val="0"/>
                <w:sz w:val="24"/>
                <w:highlight w:val="none"/>
                <w:lang w:val="en-US" w:eastAsia="zh-CN"/>
              </w:rPr>
            </w:pPr>
            <w:r>
              <w:rPr>
                <w:rFonts w:hint="eastAsia" w:ascii="仿宋" w:hAnsi="仿宋" w:eastAsia="仿宋" w:cs="宋体"/>
                <w:sz w:val="24"/>
                <w:szCs w:val="24"/>
                <w:highlight w:val="none"/>
              </w:rPr>
              <w:t>供应商提供</w:t>
            </w:r>
            <w:r>
              <w:rPr>
                <w:rFonts w:hint="eastAsia" w:ascii="仿宋" w:hAnsi="仿宋" w:eastAsia="仿宋" w:cs="仿宋"/>
                <w:color w:val="000000"/>
                <w:kern w:val="0"/>
                <w:sz w:val="24"/>
                <w:highlight w:val="none"/>
              </w:rPr>
              <w:t>ISO9001质量管理体系认证</w:t>
            </w:r>
            <w:r>
              <w:rPr>
                <w:rFonts w:hint="eastAsia" w:ascii="仿宋" w:hAnsi="仿宋" w:eastAsia="仿宋" w:cs="仿宋"/>
                <w:color w:val="000000"/>
                <w:kern w:val="0"/>
                <w:sz w:val="24"/>
                <w:highlight w:val="none"/>
                <w:lang w:eastAsia="zh-CN"/>
              </w:rPr>
              <w:t>、</w:t>
            </w:r>
            <w:r>
              <w:rPr>
                <w:rFonts w:hint="eastAsia" w:ascii="仿宋" w:hAnsi="仿宋" w:eastAsia="仿宋" w:cs="仿宋"/>
                <w:color w:val="000000"/>
                <w:kern w:val="0"/>
                <w:sz w:val="24"/>
                <w:highlight w:val="none"/>
              </w:rPr>
              <w:t>ISO45001职业健康安全管理体系认证</w:t>
            </w:r>
            <w:r>
              <w:rPr>
                <w:rFonts w:hint="eastAsia" w:ascii="仿宋" w:hAnsi="仿宋" w:eastAsia="仿宋" w:cs="仿宋"/>
                <w:color w:val="000000"/>
                <w:kern w:val="0"/>
                <w:sz w:val="24"/>
                <w:highlight w:val="none"/>
                <w:lang w:eastAsia="zh-CN"/>
              </w:rPr>
              <w:t>、</w:t>
            </w:r>
            <w:r>
              <w:rPr>
                <w:rFonts w:hint="eastAsia" w:ascii="仿宋" w:hAnsi="仿宋" w:eastAsia="仿宋" w:cs="仿宋"/>
                <w:color w:val="000000"/>
                <w:kern w:val="0"/>
                <w:sz w:val="24"/>
                <w:highlight w:val="none"/>
              </w:rPr>
              <w:t>ISO14001环境管理体系认证，且质量认证管理体系的认证范围同时包括审计、绩效管理及绩效评价的</w:t>
            </w:r>
            <w:r>
              <w:rPr>
                <w:rFonts w:hint="eastAsia" w:ascii="仿宋" w:hAnsi="仿宋" w:eastAsia="仿宋" w:cs="仿宋"/>
                <w:color w:val="000000"/>
                <w:kern w:val="0"/>
                <w:sz w:val="24"/>
                <w:highlight w:val="none"/>
                <w:lang w:eastAsia="zh-CN"/>
              </w:rPr>
              <w:t>，</w:t>
            </w:r>
            <w:r>
              <w:rPr>
                <w:rFonts w:hint="eastAsia" w:ascii="仿宋" w:hAnsi="仿宋" w:eastAsia="仿宋" w:cs="仿宋"/>
                <w:color w:val="000000"/>
                <w:kern w:val="0"/>
                <w:sz w:val="24"/>
                <w:highlight w:val="none"/>
                <w:lang w:val="en-US" w:eastAsia="zh-CN"/>
              </w:rPr>
              <w:t>每提供以上证书一项的得3分。</w:t>
            </w:r>
          </w:p>
          <w:p w14:paraId="6203061F">
            <w:pPr>
              <w:jc w:val="left"/>
              <w:rPr>
                <w:rFonts w:hint="eastAsia" w:ascii="仿宋" w:hAnsi="仿宋" w:eastAsia="仿宋" w:cs="宋体"/>
                <w:sz w:val="24"/>
                <w:szCs w:val="24"/>
                <w:highlight w:val="none"/>
              </w:rPr>
            </w:pPr>
            <w:r>
              <w:rPr>
                <w:rFonts w:hint="eastAsia" w:ascii="仿宋" w:hAnsi="仿宋" w:eastAsia="仿宋" w:cs="仿宋"/>
                <w:b/>
                <w:bCs/>
                <w:color w:val="000000"/>
                <w:kern w:val="0"/>
                <w:sz w:val="24"/>
                <w:highlight w:val="none"/>
                <w:lang w:val="en-US" w:eastAsia="zh-CN"/>
              </w:rPr>
              <w:t>本项满分9分。</w:t>
            </w:r>
          </w:p>
        </w:tc>
      </w:tr>
    </w:tbl>
    <w:p w14:paraId="2D1A1F54"/>
    <w:p w14:paraId="2CE8C035"/>
    <w:p w14:paraId="450018AE"/>
    <w:p w14:paraId="5077E8EB">
      <w:pPr>
        <w:pStyle w:val="8"/>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8"/>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26A326CD">
      <w:pPr>
        <w:pStyle w:val="8"/>
        <w:ind w:left="0" w:leftChars="0" w:firstLine="0"/>
      </w:pPr>
    </w:p>
    <w:p w14:paraId="4DFEE8F5">
      <w:pPr>
        <w:pStyle w:val="8"/>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2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2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2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2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5"/>
        <w:adjustRightInd w:val="0"/>
        <w:snapToGrid w:val="0"/>
        <w:spacing w:line="360" w:lineRule="auto"/>
        <w:rPr>
          <w:rFonts w:hint="eastAsia" w:ascii="仿宋_GB2312" w:hAnsi="宋体" w:eastAsia="仿宋_GB2312"/>
          <w:b/>
        </w:rPr>
      </w:pPr>
    </w:p>
    <w:p w14:paraId="495F3925">
      <w:pPr>
        <w:pStyle w:val="5"/>
        <w:adjustRightInd w:val="0"/>
        <w:snapToGrid w:val="0"/>
        <w:spacing w:line="360" w:lineRule="auto"/>
        <w:rPr>
          <w:rFonts w:hint="eastAsia" w:ascii="仿宋_GB2312" w:hAnsi="宋体" w:eastAsia="仿宋_GB2312"/>
          <w:b/>
        </w:rPr>
      </w:pPr>
    </w:p>
    <w:p w14:paraId="002BFB56">
      <w:pPr>
        <w:pStyle w:val="5"/>
        <w:adjustRightInd w:val="0"/>
        <w:snapToGrid w:val="0"/>
        <w:spacing w:line="360" w:lineRule="auto"/>
        <w:rPr>
          <w:rFonts w:hint="eastAsia" w:ascii="仿宋_GB2312" w:hAnsi="宋体" w:eastAsia="仿宋_GB2312"/>
          <w:b/>
        </w:rPr>
      </w:pPr>
    </w:p>
    <w:p w14:paraId="3BA2FD4C">
      <w:pPr>
        <w:pStyle w:val="5"/>
        <w:adjustRightInd w:val="0"/>
        <w:snapToGrid w:val="0"/>
        <w:spacing w:line="360" w:lineRule="auto"/>
        <w:rPr>
          <w:rFonts w:hint="eastAsia" w:ascii="仿宋_GB2312" w:hAnsi="宋体" w:eastAsia="仿宋_GB2312"/>
          <w:b/>
        </w:rPr>
      </w:pPr>
    </w:p>
    <w:p w14:paraId="5C02B142">
      <w:pPr>
        <w:pStyle w:val="5"/>
        <w:adjustRightInd w:val="0"/>
        <w:snapToGrid w:val="0"/>
        <w:spacing w:line="360" w:lineRule="auto"/>
        <w:rPr>
          <w:rFonts w:hint="eastAsia" w:ascii="仿宋_GB2312" w:hAnsi="宋体" w:eastAsia="仿宋_GB2312"/>
          <w:b/>
        </w:rPr>
      </w:pPr>
    </w:p>
    <w:p w14:paraId="625771E2">
      <w:pPr>
        <w:pStyle w:val="5"/>
        <w:adjustRightInd w:val="0"/>
        <w:snapToGrid w:val="0"/>
        <w:spacing w:line="360" w:lineRule="auto"/>
        <w:rPr>
          <w:rFonts w:hint="eastAsia" w:ascii="仿宋_GB2312" w:hAnsi="宋体" w:eastAsia="仿宋_GB2312"/>
          <w:b/>
        </w:rPr>
      </w:pPr>
    </w:p>
    <w:p w14:paraId="4396E67A">
      <w:pPr>
        <w:pStyle w:val="5"/>
        <w:adjustRightInd w:val="0"/>
        <w:snapToGrid w:val="0"/>
        <w:spacing w:line="360" w:lineRule="auto"/>
        <w:rPr>
          <w:rFonts w:hint="eastAsia" w:ascii="仿宋_GB2312" w:hAnsi="宋体" w:eastAsia="仿宋_GB2312"/>
          <w:b/>
        </w:rPr>
      </w:pPr>
    </w:p>
    <w:p w14:paraId="78F51F57">
      <w:pPr>
        <w:pStyle w:val="5"/>
        <w:adjustRightInd w:val="0"/>
        <w:snapToGrid w:val="0"/>
        <w:spacing w:line="360" w:lineRule="auto"/>
        <w:rPr>
          <w:rFonts w:hint="eastAsia" w:ascii="仿宋_GB2312" w:hAnsi="宋体" w:eastAsia="仿宋_GB2312"/>
          <w:b/>
        </w:rPr>
      </w:pPr>
    </w:p>
    <w:p w14:paraId="262DB163">
      <w:pPr>
        <w:pStyle w:val="5"/>
        <w:adjustRightInd w:val="0"/>
        <w:snapToGrid w:val="0"/>
        <w:spacing w:line="360" w:lineRule="auto"/>
        <w:rPr>
          <w:rFonts w:hint="eastAsia" w:ascii="仿宋_GB2312" w:hAnsi="宋体" w:eastAsia="仿宋_GB2312"/>
          <w:b/>
        </w:rPr>
      </w:pPr>
    </w:p>
    <w:p w14:paraId="33EE1F5B">
      <w:pPr>
        <w:pStyle w:val="5"/>
        <w:adjustRightInd w:val="0"/>
        <w:snapToGrid w:val="0"/>
        <w:spacing w:line="360" w:lineRule="auto"/>
        <w:rPr>
          <w:rFonts w:hint="eastAsia" w:ascii="仿宋_GB2312" w:hAnsi="宋体" w:eastAsia="仿宋_GB2312"/>
          <w:b/>
        </w:rPr>
      </w:pPr>
    </w:p>
    <w:p w14:paraId="6BA60C6A">
      <w:pPr>
        <w:pStyle w:val="5"/>
        <w:adjustRightInd w:val="0"/>
        <w:snapToGrid w:val="0"/>
        <w:spacing w:line="360" w:lineRule="auto"/>
        <w:rPr>
          <w:rFonts w:hint="eastAsia" w:ascii="仿宋_GB2312" w:hAnsi="宋体" w:eastAsia="仿宋_GB2312"/>
          <w:b/>
        </w:rPr>
      </w:pPr>
    </w:p>
    <w:p w14:paraId="2CCC1DC8">
      <w:pPr>
        <w:pStyle w:val="5"/>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5"/>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5"/>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5"/>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5"/>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5"/>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5"/>
        <w:adjustRightInd w:val="0"/>
        <w:snapToGrid w:val="0"/>
        <w:spacing w:line="360" w:lineRule="auto"/>
        <w:rPr>
          <w:rFonts w:hint="eastAsia" w:ascii="仿宋" w:hAnsi="仿宋" w:eastAsia="仿宋"/>
          <w:sz w:val="24"/>
          <w:szCs w:val="24"/>
        </w:rPr>
      </w:pPr>
    </w:p>
    <w:p w14:paraId="5B8CF27D">
      <w:pPr>
        <w:pStyle w:val="5"/>
        <w:adjustRightInd w:val="0"/>
        <w:snapToGrid w:val="0"/>
        <w:spacing w:line="360" w:lineRule="auto"/>
        <w:rPr>
          <w:rFonts w:hint="eastAsia" w:ascii="仿宋" w:hAnsi="仿宋" w:eastAsia="仿宋"/>
          <w:sz w:val="24"/>
          <w:szCs w:val="24"/>
        </w:rPr>
      </w:pPr>
    </w:p>
    <w:p w14:paraId="0E155071">
      <w:pPr>
        <w:pStyle w:val="5"/>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185F66A8">
      <w:pPr>
        <w:adjustRightInd w:val="0"/>
        <w:snapToGrid w:val="0"/>
        <w:spacing w:line="360" w:lineRule="auto"/>
        <w:ind w:right="24"/>
        <w:rPr>
          <w:rFonts w:hint="eastAsia" w:ascii="仿宋_GB2312" w:hAnsi="华文中宋" w:eastAsia="仿宋_GB2312"/>
          <w:bCs/>
          <w:sz w:val="24"/>
        </w:rPr>
      </w:pPr>
    </w:p>
    <w:p w14:paraId="227E4583">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8"/>
      </w:pPr>
    </w:p>
    <w:p w14:paraId="10CB8852"/>
    <w:p w14:paraId="7F870902"/>
    <w:p w14:paraId="50E2AF2B"/>
    <w:p w14:paraId="78DBABB8">
      <w:pPr>
        <w:pStyle w:val="8"/>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8"/>
        <w:rPr>
          <w:rFonts w:hint="eastAsia" w:ascii="仿宋" w:hAnsi="仿宋" w:eastAsia="仿宋"/>
        </w:rPr>
      </w:pPr>
    </w:p>
    <w:p w14:paraId="5550980C">
      <w:pPr>
        <w:pStyle w:val="8"/>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p w14:paraId="7AC476D0">
      <w:pPr>
        <w:spacing w:line="360" w:lineRule="auto"/>
        <w:ind w:firstLine="480"/>
        <w:rPr>
          <w:rFonts w:hint="eastAsia" w:ascii="仿宋" w:hAnsi="仿宋" w:eastAsia="仿宋" w:cs="仿宋"/>
          <w:color w:val="333333"/>
          <w:kern w:val="0"/>
          <w:sz w:val="24"/>
          <w:szCs w:val="24"/>
          <w:lang w:val="en-US" w:eastAsia="zh-CN" w:bidi="ar-SA"/>
        </w:rPr>
      </w:pPr>
    </w:p>
    <w:p w14:paraId="4569357B">
      <w:pPr>
        <w:spacing w:line="360" w:lineRule="auto"/>
        <w:ind w:firstLine="480"/>
        <w:rPr>
          <w:rFonts w:hint="eastAsia" w:ascii="仿宋" w:hAnsi="仿宋" w:eastAsia="仿宋" w:cs="仿宋"/>
          <w:color w:val="333333"/>
          <w:kern w:val="0"/>
          <w:sz w:val="24"/>
          <w:szCs w:val="24"/>
          <w:lang w:val="en-US" w:eastAsia="zh-CN" w:bidi="ar-SA"/>
        </w:rPr>
      </w:pPr>
    </w:p>
    <w:p w14:paraId="2DE887A7">
      <w:pPr>
        <w:spacing w:line="480" w:lineRule="exact"/>
        <w:rPr>
          <w:rFonts w:hint="default" w:ascii="宋体" w:hAnsi="宋体" w:cs="宋体"/>
          <w:kern w:val="0"/>
          <w:sz w:val="24"/>
          <w:lang w:val="en-US" w:eastAsia="zh-CN"/>
        </w:rPr>
        <w:sectPr>
          <w:footerReference r:id="rId3" w:type="default"/>
          <w:pgSz w:w="11906" w:h="16838"/>
          <w:pgMar w:top="1418" w:right="1418" w:bottom="1418" w:left="1418" w:header="851" w:footer="992" w:gutter="0"/>
          <w:cols w:space="720" w:num="1"/>
          <w:docGrid w:type="lines" w:linePitch="312" w:charSpace="0"/>
        </w:sectPr>
      </w:pPr>
    </w:p>
    <w:p w14:paraId="4C9E3F9C">
      <w:pPr>
        <w:spacing w:line="480" w:lineRule="exact"/>
        <w:rPr>
          <w:rFonts w:hint="default" w:ascii="宋体" w:hAnsi="宋体" w:cs="宋体"/>
          <w:kern w:val="0"/>
          <w:sz w:val="24"/>
          <w:lang w:val="en-US" w:eastAsia="zh-CN"/>
        </w:rPr>
      </w:pPr>
    </w:p>
    <w:sectPr>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226A6FB-D22A-4798-A92C-5F5E9F98D8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7CD49CE-5DD0-42D2-8EE6-22BA39F984A2}"/>
  </w:font>
  <w:font w:name="仿宋_GB2312">
    <w:panose1 w:val="02010609030101010101"/>
    <w:charset w:val="86"/>
    <w:family w:val="modern"/>
    <w:pitch w:val="default"/>
    <w:sig w:usb0="00000001" w:usb1="080E0000" w:usb2="00000000" w:usb3="00000000" w:csb0="00040000" w:csb1="00000000"/>
    <w:embedRegular r:id="rId3" w:fontKey="{365B3E23-6758-4AAD-A12A-BAB9EDE78B90}"/>
  </w:font>
  <w:font w:name="等线">
    <w:panose1 w:val="02010600030101010101"/>
    <w:charset w:val="86"/>
    <w:family w:val="auto"/>
    <w:pitch w:val="default"/>
    <w:sig w:usb0="A00002BF" w:usb1="38CF7CFA" w:usb2="00000016" w:usb3="00000000" w:csb0="0004000F" w:csb1="00000000"/>
  </w:font>
  <w:font w:name="方正小标宋简体">
    <w:altName w:val="方正舒体"/>
    <w:panose1 w:val="02000000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embedRegular r:id="rId4" w:fontKey="{95ABCC57-3E17-4781-A069-6C83CA37B81E}"/>
  </w:font>
  <w:font w:name="华文中宋">
    <w:panose1 w:val="02010600040101010101"/>
    <w:charset w:val="86"/>
    <w:family w:val="auto"/>
    <w:pitch w:val="default"/>
    <w:sig w:usb0="00000287" w:usb1="080F0000" w:usb2="00000000" w:usb3="00000000" w:csb0="0004009F" w:csb1="DFD70000"/>
    <w:embedRegular r:id="rId5" w:fontKey="{52B1AC00-A91A-4013-A10B-2B6E90CE016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6A5E1">
    <w:pPr>
      <w:pStyle w:val="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64154C">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864154C">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16C"/>
    <w:rsid w:val="00044ED5"/>
    <w:rsid w:val="000B4B71"/>
    <w:rsid w:val="001011EF"/>
    <w:rsid w:val="00151842"/>
    <w:rsid w:val="001C7D12"/>
    <w:rsid w:val="00242AB6"/>
    <w:rsid w:val="002D2E29"/>
    <w:rsid w:val="00330A03"/>
    <w:rsid w:val="0038416C"/>
    <w:rsid w:val="00387E73"/>
    <w:rsid w:val="003E1A00"/>
    <w:rsid w:val="00433B35"/>
    <w:rsid w:val="004415CA"/>
    <w:rsid w:val="004A5501"/>
    <w:rsid w:val="004C21B9"/>
    <w:rsid w:val="00532D93"/>
    <w:rsid w:val="00552981"/>
    <w:rsid w:val="00580B9A"/>
    <w:rsid w:val="00590AF4"/>
    <w:rsid w:val="00804C75"/>
    <w:rsid w:val="008A73CA"/>
    <w:rsid w:val="00920941"/>
    <w:rsid w:val="00950F66"/>
    <w:rsid w:val="009A08D8"/>
    <w:rsid w:val="00A06099"/>
    <w:rsid w:val="00A75F96"/>
    <w:rsid w:val="00AA3109"/>
    <w:rsid w:val="00BC639D"/>
    <w:rsid w:val="00C86A9F"/>
    <w:rsid w:val="00D17411"/>
    <w:rsid w:val="00D24CE6"/>
    <w:rsid w:val="00D423F5"/>
    <w:rsid w:val="00DA6183"/>
    <w:rsid w:val="00DB232E"/>
    <w:rsid w:val="00DD3C18"/>
    <w:rsid w:val="00E46727"/>
    <w:rsid w:val="00E53C01"/>
    <w:rsid w:val="00EA149D"/>
    <w:rsid w:val="00EA55D9"/>
    <w:rsid w:val="00F56060"/>
    <w:rsid w:val="01D759C7"/>
    <w:rsid w:val="01F70444"/>
    <w:rsid w:val="02D44EAD"/>
    <w:rsid w:val="044004C3"/>
    <w:rsid w:val="05672A51"/>
    <w:rsid w:val="062D1437"/>
    <w:rsid w:val="0A1833E8"/>
    <w:rsid w:val="0A522BAC"/>
    <w:rsid w:val="0B6E2741"/>
    <w:rsid w:val="0C3B6140"/>
    <w:rsid w:val="0D703BC7"/>
    <w:rsid w:val="0E02743A"/>
    <w:rsid w:val="0E0C7A82"/>
    <w:rsid w:val="0E5A03D3"/>
    <w:rsid w:val="0FC62782"/>
    <w:rsid w:val="0FE7791D"/>
    <w:rsid w:val="104D0537"/>
    <w:rsid w:val="12773C4B"/>
    <w:rsid w:val="14EA1640"/>
    <w:rsid w:val="15D203B4"/>
    <w:rsid w:val="1D991566"/>
    <w:rsid w:val="1DBE272D"/>
    <w:rsid w:val="21981D9C"/>
    <w:rsid w:val="22DB168B"/>
    <w:rsid w:val="23106EDD"/>
    <w:rsid w:val="241D415D"/>
    <w:rsid w:val="25920290"/>
    <w:rsid w:val="264755DA"/>
    <w:rsid w:val="29D357B2"/>
    <w:rsid w:val="2D55028C"/>
    <w:rsid w:val="2F4B7DAF"/>
    <w:rsid w:val="2FD933F6"/>
    <w:rsid w:val="33D01F83"/>
    <w:rsid w:val="345E0140"/>
    <w:rsid w:val="35D408E8"/>
    <w:rsid w:val="35FE7442"/>
    <w:rsid w:val="36F43043"/>
    <w:rsid w:val="39EB26A4"/>
    <w:rsid w:val="3A164B7A"/>
    <w:rsid w:val="3BC013A4"/>
    <w:rsid w:val="3C121040"/>
    <w:rsid w:val="3C794A25"/>
    <w:rsid w:val="3CB34025"/>
    <w:rsid w:val="406429D6"/>
    <w:rsid w:val="40AA0313"/>
    <w:rsid w:val="41CC5867"/>
    <w:rsid w:val="42A11B51"/>
    <w:rsid w:val="47A82FBA"/>
    <w:rsid w:val="48392175"/>
    <w:rsid w:val="4859397D"/>
    <w:rsid w:val="4AA83CE8"/>
    <w:rsid w:val="4AE1604B"/>
    <w:rsid w:val="4AF31677"/>
    <w:rsid w:val="4C0F5C1B"/>
    <w:rsid w:val="4D213A30"/>
    <w:rsid w:val="4DE91067"/>
    <w:rsid w:val="4DF07E31"/>
    <w:rsid w:val="4E753955"/>
    <w:rsid w:val="4E8A5B90"/>
    <w:rsid w:val="4EB86BA1"/>
    <w:rsid w:val="4F045784"/>
    <w:rsid w:val="507C0EB3"/>
    <w:rsid w:val="52597488"/>
    <w:rsid w:val="52DE7C40"/>
    <w:rsid w:val="57256D9D"/>
    <w:rsid w:val="58422814"/>
    <w:rsid w:val="5A1948BA"/>
    <w:rsid w:val="5B5A00F4"/>
    <w:rsid w:val="5BF46FC0"/>
    <w:rsid w:val="5CA6628A"/>
    <w:rsid w:val="5D3C099D"/>
    <w:rsid w:val="5D84571D"/>
    <w:rsid w:val="5EB67CBC"/>
    <w:rsid w:val="60AE1746"/>
    <w:rsid w:val="615914B0"/>
    <w:rsid w:val="65387C9C"/>
    <w:rsid w:val="655E0196"/>
    <w:rsid w:val="674424FD"/>
    <w:rsid w:val="6C0F7AF4"/>
    <w:rsid w:val="6C772465"/>
    <w:rsid w:val="71681E79"/>
    <w:rsid w:val="71C35945"/>
    <w:rsid w:val="724B2D4D"/>
    <w:rsid w:val="73A8286A"/>
    <w:rsid w:val="77362D43"/>
    <w:rsid w:val="78880AE2"/>
    <w:rsid w:val="793B5EA2"/>
    <w:rsid w:val="7C1F439D"/>
    <w:rsid w:val="7C783B35"/>
    <w:rsid w:val="7DE121C9"/>
    <w:rsid w:val="7E5F0AC8"/>
    <w:rsid w:val="7EDB7B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3">
    <w:name w:val="Body Text Indent"/>
    <w:basedOn w:val="1"/>
    <w:next w:val="4"/>
    <w:link w:val="18"/>
    <w:qFormat/>
    <w:uiPriority w:val="0"/>
    <w:pPr>
      <w:spacing w:after="120"/>
      <w:ind w:left="420" w:leftChars="200"/>
    </w:pPr>
  </w:style>
  <w:style w:type="paragraph" w:styleId="4">
    <w:name w:val="Body Text Indent 2"/>
    <w:basedOn w:val="1"/>
    <w:qFormat/>
    <w:uiPriority w:val="0"/>
    <w:pPr>
      <w:ind w:left="630" w:firstLine="645"/>
    </w:pPr>
    <w:rPr>
      <w:rFonts w:ascii="Arial" w:hAnsi="Arial" w:eastAsia="仿宋_GB2312"/>
      <w:sz w:val="32"/>
      <w:szCs w:val="20"/>
    </w:rPr>
  </w:style>
  <w:style w:type="paragraph" w:styleId="5">
    <w:name w:val="Plain Text"/>
    <w:basedOn w:val="1"/>
    <w:qFormat/>
    <w:uiPriority w:val="0"/>
    <w:rPr>
      <w:rFonts w:ascii="宋体" w:hAnsi="Courier New"/>
      <w:kern w:val="0"/>
      <w:szCs w:val="20"/>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Body Text First Indent 2"/>
    <w:basedOn w:val="3"/>
    <w:next w:val="1"/>
    <w:link w:val="19"/>
    <w:qFormat/>
    <w:uiPriority w:val="0"/>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paragraph" w:customStyle="1" w:styleId="13">
    <w:name w:val="BodyText1I2"/>
    <w:basedOn w:val="14"/>
    <w:autoRedefine/>
    <w:qFormat/>
    <w:uiPriority w:val="0"/>
    <w:pPr>
      <w:ind w:firstLine="420" w:firstLineChars="200"/>
    </w:pPr>
  </w:style>
  <w:style w:type="paragraph" w:customStyle="1" w:styleId="14">
    <w:name w:val="BodyTextIndent"/>
    <w:basedOn w:val="1"/>
    <w:next w:val="15"/>
    <w:autoRedefine/>
    <w:qFormat/>
    <w:uiPriority w:val="0"/>
    <w:pPr>
      <w:ind w:left="420" w:leftChars="200"/>
      <w:textAlignment w:val="baseline"/>
    </w:pPr>
  </w:style>
  <w:style w:type="paragraph" w:customStyle="1" w:styleId="15">
    <w:name w:val="BodyTextIndent2"/>
    <w:basedOn w:val="1"/>
    <w:autoRedefine/>
    <w:qFormat/>
    <w:uiPriority w:val="0"/>
    <w:pPr>
      <w:spacing w:line="400" w:lineRule="atLeast"/>
      <w:ind w:firstLine="360" w:firstLineChars="150"/>
      <w:textAlignment w:val="baseline"/>
    </w:pPr>
    <w:rPr>
      <w:sz w:val="24"/>
      <w:szCs w:val="20"/>
    </w:rPr>
  </w:style>
  <w:style w:type="paragraph" w:styleId="16">
    <w:name w:val="List Paragraph"/>
    <w:basedOn w:val="1"/>
    <w:qFormat/>
    <w:uiPriority w:val="34"/>
    <w:pPr>
      <w:ind w:firstLine="420" w:firstLineChars="200"/>
    </w:pPr>
    <w:rPr>
      <w:rFonts w:ascii="等线" w:hAnsi="等线" w:eastAsia="等线"/>
      <w:szCs w:val="22"/>
    </w:rPr>
  </w:style>
  <w:style w:type="paragraph" w:customStyle="1" w:styleId="17">
    <w:name w:val="列出段落1"/>
    <w:basedOn w:val="1"/>
    <w:qFormat/>
    <w:uiPriority w:val="99"/>
    <w:pPr>
      <w:ind w:firstLine="420" w:firstLineChars="200"/>
    </w:pPr>
  </w:style>
  <w:style w:type="character" w:customStyle="1" w:styleId="18">
    <w:name w:val="正文文本缩进 字符"/>
    <w:basedOn w:val="11"/>
    <w:link w:val="3"/>
    <w:qFormat/>
    <w:uiPriority w:val="0"/>
    <w:rPr>
      <w:rFonts w:ascii="Times New Roman" w:hAnsi="Times New Roman" w:eastAsia="宋体" w:cs="Times New Roman"/>
      <w:kern w:val="2"/>
      <w:sz w:val="21"/>
      <w:szCs w:val="24"/>
    </w:rPr>
  </w:style>
  <w:style w:type="character" w:customStyle="1" w:styleId="19">
    <w:name w:val="正文文本首行缩进 2 字符"/>
    <w:basedOn w:val="18"/>
    <w:link w:val="8"/>
    <w:qFormat/>
    <w:uiPriority w:val="0"/>
    <w:rPr>
      <w:rFonts w:ascii="Times New Roman" w:hAnsi="Times New Roman" w:eastAsia="宋体" w:cs="Times New Roman"/>
      <w:kern w:val="2"/>
      <w:sz w:val="21"/>
      <w:szCs w:val="24"/>
    </w:rPr>
  </w:style>
  <w:style w:type="paragraph" w:customStyle="1" w:styleId="20">
    <w:name w:val="01 文件标题"/>
    <w:basedOn w:val="1"/>
    <w:next w:val="1"/>
    <w:qFormat/>
    <w:uiPriority w:val="0"/>
    <w:pPr>
      <w:spacing w:line="560" w:lineRule="exact"/>
      <w:jc w:val="center"/>
    </w:pPr>
    <w:rPr>
      <w:rFonts w:ascii="方正小标宋简体" w:eastAsia="方正小标宋简体"/>
      <w:sz w:val="44"/>
    </w:rPr>
  </w:style>
  <w:style w:type="paragraph" w:customStyle="1" w:styleId="21">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22">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5768</Words>
  <Characters>6013</Characters>
  <Lines>15</Lines>
  <Paragraphs>4</Paragraphs>
  <TotalTime>4</TotalTime>
  <ScaleCrop>false</ScaleCrop>
  <LinksUpToDate>false</LinksUpToDate>
  <CharactersWithSpaces>6053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2025-01-20T04:00:00Z</dcterms:created>
  <dc:creator>Administrator</dc:creator>
  <cp:lastModifiedBy></cp:lastModifiedBy>
  <dcterms:modified xsi:type="dcterms:W3CDTF">2026-01-16T10:51:25Z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BBD042EFBA30432297D93A60451B1863_13</vt:lpwstr>
  </property>
  <property fmtid="{D5CDD505-2E9C-101B-9397-08002B2CF9AE}" pid="4" name="KSOTemplateDocerSaveRecord">
    <vt:lpwstr>eyJoZGlkIjoiNjRiNDcyZGU2YzJhYTkwMjk5MjQwZmFmNjBmNDJhZmYiLCJ1c2VySWQiOiI0OTQ3NjU2MzMifQ==</vt:lpwstr>
  </property>
</Properties>
</file>