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1"/>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ascii="黑体" w:hAnsi="黑体" w:eastAsia="黑体"/>
          <w:b/>
          <w:sz w:val="32"/>
          <w:szCs w:val="32"/>
        </w:rPr>
      </w:pPr>
    </w:p>
    <w:p w14:paraId="1D8F80E4">
      <w:pPr>
        <w:pStyle w:val="11"/>
        <w:adjustRightInd w:val="0"/>
        <w:snapToGrid w:val="0"/>
        <w:spacing w:line="360" w:lineRule="auto"/>
        <w:ind w:left="846" w:leftChars="403" w:firstLine="157" w:firstLineChars="49"/>
        <w:rPr>
          <w:rFonts w:ascii="黑体" w:hAnsi="黑体" w:eastAsia="黑体"/>
          <w:b/>
          <w:sz w:val="32"/>
          <w:szCs w:val="32"/>
        </w:rPr>
      </w:pPr>
    </w:p>
    <w:p w14:paraId="072F8CF6">
      <w:pPr>
        <w:pStyle w:val="11"/>
        <w:adjustRightInd w:val="0"/>
        <w:snapToGrid w:val="0"/>
        <w:spacing w:line="360" w:lineRule="auto"/>
        <w:ind w:left="846" w:leftChars="403" w:firstLine="157" w:firstLineChars="49"/>
        <w:rPr>
          <w:rFonts w:ascii="黑体" w:hAnsi="黑体" w:eastAsia="黑体"/>
          <w:b/>
          <w:sz w:val="32"/>
          <w:szCs w:val="32"/>
        </w:rPr>
      </w:pPr>
    </w:p>
    <w:p w14:paraId="6505A8CE">
      <w:pPr>
        <w:pStyle w:val="11"/>
        <w:adjustRightInd w:val="0"/>
        <w:snapToGrid w:val="0"/>
        <w:spacing w:line="360" w:lineRule="auto"/>
        <w:ind w:left="846" w:leftChars="403" w:firstLine="157" w:firstLineChars="49"/>
        <w:rPr>
          <w:rFonts w:ascii="黑体" w:hAnsi="黑体" w:eastAsia="黑体"/>
          <w:b/>
          <w:sz w:val="32"/>
          <w:szCs w:val="32"/>
        </w:rPr>
      </w:pPr>
    </w:p>
    <w:p w14:paraId="1DD4CC30">
      <w:pPr>
        <w:pStyle w:val="11"/>
        <w:adjustRightInd w:val="0"/>
        <w:snapToGrid w:val="0"/>
        <w:spacing w:line="360" w:lineRule="auto"/>
        <w:ind w:left="846" w:leftChars="403" w:firstLine="157" w:firstLineChars="49"/>
        <w:rPr>
          <w:rFonts w:ascii="黑体" w:hAnsi="黑体" w:eastAsia="黑体"/>
          <w:b/>
          <w:sz w:val="32"/>
          <w:szCs w:val="32"/>
        </w:rPr>
      </w:pPr>
    </w:p>
    <w:p w14:paraId="6E018500">
      <w:pPr>
        <w:pStyle w:val="42"/>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体育用品</w:t>
      </w:r>
      <w:r>
        <w:rPr>
          <w:rFonts w:hint="eastAsia" w:ascii="黑体" w:hAnsi="黑体" w:eastAsia="黑体"/>
          <w:kern w:val="0"/>
          <w:sz w:val="32"/>
          <w:szCs w:val="32"/>
        </w:rPr>
        <w:t>项目</w:t>
      </w:r>
    </w:p>
    <w:p w14:paraId="3286CA34">
      <w:pPr>
        <w:pStyle w:val="11"/>
        <w:adjustRightInd w:val="0"/>
        <w:snapToGrid w:val="0"/>
        <w:spacing w:before="156" w:beforeLines="50" w:after="156" w:afterLines="50"/>
        <w:ind w:left="2559" w:leftChars="152" w:hanging="2240" w:hangingChars="700"/>
        <w:rPr>
          <w:rFonts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ascii="黑体" w:hAnsi="黑体" w:eastAsia="黑体"/>
          <w:b/>
          <w:sz w:val="32"/>
        </w:rPr>
      </w:pPr>
    </w:p>
    <w:p w14:paraId="12277452">
      <w:pPr>
        <w:pStyle w:val="11"/>
        <w:adjustRightInd w:val="0"/>
        <w:snapToGrid w:val="0"/>
        <w:spacing w:line="440" w:lineRule="exact"/>
        <w:jc w:val="center"/>
        <w:rPr>
          <w:rFonts w:ascii="黑体" w:hAnsi="黑体" w:eastAsia="黑体"/>
          <w:b/>
          <w:sz w:val="32"/>
        </w:rPr>
      </w:pPr>
    </w:p>
    <w:p w14:paraId="263E19F8">
      <w:pPr>
        <w:pStyle w:val="11"/>
        <w:adjustRightInd w:val="0"/>
        <w:snapToGrid w:val="0"/>
        <w:spacing w:line="440" w:lineRule="exact"/>
        <w:jc w:val="center"/>
        <w:rPr>
          <w:rFonts w:ascii="黑体" w:hAnsi="黑体" w:eastAsia="黑体"/>
          <w:b/>
          <w:sz w:val="32"/>
        </w:rPr>
      </w:pPr>
    </w:p>
    <w:p w14:paraId="00E611DA">
      <w:pPr>
        <w:pStyle w:val="11"/>
        <w:adjustRightInd w:val="0"/>
        <w:snapToGrid w:val="0"/>
        <w:spacing w:line="440" w:lineRule="exact"/>
        <w:jc w:val="center"/>
        <w:rPr>
          <w:rFonts w:ascii="黑体" w:hAnsi="黑体" w:eastAsia="黑体"/>
          <w:b/>
          <w:sz w:val="32"/>
        </w:rPr>
      </w:pPr>
    </w:p>
    <w:p w14:paraId="5BD02E6F">
      <w:pPr>
        <w:pStyle w:val="11"/>
        <w:adjustRightInd w:val="0"/>
        <w:snapToGrid w:val="0"/>
        <w:spacing w:line="440" w:lineRule="exact"/>
        <w:jc w:val="center"/>
        <w:rPr>
          <w:rFonts w:ascii="黑体" w:hAnsi="黑体" w:eastAsia="黑体"/>
          <w:b/>
          <w:sz w:val="32"/>
        </w:rPr>
      </w:pPr>
    </w:p>
    <w:p w14:paraId="51D3F09C">
      <w:pPr>
        <w:pStyle w:val="11"/>
        <w:adjustRightInd w:val="0"/>
        <w:snapToGrid w:val="0"/>
        <w:spacing w:line="440" w:lineRule="exact"/>
        <w:jc w:val="center"/>
        <w:rPr>
          <w:rFonts w:ascii="黑体" w:hAnsi="黑体" w:eastAsia="黑体"/>
          <w:b/>
          <w:sz w:val="32"/>
        </w:rPr>
      </w:pPr>
    </w:p>
    <w:p w14:paraId="33437265">
      <w:pPr>
        <w:pStyle w:val="11"/>
        <w:adjustRightInd w:val="0"/>
        <w:snapToGrid w:val="0"/>
        <w:spacing w:line="440" w:lineRule="exact"/>
        <w:jc w:val="center"/>
        <w:rPr>
          <w:rFonts w:ascii="黑体" w:hAnsi="黑体" w:eastAsia="黑体"/>
          <w:b/>
          <w:sz w:val="32"/>
        </w:rPr>
      </w:pPr>
    </w:p>
    <w:p w14:paraId="646F9A24">
      <w:pPr>
        <w:pStyle w:val="11"/>
        <w:adjustRightInd w:val="0"/>
        <w:snapToGrid w:val="0"/>
        <w:spacing w:line="440" w:lineRule="exact"/>
        <w:jc w:val="center"/>
        <w:rPr>
          <w:rFonts w:ascii="黑体" w:hAnsi="黑体" w:eastAsia="黑体"/>
          <w:b/>
          <w:sz w:val="32"/>
        </w:rPr>
      </w:pPr>
    </w:p>
    <w:p w14:paraId="3BDBB089">
      <w:pPr>
        <w:pStyle w:val="11"/>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w:t>
      </w:r>
      <w:r>
        <w:rPr>
          <w:rFonts w:ascii="黑体" w:hAnsi="黑体" w:eastAsia="黑体"/>
          <w:sz w:val="32"/>
          <w:szCs w:val="32"/>
        </w:rPr>
        <w:t>月</w:t>
      </w:r>
    </w:p>
    <w:p w14:paraId="3FD890A2">
      <w:pPr>
        <w:pStyle w:val="18"/>
      </w:pPr>
    </w:p>
    <w:p w14:paraId="40E4DFFA">
      <w:pPr>
        <w:pStyle w:val="18"/>
        <w:rPr>
          <w:szCs w:val="22"/>
        </w:rPr>
      </w:pPr>
    </w:p>
    <w:p w14:paraId="6EAB8857">
      <w:pPr>
        <w:jc w:val="center"/>
        <w:outlineLvl w:val="0"/>
        <w:rPr>
          <w:rFonts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b/>
          <w:sz w:val="36"/>
          <w:szCs w:val="36"/>
          <w:u w:val="none"/>
        </w:rPr>
        <w:t>体育用品项目询比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sz w:val="24"/>
          <w:szCs w:val="24"/>
          <w:u w:val="none"/>
        </w:rPr>
        <w:t>体育用品项目需进行采购，</w:t>
      </w:r>
      <w:r>
        <w:rPr>
          <w:rFonts w:hint="eastAsia" w:ascii="仿宋" w:hAnsi="仿宋" w:eastAsia="仿宋"/>
          <w:sz w:val="24"/>
          <w:szCs w:val="24"/>
        </w:rPr>
        <w:t>现采用发布公告方式，邀请符合资格条件的供应商参与采购活动。</w:t>
      </w:r>
    </w:p>
    <w:p w14:paraId="474761BB">
      <w:pPr>
        <w:snapToGrid w:val="0"/>
        <w:spacing w:line="360" w:lineRule="auto"/>
        <w:ind w:firstLine="482" w:firstLineChars="200"/>
        <w:jc w:val="left"/>
        <w:rPr>
          <w:rFonts w:ascii="仿宋" w:hAnsi="仿宋" w:eastAsia="仿宋" w:cs="仿宋"/>
          <w:b/>
          <w:bCs/>
          <w:color w:val="333333"/>
          <w:kern w:val="0"/>
          <w:sz w:val="24"/>
          <w:szCs w:val="24"/>
        </w:rPr>
      </w:pPr>
      <w:bookmarkStart w:id="0" w:name="_Toc17794_WPSOffice_Level2"/>
      <w:bookmarkStart w:id="1" w:name="_Toc31662_WPSOffice_Level2"/>
      <w:bookmarkStart w:id="2" w:name="_Toc26475"/>
      <w:bookmarkStart w:id="3" w:name="_Toc4659"/>
      <w:bookmarkStart w:id="4" w:name="_Toc3564"/>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rPr>
        <w:t>体育用品项目</w:t>
      </w:r>
    </w:p>
    <w:p w14:paraId="4043AA9E">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2.项目概况: 因体育教学、训练、课外师生体育锻炼等，需采购一批体育器材。</w:t>
      </w:r>
    </w:p>
    <w:p w14:paraId="36398E31">
      <w:pPr>
        <w:pStyle w:val="18"/>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r>
        <w:rPr>
          <w:rFonts w:hint="eastAsia" w:ascii="仿宋" w:hAnsi="仿宋" w:eastAsia="仿宋"/>
          <w:sz w:val="24"/>
          <w:szCs w:val="24"/>
        </w:rPr>
        <w:t>3.服务内容</w:t>
      </w:r>
      <w:r>
        <w:rPr>
          <w:rFonts w:hint="eastAsia" w:ascii="仿宋" w:hAnsi="仿宋" w:eastAsia="仿宋"/>
          <w:sz w:val="24"/>
          <w:szCs w:val="24"/>
          <w:lang w:val="en-US" w:eastAsia="zh-CN"/>
        </w:rPr>
        <w:t>;</w:t>
      </w:r>
      <w:r>
        <w:rPr>
          <w:rFonts w:hint="eastAsia" w:ascii="仿宋" w:hAnsi="仿宋" w:eastAsia="仿宋"/>
          <w:sz w:val="24"/>
          <w:szCs w:val="24"/>
          <w:u w:val="none"/>
          <w:lang w:val="en-US" w:eastAsia="zh-CN"/>
        </w:rPr>
        <w:t>提供</w:t>
      </w:r>
      <w:r>
        <w:rPr>
          <w:rFonts w:hint="eastAsia" w:ascii="仿宋" w:hAnsi="仿宋" w:eastAsia="仿宋"/>
          <w:sz w:val="24"/>
          <w:szCs w:val="24"/>
          <w:u w:val="none"/>
        </w:rPr>
        <w:t>够满足学校体育课日常教学、训练、师生课外体育锻炼</w:t>
      </w:r>
      <w:r>
        <w:rPr>
          <w:rFonts w:hint="eastAsia" w:ascii="仿宋" w:hAnsi="仿宋" w:eastAsia="仿宋"/>
          <w:sz w:val="24"/>
          <w:szCs w:val="24"/>
          <w:u w:val="none"/>
          <w:lang w:val="en-US" w:eastAsia="zh-CN"/>
        </w:rPr>
        <w:t>货物。</w:t>
      </w:r>
    </w:p>
    <w:tbl>
      <w:tblPr>
        <w:tblStyle w:val="19"/>
        <w:tblW w:w="8563" w:type="dxa"/>
        <w:tblInd w:w="0" w:type="dxa"/>
        <w:tblLayout w:type="fixed"/>
        <w:tblCellMar>
          <w:top w:w="0" w:type="dxa"/>
          <w:left w:w="0" w:type="dxa"/>
          <w:bottom w:w="0" w:type="dxa"/>
          <w:right w:w="0" w:type="dxa"/>
        </w:tblCellMar>
      </w:tblPr>
      <w:tblGrid>
        <w:gridCol w:w="720"/>
        <w:gridCol w:w="2160"/>
        <w:gridCol w:w="1404"/>
        <w:gridCol w:w="900"/>
        <w:gridCol w:w="791"/>
        <w:gridCol w:w="2588"/>
      </w:tblGrid>
      <w:tr w14:paraId="6C10C7C2">
        <w:tblPrEx>
          <w:tblCellMar>
            <w:top w:w="0" w:type="dxa"/>
            <w:left w:w="0" w:type="dxa"/>
            <w:bottom w:w="0" w:type="dxa"/>
            <w:right w:w="0"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D4EBC">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序号</w:t>
            </w:r>
          </w:p>
        </w:tc>
        <w:tc>
          <w:tcPr>
            <w:tcW w:w="21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6A9A8">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名称</w:t>
            </w:r>
          </w:p>
        </w:tc>
        <w:tc>
          <w:tcPr>
            <w:tcW w:w="14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D23C7">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建议品牌、型号</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D5511">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单位</w:t>
            </w:r>
          </w:p>
        </w:tc>
        <w:tc>
          <w:tcPr>
            <w:tcW w:w="79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B77AF">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数量</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65AE7">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参数</w:t>
            </w:r>
          </w:p>
        </w:tc>
      </w:tr>
      <w:tr w14:paraId="660252CB">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72AD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5B5A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摔跤假人</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3F1608">
            <w:pPr>
              <w:spacing w:before="156" w:beforeLines="50" w:line="360" w:lineRule="auto"/>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力健</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01BFB7">
            <w:pPr>
              <w:spacing w:before="156" w:beforeLines="50" w:line="360" w:lineRule="auto"/>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5E604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w:t>
            </w:r>
          </w:p>
        </w:tc>
        <w:tc>
          <w:tcPr>
            <w:tcW w:w="258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52392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加厚太空防爆革</w:t>
            </w:r>
          </w:p>
        </w:tc>
      </w:tr>
      <w:tr w14:paraId="18AD17BE">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8D8A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1AA7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排球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EC988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乐鞠3000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60C9F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5A34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C62D9">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PU材质，7号球</w:t>
            </w:r>
          </w:p>
        </w:tc>
      </w:tr>
      <w:tr w14:paraId="1FD42CCD">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8137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942C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AFEBB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红双喜</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55DA5C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D771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BDADF">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40＋</w:t>
            </w:r>
          </w:p>
        </w:tc>
      </w:tr>
      <w:tr w14:paraId="3B1043CF">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76CD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4</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5D228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B441C1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红双喜赛顶</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6AE85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6476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7D600">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D40+</w:t>
            </w:r>
          </w:p>
        </w:tc>
      </w:tr>
      <w:tr w14:paraId="48FA1D51">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57D2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8242E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乒乓球筐</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2B6ECC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红双喜</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173E9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78B2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FDB8A">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505*505*330mm</w:t>
            </w:r>
          </w:p>
        </w:tc>
      </w:tr>
      <w:tr w14:paraId="35FC30F2">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7FC27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6</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351C2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乒乓球可移动式集球网</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84F6F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TIBHAR</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F0C08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4AC0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0262D">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142*210*50cm</w:t>
            </w:r>
          </w:p>
        </w:tc>
      </w:tr>
      <w:tr w14:paraId="55364F60">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EB196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7</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81B78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乒乓球捡球器</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308ED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冠军</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B6EEC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21FF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6790DC">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122cm</w:t>
            </w:r>
          </w:p>
        </w:tc>
      </w:tr>
      <w:tr w14:paraId="506F6AB7">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757D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8</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90B532">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米卡萨MIKASA排球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A84E7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cs="宋体"/>
                <w:i w:val="0"/>
                <w:iCs w:val="0"/>
                <w:color w:val="000000"/>
                <w:kern w:val="0"/>
                <w:sz w:val="21"/>
                <w:szCs w:val="21"/>
                <w:u w:val="none"/>
                <w:lang w:val="en-US" w:eastAsia="zh-CN" w:bidi="ar"/>
              </w:rPr>
              <w:t>V300W</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C358B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F465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D9B074">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5号，单凹槽超细纤维，直径204mm,周长65-68mm,重量260-280克</w:t>
            </w:r>
          </w:p>
        </w:tc>
      </w:tr>
      <w:tr w14:paraId="65538ED5">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74F9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0A451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跳绳</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82FF3A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维嘉威0917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17BFD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52C9C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B2A5D">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海绵手柄，橡胶绳，精钢轴承</w:t>
            </w:r>
          </w:p>
        </w:tc>
      </w:tr>
      <w:tr w14:paraId="40001DA5">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AF27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10</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3BF3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阻力伞</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2F14F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舒奈斯</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DB189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1DCBD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80D01">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145*145CM</w:t>
            </w:r>
          </w:p>
        </w:tc>
      </w:tr>
      <w:tr w14:paraId="041A7E50">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D8B70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11</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85AD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环形弹力带</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7E665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乃力</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BB351F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6A57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FFFD9">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天然乳胶，不易拉断</w:t>
            </w:r>
          </w:p>
        </w:tc>
      </w:tr>
      <w:tr w14:paraId="63FA8D53">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1E005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E40B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散打护具</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2B6A5C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九日山</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75CF1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套</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48655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9</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E8A88">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L红、蓝各2套，XL红、蓝各2套，XXL红</w:t>
            </w:r>
            <w:bookmarkStart w:id="9" w:name="_GoBack"/>
            <w:bookmarkEnd w:id="9"/>
            <w:r>
              <w:rPr>
                <w:rFonts w:hint="eastAsia" w:ascii="宋体" w:hAnsi="宋体" w:eastAsia="宋体" w:cs="Times New Roman"/>
                <w:sz w:val="20"/>
                <w:szCs w:val="20"/>
                <w:lang w:val="en-US" w:eastAsia="zh-CN"/>
              </w:rPr>
              <w:t>1套</w:t>
            </w:r>
          </w:p>
        </w:tc>
      </w:tr>
      <w:tr w14:paraId="15AD2C16">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DD25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8A88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匹克球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EA049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舞衣曲</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80F9B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F9862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5AA52">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40孔室外球滚塑一体球</w:t>
            </w:r>
          </w:p>
        </w:tc>
      </w:tr>
      <w:tr w14:paraId="27F5E95D">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EDA14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14</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9ED09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匹克球拍（练习拍）</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882DE4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舞衣曲</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0C102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DCAF9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8D3AF6">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整体长度：41.8CM；手柄13.8CM，拍面宽：19CM；拍面厚度：1.6CM；重量约221克</w:t>
            </w:r>
          </w:p>
        </w:tc>
      </w:tr>
      <w:tr w14:paraId="44026572">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7D65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15</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8ED842">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匹克球拍（比赛拍）</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2B7EA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舞衣曲</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C6D4C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E642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6BC74">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整体长度：42CM；手柄14CM，拍面宽：18CM；拍面厚度：1.6CM；重量约230克</w:t>
            </w:r>
          </w:p>
        </w:tc>
      </w:tr>
      <w:tr w14:paraId="4935C970">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BB7EC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16</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719F5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匹克球网</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E0B68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舞衣曲</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AFEA48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D1BA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31CF3D">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全网长度大约6.7M，网架高度为0.9M，重量有外包箱大约7KG，尺寸大约92*15*20cm</w:t>
            </w:r>
          </w:p>
        </w:tc>
      </w:tr>
      <w:tr w14:paraId="7E9D2990">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6066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17</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45CC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花样竹节绳</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FD363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玖迈</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AEEFD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831D4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2208C">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通用款，2.95米（蓝、粉、紫、绿、红黑）各10根</w:t>
            </w:r>
          </w:p>
        </w:tc>
      </w:tr>
      <w:tr w14:paraId="0856B4DB">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8211B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18</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0C38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跳绳（钢丝绳）</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9B878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LOOP</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48152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A72F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7F298">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材质；钢丝，手柄材质；ABS</w:t>
            </w:r>
          </w:p>
        </w:tc>
      </w:tr>
      <w:tr w14:paraId="17C4ACA4">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CE15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671F7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手腕摇绳训练器</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6C6FFF">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动松</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A6AAE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3B1AB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15</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D9FD9">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跳绳无绳手腕摇绳辅助训练器儿童青少年初学者训练球</w:t>
            </w:r>
          </w:p>
        </w:tc>
      </w:tr>
      <w:tr w14:paraId="4062BD6B">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908A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20</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21950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交互绳</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E6849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跃动</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CE164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65288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6</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6D078">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18"/>
                <w:szCs w:val="18"/>
                <w:lang w:val="en-US" w:eastAsia="zh-CN"/>
              </w:rPr>
              <w:t>蓝色粉色各3对，绳长各4.2米</w:t>
            </w:r>
          </w:p>
        </w:tc>
      </w:tr>
      <w:tr w14:paraId="55D96FD8">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E861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21</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F2F3F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羽毛球拍</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5652B7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奥狮龙1708</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FFB822">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副</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AF046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75</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1337D">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连体</w:t>
            </w:r>
          </w:p>
        </w:tc>
      </w:tr>
      <w:tr w14:paraId="3916588D">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CD6A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C734E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羽毛球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72D66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耐宝三段式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C7399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筒</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ABCD6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0EC30">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222</w:t>
            </w:r>
          </w:p>
        </w:tc>
      </w:tr>
      <w:tr w14:paraId="3951E5B3">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F05E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7CF1C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羽毛球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1F2970">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迪马斯</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681D1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桶</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A744E7">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203D5">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迪马斯40（76球速）</w:t>
            </w:r>
          </w:p>
        </w:tc>
      </w:tr>
      <w:tr w14:paraId="3BCD7999">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2D77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24</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2FD44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跆拳道训练护具</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BADD3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MOOTOO跆拳道护具全套加厚</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529B1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套</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FC10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30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4E7BE">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18"/>
                <w:szCs w:val="18"/>
                <w:lang w:val="en-US" w:eastAsia="zh-CN"/>
              </w:rPr>
              <w:t>加厚EVA材质，依照人体工程学设计，加厚EVA材质+弹力松紧布有效保护腿部和肘部安全</w:t>
            </w:r>
          </w:p>
        </w:tc>
      </w:tr>
      <w:tr w14:paraId="6549FDFB">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8B92D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25</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EC188">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跆拳道训练专业响靶</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FAEA5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星瑞XR-B003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56465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7AAC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96699">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40cm×20cm跆拳道双叶响靶、规格:40*20cm</w:t>
            </w:r>
          </w:p>
        </w:tc>
      </w:tr>
      <w:tr w14:paraId="3D873096">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3AEF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26</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B0AD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跆拳道训练专业方形靶（半弧形后踢靶）</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DBCBC3">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星瑞XR-B007</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4DD540D">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B94B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50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45DF2">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55cm*宽40cm*厚11cm颜色多色可选</w:t>
            </w:r>
          </w:p>
        </w:tc>
      </w:tr>
      <w:tr w14:paraId="1EAF52E7">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DAED9">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27</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B7352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跆拳道专用沙袋</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281C71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九日山</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B5367C">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2400B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4</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D659B">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45*160CM</w:t>
            </w:r>
          </w:p>
        </w:tc>
      </w:tr>
      <w:tr w14:paraId="59CAD4D6">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EB4E8E">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28</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BA93B">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乒乓球台</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EC773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双鱼</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A33B66">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台</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702AA">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10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1166F">
            <w:pPr>
              <w:spacing w:before="156" w:beforeLines="50" w:line="360" w:lineRule="auto"/>
              <w:jc w:val="center"/>
              <w:rPr>
                <w:rFonts w:hint="eastAsia" w:ascii="宋体" w:hAnsi="宋体" w:eastAsia="宋体" w:cs="Times New Roman"/>
                <w:sz w:val="20"/>
                <w:szCs w:val="20"/>
              </w:rPr>
            </w:pPr>
            <w:r>
              <w:rPr>
                <w:rFonts w:hint="eastAsia" w:ascii="宋体" w:hAnsi="宋体" w:eastAsia="宋体" w:cs="Times New Roman"/>
                <w:sz w:val="20"/>
                <w:szCs w:val="20"/>
                <w:lang w:val="en-US" w:eastAsia="zh-CN"/>
              </w:rPr>
              <w:t>2740*1525MM，毛重；91kg，净重；86kg</w:t>
            </w:r>
          </w:p>
        </w:tc>
      </w:tr>
      <w:tr w14:paraId="462B78F4">
        <w:tblPrEx>
          <w:tblCellMar>
            <w:top w:w="0" w:type="dxa"/>
            <w:left w:w="0" w:type="dxa"/>
            <w:bottom w:w="0" w:type="dxa"/>
            <w:right w:w="0" w:type="dxa"/>
          </w:tblCellMar>
        </w:tblPrEx>
        <w:trPr>
          <w:trHeight w:val="340" w:hRule="atLeast"/>
        </w:trPr>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DFBD5">
            <w:pPr>
              <w:spacing w:before="156" w:beforeLines="50" w:line="360" w:lineRule="auto"/>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29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21B655">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篮球</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DBA271">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乐鞠6000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FFAFCF">
            <w:pPr>
              <w:spacing w:before="156" w:beforeLines="50" w:line="360" w:lineRule="auto"/>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79A0B">
            <w:pPr>
              <w:spacing w:before="156" w:beforeLines="50" w:line="360" w:lineRule="auto"/>
              <w:jc w:val="center"/>
              <w:rPr>
                <w:rFonts w:hint="default" w:ascii="宋体" w:hAnsi="宋体" w:eastAsia="宋体" w:cs="Times New Roman"/>
                <w:sz w:val="20"/>
                <w:szCs w:val="20"/>
                <w:lang w:val="en-US" w:eastAsia="zh-CN"/>
              </w:rPr>
            </w:pPr>
            <w:r>
              <w:rPr>
                <w:rFonts w:hint="eastAsia" w:ascii="宋体" w:hAnsi="宋体" w:eastAsia="宋体" w:cs="Times New Roman"/>
                <w:sz w:val="20"/>
                <w:szCs w:val="20"/>
                <w:lang w:val="en-US" w:eastAsia="zh-CN"/>
              </w:rPr>
              <w:t>100</w:t>
            </w:r>
          </w:p>
        </w:tc>
        <w:tc>
          <w:tcPr>
            <w:tcW w:w="2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481C4">
            <w:pPr>
              <w:spacing w:before="156" w:beforeLines="50" w:line="360" w:lineRule="auto"/>
              <w:jc w:val="center"/>
              <w:rPr>
                <w:rFonts w:hint="eastAsia" w:ascii="宋体" w:hAnsi="宋体" w:eastAsia="宋体" w:cs="Times New Roman"/>
                <w:sz w:val="20"/>
                <w:szCs w:val="20"/>
                <w:lang w:val="en-US" w:eastAsia="zh-CN"/>
              </w:rPr>
            </w:pPr>
            <w:r>
              <w:rPr>
                <w:rFonts w:hint="eastAsia" w:ascii="宋体" w:hAnsi="宋体" w:eastAsia="宋体" w:cs="Times New Roman"/>
                <w:sz w:val="20"/>
                <w:szCs w:val="20"/>
                <w:lang w:val="en-US" w:eastAsia="zh-CN"/>
              </w:rPr>
              <w:t>圆周：750-780mm重量：570-650g弹跳：1200-1400mm进口尼龙绳、80%丁基内胆</w:t>
            </w:r>
          </w:p>
        </w:tc>
      </w:tr>
    </w:tbl>
    <w:p w14:paraId="0C2D19C4">
      <w:pPr>
        <w:pStyle w:val="18"/>
        <w:snapToGrid w:val="0"/>
        <w:spacing w:before="0" w:beforeAutospacing="0" w:after="0" w:line="360" w:lineRule="auto"/>
        <w:ind w:left="0" w:leftChars="0" w:firstLine="480" w:firstLineChars="200"/>
        <w:jc w:val="left"/>
        <w:rPr>
          <w:rFonts w:hint="eastAsia" w:ascii="仿宋" w:hAnsi="仿宋" w:eastAsia="仿宋"/>
          <w:sz w:val="24"/>
          <w:szCs w:val="24"/>
          <w:u w:val="none"/>
          <w:lang w:val="en-US" w:eastAsia="zh-CN"/>
        </w:rPr>
      </w:pPr>
    </w:p>
    <w:p w14:paraId="71947C1A">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17.96865</w:t>
      </w:r>
      <w:r>
        <w:rPr>
          <w:rFonts w:ascii="仿宋" w:hAnsi="仿宋" w:eastAsia="仿宋"/>
          <w:sz w:val="24"/>
          <w:szCs w:val="24"/>
        </w:rPr>
        <w:t>万元</w:t>
      </w:r>
    </w:p>
    <w:p w14:paraId="453272DD">
      <w:pPr>
        <w:pStyle w:val="18"/>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62ECA4F5">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58A3351A">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p>
    <w:p w14:paraId="77978083">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773A98C1">
      <w:pPr>
        <w:pStyle w:val="18"/>
        <w:snapToGrid w:val="0"/>
        <w:spacing w:before="0" w:beforeAutospacing="0" w:after="0" w:line="360" w:lineRule="auto"/>
        <w:ind w:left="0" w:leftChars="0" w:firstLine="482" w:firstLineChars="200"/>
        <w:jc w:val="left"/>
        <w:rPr>
          <w:rFonts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8"/>
        <w:snapToGrid w:val="0"/>
        <w:spacing w:before="0" w:beforeAutospacing="0" w:after="0" w:line="360" w:lineRule="auto"/>
        <w:ind w:left="0" w:leftChars="0" w:firstLine="480" w:firstLineChars="200"/>
        <w:jc w:val="left"/>
        <w:rPr>
          <w:rFonts w:ascii="仿宋" w:hAnsi="仿宋" w:eastAsia="仿宋"/>
          <w:sz w:val="24"/>
          <w:szCs w:val="24"/>
          <w:u w:val="none"/>
        </w:rPr>
      </w:pPr>
      <w:r>
        <w:rPr>
          <w:rFonts w:hint="eastAsia" w:ascii="仿宋" w:hAnsi="仿宋" w:eastAsia="仿宋"/>
          <w:sz w:val="24"/>
          <w:szCs w:val="24"/>
        </w:rPr>
        <w:t>1．首次响应文件的提交截止时</w:t>
      </w:r>
      <w:r>
        <w:rPr>
          <w:rFonts w:hint="eastAsia" w:ascii="仿宋" w:hAnsi="仿宋" w:eastAsia="仿宋"/>
          <w:sz w:val="24"/>
          <w:szCs w:val="24"/>
          <w:u w:val="none"/>
        </w:rPr>
        <w:t>间：2025年</w:t>
      </w:r>
      <w:r>
        <w:rPr>
          <w:rFonts w:hint="eastAsia" w:ascii="仿宋" w:hAnsi="仿宋" w:eastAsia="仿宋"/>
          <w:sz w:val="24"/>
          <w:szCs w:val="24"/>
          <w:u w:val="none"/>
          <w:lang w:val="en-US" w:eastAsia="zh-CN"/>
        </w:rPr>
        <w:t>10</w:t>
      </w:r>
      <w:r>
        <w:rPr>
          <w:rFonts w:hint="eastAsia" w:ascii="仿宋" w:hAnsi="仿宋" w:eastAsia="仿宋"/>
          <w:sz w:val="24"/>
          <w:szCs w:val="24"/>
          <w:u w:val="none"/>
        </w:rPr>
        <w:t>月</w:t>
      </w:r>
      <w:r>
        <w:rPr>
          <w:rFonts w:hint="eastAsia" w:ascii="仿宋" w:hAnsi="仿宋" w:eastAsia="仿宋"/>
          <w:sz w:val="24"/>
          <w:szCs w:val="24"/>
          <w:u w:val="none"/>
          <w:lang w:val="en-US" w:eastAsia="zh-CN"/>
        </w:rPr>
        <w:t>31</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5FCFB0A5">
      <w:pPr>
        <w:pStyle w:val="18"/>
        <w:snapToGrid w:val="0"/>
        <w:spacing w:before="0" w:beforeAutospacing="0" w:after="0" w:line="360" w:lineRule="auto"/>
        <w:ind w:left="0" w:leftChars="0" w:firstLine="480" w:firstLineChars="200"/>
        <w:jc w:val="left"/>
        <w:rPr>
          <w:rFonts w:ascii="仿宋" w:hAnsi="仿宋" w:eastAsia="仿宋"/>
          <w:sz w:val="24"/>
          <w:szCs w:val="24"/>
          <w:u w:val="none"/>
        </w:rPr>
      </w:pPr>
      <w:r>
        <w:rPr>
          <w:rFonts w:hint="eastAsia" w:ascii="仿宋" w:hAnsi="仿宋" w:eastAsia="仿宋"/>
          <w:sz w:val="24"/>
          <w:szCs w:val="24"/>
          <w:u w:val="none"/>
        </w:rPr>
        <w:t>2．首次响应文件的开启时间：2025年</w:t>
      </w:r>
      <w:r>
        <w:rPr>
          <w:rFonts w:hint="eastAsia" w:ascii="仿宋" w:hAnsi="仿宋" w:eastAsia="仿宋"/>
          <w:sz w:val="24"/>
          <w:szCs w:val="24"/>
          <w:u w:val="none"/>
          <w:lang w:val="en-US" w:eastAsia="zh-CN"/>
        </w:rPr>
        <w:t>10</w:t>
      </w:r>
      <w:r>
        <w:rPr>
          <w:rFonts w:hint="eastAsia" w:ascii="仿宋" w:hAnsi="仿宋" w:eastAsia="仿宋"/>
          <w:sz w:val="24"/>
          <w:szCs w:val="24"/>
          <w:u w:val="none"/>
        </w:rPr>
        <w:t>月</w:t>
      </w:r>
      <w:r>
        <w:rPr>
          <w:rFonts w:hint="eastAsia" w:ascii="仿宋" w:hAnsi="仿宋" w:eastAsia="仿宋"/>
          <w:sz w:val="24"/>
          <w:szCs w:val="24"/>
          <w:u w:val="none"/>
          <w:lang w:val="en-US" w:eastAsia="zh-CN"/>
        </w:rPr>
        <w:t>31</w:t>
      </w:r>
      <w:r>
        <w:rPr>
          <w:rFonts w:hint="eastAsia" w:ascii="仿宋" w:hAnsi="仿宋" w:eastAsia="仿宋"/>
          <w:sz w:val="24"/>
          <w:szCs w:val="24"/>
          <w:u w:val="none"/>
        </w:rPr>
        <w:t>日</w:t>
      </w:r>
      <w:r>
        <w:rPr>
          <w:rFonts w:hint="eastAsia" w:ascii="仿宋" w:hAnsi="仿宋" w:eastAsia="仿宋"/>
          <w:sz w:val="24"/>
          <w:szCs w:val="24"/>
          <w:u w:val="none"/>
          <w:lang w:val="en-US" w:eastAsia="zh-CN"/>
        </w:rPr>
        <w:t>9</w:t>
      </w:r>
      <w:r>
        <w:rPr>
          <w:rFonts w:hint="eastAsia" w:ascii="仿宋" w:hAnsi="仿宋" w:eastAsia="仿宋"/>
          <w:sz w:val="24"/>
          <w:szCs w:val="24"/>
          <w:u w:val="none"/>
        </w:rPr>
        <w:t>时</w:t>
      </w:r>
    </w:p>
    <w:p w14:paraId="63DB6ACB">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4"/>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4"/>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4"/>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蒋智能</w:t>
      </w:r>
    </w:p>
    <w:p w14:paraId="3B375338">
      <w:pPr>
        <w:snapToGrid w:val="0"/>
        <w:spacing w:line="360" w:lineRule="auto"/>
        <w:ind w:firstLine="480" w:firstLineChars="200"/>
        <w:jc w:val="left"/>
        <w:rPr>
          <w:rFonts w:ascii="仿宋" w:hAnsi="仿宋" w:eastAsia="仿宋" w:cstheme="minorEastAsia"/>
          <w:sz w:val="24"/>
          <w:szCs w:val="24"/>
          <w:u w:val="none"/>
        </w:rPr>
      </w:pPr>
      <w:r>
        <w:rPr>
          <w:rFonts w:hint="eastAsia" w:ascii="仿宋" w:hAnsi="仿宋" w:eastAsia="仿宋" w:cstheme="minorEastAsia"/>
          <w:sz w:val="24"/>
          <w:szCs w:val="24"/>
          <w:u w:val="none"/>
        </w:rPr>
        <w:t>电 话：13272121000</w:t>
      </w:r>
    </w:p>
    <w:p w14:paraId="77569E6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8"/>
      </w:pPr>
    </w:p>
    <w:p w14:paraId="42402AF4"/>
    <w:p w14:paraId="06CBF053">
      <w:pPr>
        <w:pStyle w:val="18"/>
      </w:pPr>
    </w:p>
    <w:p w14:paraId="34F8B3C7">
      <w:pPr>
        <w:pStyle w:val="8"/>
        <w:rPr>
          <w:szCs w:val="22"/>
        </w:rPr>
      </w:pPr>
    </w:p>
    <w:p w14:paraId="2F8CDF42"/>
    <w:p w14:paraId="360ECAAB"/>
    <w:p w14:paraId="611302C1">
      <w:pPr>
        <w:pStyle w:val="18"/>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体育用品项目</w:t>
      </w:r>
    </w:p>
    <w:p w14:paraId="47027BBC">
      <w:pPr>
        <w:snapToGrid w:val="0"/>
        <w:spacing w:before="156" w:beforeLines="50" w:line="360" w:lineRule="auto"/>
        <w:ind w:firstLine="482" w:firstLineChars="200"/>
        <w:jc w:val="left"/>
        <w:rPr>
          <w:rFonts w:hint="eastAsia" w:ascii="仿宋" w:hAnsi="仿宋" w:eastAsia="仿宋" w:cstheme="minorEastAsia"/>
          <w:b/>
          <w:sz w:val="24"/>
          <w:szCs w:val="24"/>
          <w:lang w:eastAsia="zh-CN"/>
        </w:rPr>
      </w:pPr>
      <w:r>
        <w:rPr>
          <w:rFonts w:hint="eastAsia" w:ascii="仿宋" w:hAnsi="仿宋" w:eastAsia="仿宋" w:cstheme="minorEastAsia"/>
          <w:b/>
          <w:sz w:val="24"/>
          <w:szCs w:val="24"/>
        </w:rPr>
        <w:t>二、服务内容及要求</w:t>
      </w:r>
      <w:r>
        <w:rPr>
          <w:rFonts w:hint="eastAsia" w:ascii="仿宋" w:hAnsi="仿宋" w:eastAsia="仿宋" w:cstheme="minorEastAsia"/>
          <w:b/>
          <w:sz w:val="24"/>
          <w:szCs w:val="24"/>
          <w:lang w:eastAsia="zh-CN"/>
        </w:rPr>
        <w:t>：</w:t>
      </w:r>
    </w:p>
    <w:p w14:paraId="569BCC19">
      <w:pPr>
        <w:snapToGrid w:val="0"/>
        <w:spacing w:before="156" w:beforeLines="50" w:line="360" w:lineRule="auto"/>
        <w:ind w:firstLine="480" w:firstLineChars="200"/>
        <w:jc w:val="left"/>
        <w:rPr>
          <w:rFonts w:ascii="仿宋" w:hAnsi="仿宋" w:eastAsia="仿宋" w:cs="仿宋"/>
          <w:color w:val="333333"/>
          <w:kern w:val="0"/>
          <w:sz w:val="24"/>
          <w:szCs w:val="24"/>
        </w:rPr>
      </w:pPr>
      <w:r>
        <w:rPr>
          <w:rFonts w:hint="eastAsia" w:ascii="仿宋" w:hAnsi="仿宋" w:eastAsia="仿宋" w:cs="仿宋"/>
          <w:color w:val="333333"/>
          <w:kern w:val="0"/>
          <w:sz w:val="24"/>
          <w:szCs w:val="24"/>
        </w:rPr>
        <w:t xml:space="preserve">能够满足学校体育课日常教学、训练、师生课外体育锻炼 </w:t>
      </w:r>
    </w:p>
    <w:p w14:paraId="5A12F87B">
      <w:pPr>
        <w:numPr>
          <w:ilvl w:val="0"/>
          <w:numId w:val="1"/>
        </w:numPr>
        <w:snapToGrid w:val="0"/>
        <w:spacing w:before="156" w:beforeLines="50" w:line="360" w:lineRule="auto"/>
        <w:ind w:firstLine="482" w:firstLineChars="200"/>
        <w:jc w:val="left"/>
        <w:rPr>
          <w:rFonts w:hint="eastAsia" w:ascii="仿宋" w:hAnsi="仿宋" w:eastAsia="仿宋" w:cs="仿宋"/>
          <w:color w:val="333333"/>
          <w:kern w:val="0"/>
          <w:sz w:val="24"/>
          <w:szCs w:val="24"/>
        </w:rPr>
      </w:pPr>
      <w:r>
        <w:rPr>
          <w:rFonts w:hint="eastAsia" w:ascii="仿宋" w:hAnsi="仿宋" w:eastAsia="仿宋" w:cstheme="minorEastAsia"/>
          <w:b/>
          <w:sz w:val="24"/>
          <w:szCs w:val="24"/>
        </w:rPr>
        <w:t>服务质量要求：</w:t>
      </w:r>
    </w:p>
    <w:p w14:paraId="5AD3E811">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1、货物质量标准  </w:t>
      </w:r>
    </w:p>
    <w:p w14:paraId="1D02D8C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所有体育器材需符合国家相关质量标准，提供国家批准的器材质量认证机构出具的产品质量认证证书，确保产品安全、耐用。</w:t>
      </w:r>
    </w:p>
    <w:p w14:paraId="4F3FA1C6">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2、售后服务保障  </w:t>
      </w:r>
    </w:p>
    <w:p w14:paraId="56D30B04">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免费安装调试，确保设备正常运行。提供一定期限的免费保修服务（如8年），质保期内因质量问题免费维修或更换。提供7×24小时免费上门服务，及时响应故障报修。</w:t>
      </w:r>
    </w:p>
    <w:p w14:paraId="7778FAA4">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3、技术文件与培训  </w:t>
      </w:r>
    </w:p>
    <w:p w14:paraId="3B96DA2E">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提供使用说明、交货清单、产品合格证、检验报告等技术文件。  </w:t>
      </w:r>
    </w:p>
    <w:p w14:paraId="4E9BDA0D">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对设备操作使用进行免费培训，确保用户正确使用。</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08C510A8">
      <w:pPr>
        <w:snapToGrid w:val="0"/>
        <w:spacing w:before="156" w:beforeLines="50" w:line="360" w:lineRule="auto"/>
        <w:ind w:firstLine="480" w:firstLineChars="200"/>
        <w:jc w:val="left"/>
      </w:pPr>
      <w:r>
        <w:rPr>
          <w:rFonts w:hint="eastAsia" w:ascii="仿宋" w:hAnsi="仿宋" w:eastAsia="仿宋" w:cs="仿宋"/>
          <w:color w:val="333333"/>
          <w:kern w:val="0"/>
          <w:sz w:val="24"/>
          <w:szCs w:val="24"/>
        </w:rPr>
        <w:t>安装调试完成后能满足</w:t>
      </w:r>
      <w:r>
        <w:rPr>
          <w:rFonts w:hint="eastAsia" w:ascii="仿宋" w:hAnsi="仿宋" w:eastAsia="仿宋" w:cs="仿宋"/>
          <w:color w:val="333333"/>
          <w:kern w:val="0"/>
          <w:sz w:val="24"/>
          <w:szCs w:val="24"/>
          <w:lang w:val="en-US" w:eastAsia="zh-CN"/>
        </w:rPr>
        <w:t>学校体育课日常教学、训练、师生课外体育锻炼。</w:t>
      </w:r>
    </w:p>
    <w:p w14:paraId="07B64B92">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3"/>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sz w:val="24"/>
          <w:szCs w:val="24"/>
          <w:lang w:val="en-US" w:eastAsia="zh-CN"/>
        </w:rPr>
        <w:t>17.96865</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3"/>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七、付款方式</w:t>
      </w:r>
    </w:p>
    <w:p w14:paraId="2DA80BAB">
      <w:pPr>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乙方将货物运至指定地点，安装调试完毕，经甲方验收合格，乙方按合同约定移交有关资料给甲方，并开具全额正规税务发票给甲方，然后甲方再支付合同全款。</w:t>
      </w:r>
    </w:p>
    <w:p w14:paraId="124CDEC5">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八、其他说明：</w:t>
      </w:r>
    </w:p>
    <w:p w14:paraId="6DFB97B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1.参与投标的单位中标后须是湖南省乐采云电商平台的合格供应商。</w:t>
      </w:r>
    </w:p>
    <w:p w14:paraId="616490F9">
      <w:pPr>
        <w:pStyle w:val="18"/>
        <w:ind w:left="0" w:leftChars="0" w:firstLine="0"/>
        <w:jc w:val="center"/>
        <w:rPr>
          <w:rFonts w:hint="eastAsia" w:ascii="仿宋" w:hAnsi="仿宋" w:eastAsia="仿宋"/>
          <w:b/>
          <w:sz w:val="36"/>
          <w:szCs w:val="36"/>
        </w:rPr>
      </w:pPr>
    </w:p>
    <w:p w14:paraId="7EDF921A">
      <w:pPr>
        <w:pStyle w:val="18"/>
        <w:ind w:left="0" w:leftChars="0" w:firstLine="0"/>
        <w:jc w:val="center"/>
        <w:rPr>
          <w:rFonts w:hint="eastAsia" w:ascii="仿宋" w:hAnsi="仿宋" w:eastAsia="仿宋"/>
          <w:b/>
          <w:sz w:val="36"/>
          <w:szCs w:val="36"/>
        </w:rPr>
      </w:pPr>
    </w:p>
    <w:p w14:paraId="223FEA38">
      <w:pPr>
        <w:pStyle w:val="18"/>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8"/>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1" w:type="dxa"/>
            <w:vAlign w:val="center"/>
          </w:tcPr>
          <w:p w14:paraId="62BC2181">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b/>
                <w:kern w:val="0"/>
                <w:sz w:val="24"/>
                <w:szCs w:val="24"/>
              </w:rPr>
            </w:pPr>
            <w:r>
              <w:rPr>
                <w:rFonts w:ascii="仿宋" w:hAnsi="仿宋" w:eastAsia="仿宋" w:cs="仿宋"/>
                <w:b w:val="0"/>
                <w:bCs w:val="0"/>
                <w:i w:val="0"/>
                <w:iCs w:val="0"/>
                <w:color w:val="000000"/>
                <w:spacing w:val="0"/>
                <w:w w:val="100"/>
                <w:sz w:val="24"/>
                <w:szCs w:val="24"/>
                <w:vertAlign w:val="baseline"/>
              </w:rPr>
              <w:t>1</w:t>
            </w:r>
          </w:p>
        </w:tc>
        <w:tc>
          <w:tcPr>
            <w:tcW w:w="1308" w:type="dxa"/>
            <w:vAlign w:val="center"/>
          </w:tcPr>
          <w:p w14:paraId="7D8E7FFA">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b/>
                <w:kern w:val="0"/>
                <w:sz w:val="24"/>
                <w:szCs w:val="24"/>
              </w:rPr>
            </w:pPr>
            <w:r>
              <w:rPr>
                <w:rFonts w:hint="eastAsia" w:ascii="仿宋" w:hAnsi="仿宋" w:eastAsia="仿宋" w:cs="仿宋"/>
                <w:b w:val="0"/>
                <w:bCs w:val="0"/>
                <w:i w:val="0"/>
                <w:iCs w:val="0"/>
                <w:color w:val="000000"/>
                <w:spacing w:val="0"/>
                <w:w w:val="100"/>
                <w:sz w:val="24"/>
                <w:szCs w:val="24"/>
                <w:vertAlign w:val="baseline"/>
              </w:rPr>
              <w:t>报价</w:t>
            </w:r>
          </w:p>
        </w:tc>
        <w:tc>
          <w:tcPr>
            <w:tcW w:w="709" w:type="dxa"/>
            <w:vAlign w:val="center"/>
          </w:tcPr>
          <w:p w14:paraId="3AB271F7">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kern w:val="0"/>
                <w:sz w:val="24"/>
                <w:szCs w:val="24"/>
              </w:rPr>
            </w:pPr>
            <w:r>
              <w:rPr>
                <w:rFonts w:hint="eastAsia" w:ascii="仿宋" w:hAnsi="仿宋" w:eastAsia="仿宋" w:cs="仿宋"/>
                <w:b w:val="0"/>
                <w:bCs w:val="0"/>
                <w:i w:val="0"/>
                <w:iCs w:val="0"/>
                <w:color w:val="000000"/>
                <w:spacing w:val="0"/>
                <w:w w:val="100"/>
                <w:sz w:val="24"/>
                <w:szCs w:val="24"/>
                <w:vertAlign w:val="baseline"/>
              </w:rPr>
              <w:t>50</w:t>
            </w:r>
          </w:p>
        </w:tc>
        <w:tc>
          <w:tcPr>
            <w:tcW w:w="6237" w:type="dxa"/>
            <w:vAlign w:val="center"/>
          </w:tcPr>
          <w:p w14:paraId="5ED2E53D">
            <w:pPr>
              <w:pStyle w:val="16"/>
              <w:keepNext w:val="0"/>
              <w:keepLines w:val="0"/>
              <w:widowControl/>
              <w:suppressLineNumbers w:val="0"/>
              <w:spacing w:before="0" w:beforeAutospacing="0" w:after="0" w:afterAutospacing="0"/>
              <w:ind w:left="0" w:leftChars="0" w:right="0" w:rightChars="0"/>
              <w:jc w:val="left"/>
              <w:rPr>
                <w:rFonts w:ascii="仿宋" w:hAnsi="仿宋" w:eastAsia="仿宋" w:cs="仿宋"/>
                <w:b/>
                <w:sz w:val="24"/>
                <w:szCs w:val="24"/>
              </w:rPr>
            </w:pPr>
            <w:r>
              <w:rPr>
                <w:rFonts w:hint="eastAsia" w:ascii="仿宋" w:hAnsi="仿宋" w:eastAsia="仿宋" w:cs="仿宋"/>
                <w:b w:val="0"/>
                <w:bCs w:val="0"/>
                <w:i w:val="0"/>
                <w:iCs w:val="0"/>
                <w:color w:val="000000"/>
                <w:spacing w:val="0"/>
                <w:w w:val="100"/>
                <w:sz w:val="24"/>
                <w:szCs w:val="24"/>
                <w:vertAlign w:val="baseline"/>
              </w:rPr>
              <w:t>以经评委会一致认定满足招标文件要求且投标价格最低的投标报价为评标基准价，其价格得分计50分。其他投标人的价格得分统一按公式计算：报价得分=（评标基准价/投标报价）×价格权重。</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5040FC1A">
            <w:pPr>
              <w:pStyle w:val="16"/>
              <w:keepNext w:val="0"/>
              <w:keepLines w:val="0"/>
              <w:widowControl/>
              <w:suppressLineNumbers w:val="0"/>
              <w:spacing w:before="0" w:beforeAutospacing="0" w:after="0" w:afterAutospacing="0"/>
              <w:ind w:left="0" w:leftChars="0" w:right="0" w:rightChars="0"/>
              <w:jc w:val="left"/>
              <w:rPr>
                <w:rFonts w:ascii="仿宋" w:hAnsi="仿宋" w:eastAsia="仿宋" w:cs="仿宋"/>
                <w:sz w:val="24"/>
                <w:szCs w:val="24"/>
              </w:rPr>
            </w:pPr>
            <w:r>
              <w:rPr>
                <w:rFonts w:hint="eastAsia" w:ascii="仿宋" w:hAnsi="仿宋" w:eastAsia="仿宋" w:cs="仿宋"/>
                <w:b w:val="0"/>
                <w:bCs w:val="0"/>
                <w:i w:val="0"/>
                <w:iCs w:val="0"/>
                <w:color w:val="000000"/>
                <w:spacing w:val="0"/>
                <w:w w:val="100"/>
                <w:sz w:val="24"/>
                <w:szCs w:val="24"/>
                <w:vertAlign w:val="baseline"/>
              </w:rPr>
              <w:t>2</w:t>
            </w:r>
          </w:p>
        </w:tc>
        <w:tc>
          <w:tcPr>
            <w:tcW w:w="1308" w:type="dxa"/>
            <w:vAlign w:val="center"/>
          </w:tcPr>
          <w:p w14:paraId="4CB097CA">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sz w:val="24"/>
                <w:szCs w:val="24"/>
              </w:rPr>
            </w:pPr>
            <w:r>
              <w:rPr>
                <w:rFonts w:hint="eastAsia" w:ascii="仿宋" w:hAnsi="仿宋" w:eastAsia="仿宋" w:cs="仿宋"/>
                <w:b w:val="0"/>
                <w:bCs w:val="0"/>
                <w:i w:val="0"/>
                <w:iCs w:val="0"/>
                <w:color w:val="000000"/>
                <w:spacing w:val="0"/>
                <w:w w:val="100"/>
                <w:sz w:val="24"/>
                <w:szCs w:val="24"/>
                <w:vertAlign w:val="baseline"/>
              </w:rPr>
              <w:t>业绩能力</w:t>
            </w:r>
          </w:p>
        </w:tc>
        <w:tc>
          <w:tcPr>
            <w:tcW w:w="709" w:type="dxa"/>
            <w:vAlign w:val="center"/>
          </w:tcPr>
          <w:p w14:paraId="5F6B02FB">
            <w:pPr>
              <w:pStyle w:val="16"/>
              <w:keepNext w:val="0"/>
              <w:keepLines w:val="0"/>
              <w:widowControl/>
              <w:suppressLineNumbers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b w:val="0"/>
                <w:bCs w:val="0"/>
                <w:i w:val="0"/>
                <w:iCs w:val="0"/>
                <w:color w:val="000000"/>
                <w:spacing w:val="0"/>
                <w:w w:val="100"/>
                <w:sz w:val="24"/>
                <w:szCs w:val="24"/>
                <w:vertAlign w:val="baseline"/>
              </w:rPr>
              <w:t>30</w:t>
            </w:r>
          </w:p>
        </w:tc>
        <w:tc>
          <w:tcPr>
            <w:tcW w:w="6237" w:type="dxa"/>
            <w:vAlign w:val="center"/>
          </w:tcPr>
          <w:p w14:paraId="6BE67211">
            <w:pPr>
              <w:pStyle w:val="16"/>
              <w:keepNext w:val="0"/>
              <w:keepLines w:val="0"/>
              <w:widowControl/>
              <w:suppressLineNumbers w:val="0"/>
              <w:spacing w:before="0" w:beforeAutospacing="0" w:after="0" w:afterAutospacing="0"/>
              <w:ind w:left="0" w:right="0"/>
              <w:jc w:val="left"/>
            </w:pPr>
            <w:r>
              <w:rPr>
                <w:rFonts w:hint="eastAsia" w:ascii="仿宋" w:hAnsi="仿宋" w:eastAsia="仿宋" w:cs="仿宋"/>
                <w:b w:val="0"/>
                <w:bCs w:val="0"/>
                <w:i w:val="0"/>
                <w:iCs w:val="0"/>
                <w:color w:val="000000"/>
                <w:spacing w:val="0"/>
                <w:w w:val="100"/>
                <w:sz w:val="24"/>
                <w:szCs w:val="24"/>
                <w:vertAlign w:val="baseline"/>
              </w:rPr>
              <w:t>供应商提供自2022年12月至本项目响应文件递交截止时间（以合同签订日期为准）具有体育类的货物服务项目合同的,每提供一份合同计10分。（提供佐证材料复印件加盖公章，未提供不计分）</w:t>
            </w:r>
          </w:p>
          <w:p w14:paraId="51AA856E">
            <w:pPr>
              <w:pStyle w:val="16"/>
              <w:keepNext w:val="0"/>
              <w:keepLines w:val="0"/>
              <w:widowControl/>
              <w:suppressLineNumbers w:val="0"/>
              <w:spacing w:before="0" w:beforeAutospacing="0" w:after="0" w:afterAutospacing="0"/>
              <w:ind w:left="0" w:right="0"/>
              <w:jc w:val="left"/>
            </w:pPr>
            <w:r>
              <w:rPr>
                <w:rFonts w:hint="eastAsia" w:ascii="仿宋" w:hAnsi="仿宋" w:eastAsia="仿宋" w:cs="仿宋"/>
                <w:b/>
                <w:bCs/>
                <w:i w:val="0"/>
                <w:iCs w:val="0"/>
                <w:color w:val="000000"/>
                <w:spacing w:val="0"/>
                <w:w w:val="100"/>
                <w:sz w:val="24"/>
                <w:szCs w:val="24"/>
                <w:vertAlign w:val="baseline"/>
              </w:rPr>
              <w:t>本项满分30分。</w:t>
            </w:r>
          </w:p>
          <w:p w14:paraId="538796CA">
            <w:pPr>
              <w:pStyle w:val="16"/>
              <w:keepNext w:val="0"/>
              <w:keepLines w:val="0"/>
              <w:widowControl/>
              <w:suppressLineNumbers w:val="0"/>
              <w:spacing w:before="0" w:beforeAutospacing="0" w:after="0" w:afterAutospacing="0"/>
              <w:ind w:left="0" w:leftChars="0" w:right="0" w:rightChars="0"/>
              <w:jc w:val="left"/>
              <w:rPr>
                <w:rFonts w:ascii="仿宋" w:hAnsi="仿宋" w:eastAsia="仿宋" w:cs="仿宋"/>
                <w:sz w:val="24"/>
                <w:szCs w:val="24"/>
              </w:rPr>
            </w:pPr>
            <w:r>
              <w:rPr>
                <w:rFonts w:hint="eastAsia" w:ascii="仿宋" w:hAnsi="仿宋" w:eastAsia="仿宋" w:cs="仿宋"/>
                <w:b/>
                <w:bCs/>
                <w:i w:val="0"/>
                <w:iCs w:val="0"/>
                <w:color w:val="000000"/>
                <w:spacing w:val="0"/>
                <w:w w:val="100"/>
                <w:sz w:val="24"/>
                <w:szCs w:val="24"/>
                <w:vertAlign w:val="baseline"/>
              </w:rPr>
              <w:t>【评审依据】：响应文件中提供合同复印件并加盖供应商公章。（合同复印件需提供合同首页、标的或内容所在页、签字盖章页）</w:t>
            </w:r>
          </w:p>
        </w:tc>
      </w:tr>
      <w:tr w14:paraId="0FD5D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01" w:type="dxa"/>
            <w:vAlign w:val="center"/>
          </w:tcPr>
          <w:p w14:paraId="6EE13FE7">
            <w:pPr>
              <w:pStyle w:val="16"/>
              <w:keepNext w:val="0"/>
              <w:keepLines w:val="0"/>
              <w:widowControl/>
              <w:suppressLineNumbers w:val="0"/>
              <w:spacing w:before="0" w:beforeAutospacing="0" w:after="0" w:afterAutospacing="0"/>
              <w:ind w:left="0" w:leftChars="0" w:right="0" w:rightChars="0"/>
              <w:jc w:val="left"/>
              <w:rPr>
                <w:rFonts w:ascii="仿宋" w:hAnsi="仿宋" w:eastAsia="仿宋" w:cs="仿宋"/>
                <w:color w:val="FF0000"/>
                <w:sz w:val="24"/>
                <w:szCs w:val="24"/>
              </w:rPr>
            </w:pPr>
            <w:r>
              <w:rPr>
                <w:rFonts w:hint="eastAsia" w:ascii="仿宋" w:hAnsi="仿宋" w:eastAsia="仿宋" w:cs="仿宋"/>
                <w:b w:val="0"/>
                <w:bCs w:val="0"/>
                <w:i w:val="0"/>
                <w:iCs w:val="0"/>
                <w:color w:val="000000"/>
                <w:spacing w:val="0"/>
                <w:w w:val="100"/>
                <w:sz w:val="24"/>
                <w:szCs w:val="24"/>
                <w:vertAlign w:val="baseline"/>
              </w:rPr>
              <w:t>3</w:t>
            </w:r>
          </w:p>
        </w:tc>
        <w:tc>
          <w:tcPr>
            <w:tcW w:w="1308" w:type="dxa"/>
            <w:vAlign w:val="center"/>
          </w:tcPr>
          <w:p w14:paraId="525D7415">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color w:val="FF0000"/>
                <w:sz w:val="24"/>
                <w:szCs w:val="24"/>
              </w:rPr>
            </w:pPr>
            <w:r>
              <w:rPr>
                <w:rFonts w:hint="eastAsia" w:ascii="仿宋" w:hAnsi="仿宋" w:eastAsia="仿宋" w:cs="仿宋"/>
                <w:b w:val="0"/>
                <w:bCs w:val="0"/>
                <w:i w:val="0"/>
                <w:iCs w:val="0"/>
                <w:color w:val="000000"/>
                <w:spacing w:val="0"/>
                <w:w w:val="100"/>
                <w:sz w:val="24"/>
                <w:szCs w:val="24"/>
                <w:vertAlign w:val="baseline"/>
              </w:rPr>
              <w:t>售后服务方案</w:t>
            </w:r>
          </w:p>
        </w:tc>
        <w:tc>
          <w:tcPr>
            <w:tcW w:w="709" w:type="dxa"/>
            <w:vAlign w:val="center"/>
          </w:tcPr>
          <w:p w14:paraId="663B2A82">
            <w:pPr>
              <w:pStyle w:val="16"/>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FF0000"/>
                <w:sz w:val="24"/>
                <w:szCs w:val="24"/>
                <w:lang w:val="en-US" w:eastAsia="zh-CN"/>
              </w:rPr>
            </w:pPr>
            <w:r>
              <w:rPr>
                <w:rFonts w:hint="eastAsia" w:ascii="仿宋" w:hAnsi="仿宋" w:eastAsia="仿宋" w:cs="仿宋"/>
                <w:b w:val="0"/>
                <w:bCs w:val="0"/>
                <w:i w:val="0"/>
                <w:iCs w:val="0"/>
                <w:color w:val="000000"/>
                <w:spacing w:val="0"/>
                <w:w w:val="100"/>
                <w:sz w:val="24"/>
                <w:szCs w:val="24"/>
                <w:vertAlign w:val="baseline"/>
              </w:rPr>
              <w:t>20</w:t>
            </w:r>
          </w:p>
        </w:tc>
        <w:tc>
          <w:tcPr>
            <w:tcW w:w="6237" w:type="dxa"/>
            <w:vAlign w:val="center"/>
          </w:tcPr>
          <w:p w14:paraId="60F58399">
            <w:pPr>
              <w:pStyle w:val="16"/>
              <w:keepNext w:val="0"/>
              <w:keepLines w:val="0"/>
              <w:widowControl/>
              <w:suppressLineNumbers w:val="0"/>
              <w:spacing w:before="0" w:beforeAutospacing="0" w:after="0" w:afterAutospacing="0"/>
              <w:ind w:left="0" w:right="0"/>
              <w:jc w:val="both"/>
            </w:pPr>
            <w:r>
              <w:rPr>
                <w:rFonts w:hint="eastAsia" w:ascii="仿宋" w:hAnsi="仿宋" w:eastAsia="仿宋" w:cs="仿宋"/>
                <w:b w:val="0"/>
                <w:bCs w:val="0"/>
                <w:i w:val="0"/>
                <w:iCs w:val="0"/>
                <w:color w:val="000000"/>
                <w:spacing w:val="0"/>
                <w:w w:val="100"/>
                <w:sz w:val="24"/>
                <w:szCs w:val="24"/>
                <w:vertAlign w:val="baseline"/>
              </w:rPr>
              <w:t>根据供应商针对本项目拟定的售后服务方案，包括售后人员联系方式、售后响应时间、退换货方式等方案进行评分，方案内容详细科学、能完全响应售后要求的计20分；方案基本完整、响应及时的计10分；响应不及时或没提供售后服务方案的不计分。</w:t>
            </w:r>
          </w:p>
          <w:p w14:paraId="647EBCBE">
            <w:pPr>
              <w:pStyle w:val="16"/>
              <w:keepNext w:val="0"/>
              <w:keepLines w:val="0"/>
              <w:widowControl/>
              <w:suppressLineNumbers w:val="0"/>
              <w:spacing w:before="0" w:beforeAutospacing="0" w:after="0" w:afterAutospacing="0"/>
              <w:ind w:left="0" w:leftChars="0" w:right="0" w:rightChars="0"/>
              <w:jc w:val="both"/>
              <w:rPr>
                <w:rFonts w:ascii="仿宋" w:hAnsi="仿宋" w:eastAsia="仿宋" w:cs="仿宋"/>
                <w:color w:val="FF0000"/>
                <w:sz w:val="24"/>
                <w:szCs w:val="24"/>
              </w:rPr>
            </w:pPr>
            <w:r>
              <w:rPr>
                <w:rFonts w:hint="eastAsia" w:ascii="仿宋" w:hAnsi="仿宋" w:eastAsia="仿宋" w:cs="仿宋"/>
                <w:b/>
                <w:bCs/>
                <w:i w:val="0"/>
                <w:iCs w:val="0"/>
                <w:color w:val="000000"/>
                <w:spacing w:val="0"/>
                <w:w w:val="100"/>
                <w:sz w:val="24"/>
                <w:szCs w:val="24"/>
                <w:vertAlign w:val="baseline"/>
              </w:rPr>
              <w:t>本项满分20分。</w:t>
            </w:r>
          </w:p>
        </w:tc>
      </w:tr>
    </w:tbl>
    <w:p w14:paraId="42B74A6D"/>
    <w:p w14:paraId="5077E8EB">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8"/>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8"/>
        <w:ind w:left="0" w:leftChars="0" w:firstLine="0"/>
      </w:pPr>
    </w:p>
    <w:p w14:paraId="4DFEE8F5">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BA60C6A">
      <w:pPr>
        <w:pStyle w:val="34"/>
        <w:shd w:val="clear" w:color="auto" w:fill="FFFFFF"/>
        <w:spacing w:before="0" w:beforeAutospacing="0" w:after="0" w:afterAutospacing="0" w:line="360" w:lineRule="auto"/>
        <w:ind w:firstLine="480" w:firstLineChars="200"/>
        <w:rPr>
          <w:rFonts w:ascii="仿宋_GB2312" w:hAnsi="宋体" w:eastAsia="仿宋_GB2312"/>
          <w:b/>
        </w:rPr>
      </w:pPr>
      <w:r>
        <w:rPr>
          <w:rFonts w:hint="eastAsia" w:ascii="仿宋" w:hAnsi="仿宋" w:eastAsia="仿宋" w:cs="Times New Roman"/>
          <w:kern w:val="2"/>
        </w:rPr>
        <w:t>4、报价不得超过采购预算价格，否则为无效投标。</w:t>
      </w:r>
    </w:p>
    <w:p w14:paraId="7AD3FEF7">
      <w:pPr>
        <w:pStyle w:val="11"/>
        <w:adjustRightInd w:val="0"/>
        <w:snapToGrid w:val="0"/>
        <w:spacing w:line="360" w:lineRule="auto"/>
        <w:rPr>
          <w:rFonts w:ascii="仿宋" w:hAnsi="仿宋" w:eastAsia="仿宋"/>
          <w:b/>
          <w:sz w:val="24"/>
          <w:szCs w:val="24"/>
        </w:rPr>
      </w:pPr>
    </w:p>
    <w:p w14:paraId="7BDB9DAB">
      <w:pPr>
        <w:pStyle w:val="11"/>
        <w:adjustRightInd w:val="0"/>
        <w:snapToGrid w:val="0"/>
        <w:spacing w:line="360" w:lineRule="auto"/>
        <w:rPr>
          <w:rFonts w:ascii="仿宋" w:hAnsi="仿宋" w:eastAsia="仿宋"/>
          <w:b/>
          <w:sz w:val="24"/>
          <w:szCs w:val="24"/>
        </w:rPr>
      </w:pPr>
    </w:p>
    <w:p w14:paraId="7976B738">
      <w:pPr>
        <w:pStyle w:val="11"/>
        <w:adjustRightInd w:val="0"/>
        <w:snapToGrid w:val="0"/>
        <w:spacing w:line="360" w:lineRule="auto"/>
        <w:rPr>
          <w:rFonts w:ascii="仿宋" w:hAnsi="仿宋" w:eastAsia="仿宋"/>
          <w:b/>
          <w:sz w:val="24"/>
          <w:szCs w:val="24"/>
        </w:rPr>
      </w:pPr>
    </w:p>
    <w:p w14:paraId="4EAC3515">
      <w:pPr>
        <w:pStyle w:val="11"/>
        <w:adjustRightInd w:val="0"/>
        <w:snapToGrid w:val="0"/>
        <w:spacing w:line="360" w:lineRule="auto"/>
        <w:rPr>
          <w:rFonts w:ascii="仿宋" w:hAnsi="仿宋" w:eastAsia="仿宋"/>
          <w:b/>
          <w:sz w:val="24"/>
          <w:szCs w:val="24"/>
        </w:rPr>
      </w:pPr>
    </w:p>
    <w:p w14:paraId="2CCC1DC8">
      <w:pPr>
        <w:pStyle w:val="11"/>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ascii="仿宋" w:hAnsi="仿宋" w:eastAsia="仿宋"/>
          <w:sz w:val="24"/>
          <w:szCs w:val="24"/>
        </w:rPr>
      </w:pPr>
    </w:p>
    <w:p w14:paraId="5B8CF27D">
      <w:pPr>
        <w:pStyle w:val="11"/>
        <w:adjustRightInd w:val="0"/>
        <w:snapToGrid w:val="0"/>
        <w:spacing w:line="360" w:lineRule="auto"/>
        <w:rPr>
          <w:rFonts w:ascii="仿宋" w:hAnsi="仿宋" w:eastAsia="仿宋"/>
          <w:sz w:val="24"/>
          <w:szCs w:val="24"/>
        </w:rPr>
      </w:pPr>
    </w:p>
    <w:p w14:paraId="0E155071">
      <w:pPr>
        <w:pStyle w:val="11"/>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53E8A92D">
      <w:pPr>
        <w:adjustRightInd w:val="0"/>
        <w:snapToGrid w:val="0"/>
        <w:spacing w:line="360" w:lineRule="auto"/>
        <w:ind w:right="24"/>
        <w:rPr>
          <w:rFonts w:ascii="仿宋_GB2312" w:hAnsi="华文中宋" w:eastAsia="仿宋_GB2312"/>
          <w:bCs/>
          <w:sz w:val="24"/>
        </w:rPr>
      </w:pPr>
    </w:p>
    <w:p w14:paraId="7FC44160">
      <w:pPr>
        <w:adjustRightInd w:val="0"/>
        <w:snapToGrid w:val="0"/>
        <w:spacing w:line="360" w:lineRule="auto"/>
        <w:ind w:right="24"/>
        <w:rPr>
          <w:rFonts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8"/>
      </w:pPr>
    </w:p>
    <w:p w14:paraId="10CB8852"/>
    <w:p w14:paraId="7F870902"/>
    <w:p w14:paraId="78DBABB8">
      <w:pPr>
        <w:pStyle w:val="18"/>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8"/>
        <w:rPr>
          <w:rFonts w:ascii="仿宋" w:hAnsi="仿宋" w:eastAsia="仿宋"/>
        </w:rPr>
      </w:pPr>
    </w:p>
    <w:p w14:paraId="5550980C">
      <w:pPr>
        <w:pStyle w:val="18"/>
        <w:ind w:left="0" w:leftChars="0" w:firstLine="0"/>
        <w:rPr>
          <w:rFonts w:ascii="仿宋" w:hAnsi="仿宋" w:eastAsia="仿宋"/>
        </w:rPr>
      </w:pPr>
    </w:p>
    <w:p w14:paraId="638C8DB7">
      <w:pPr>
        <w:spacing w:line="360" w:lineRule="auto"/>
        <w:ind w:firstLine="640"/>
        <w:jc w:val="left"/>
        <w:rPr>
          <w:rFonts w:ascii="仿宋" w:hAnsi="仿宋" w:eastAsia="仿宋"/>
          <w:sz w:val="24"/>
          <w:szCs w:val="24"/>
        </w:rPr>
      </w:pPr>
    </w:p>
    <w:p w14:paraId="6E3AC60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4DCC1575">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0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4"/>
          <w:jc w:val="center"/>
        </w:pPr>
        <w:r>
          <w:fldChar w:fldCharType="begin"/>
        </w:r>
        <w:r>
          <w:instrText xml:space="preserve">PAGE   \* MERGEFORMAT</w:instrText>
        </w:r>
        <w:r>
          <w:fldChar w:fldCharType="separate"/>
        </w:r>
        <w:r>
          <w:rPr>
            <w:lang w:val="zh-CN"/>
          </w:rPr>
          <w:t>5</w:t>
        </w:r>
        <w:r>
          <w:fldChar w:fldCharType="end"/>
        </w:r>
      </w:p>
    </w:sdtContent>
  </w:sdt>
  <w:p w14:paraId="4ACC820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4"/>
      <w:framePr w:wrap="around" w:vAnchor="text" w:hAnchor="margin" w:xAlign="center" w:y="1"/>
      <w:rPr>
        <w:rStyle w:val="22"/>
      </w:rPr>
    </w:pPr>
    <w:r>
      <w:fldChar w:fldCharType="begin"/>
    </w:r>
    <w:r>
      <w:rPr>
        <w:rStyle w:val="22"/>
      </w:rPr>
      <w:instrText xml:space="preserve">PAGE  </w:instrText>
    </w:r>
    <w:r>
      <w:fldChar w:fldCharType="end"/>
    </w:r>
  </w:p>
  <w:p w14:paraId="7B4CFFC0">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30F4FF"/>
    <w:multiLevelType w:val="singleLevel"/>
    <w:tmpl w:val="6D30F4F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D5046"/>
    <w:rsid w:val="000F5572"/>
    <w:rsid w:val="000F5E0A"/>
    <w:rsid w:val="00111A43"/>
    <w:rsid w:val="0011786F"/>
    <w:rsid w:val="00121DE8"/>
    <w:rsid w:val="0012412A"/>
    <w:rsid w:val="0012458D"/>
    <w:rsid w:val="0012755C"/>
    <w:rsid w:val="00133E6C"/>
    <w:rsid w:val="00134B92"/>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85A5D"/>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131C"/>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75AC4"/>
    <w:rsid w:val="00895DAE"/>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486"/>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6BE3"/>
    <w:rsid w:val="00F07FB6"/>
    <w:rsid w:val="00F129A6"/>
    <w:rsid w:val="00F133F3"/>
    <w:rsid w:val="00F139F2"/>
    <w:rsid w:val="00F15528"/>
    <w:rsid w:val="00F26174"/>
    <w:rsid w:val="00F26EA9"/>
    <w:rsid w:val="00F4698B"/>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7AB528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CF7F04"/>
    <w:rsid w:val="29D15596"/>
    <w:rsid w:val="2A7725E1"/>
    <w:rsid w:val="2B473D61"/>
    <w:rsid w:val="2CB01DDA"/>
    <w:rsid w:val="2D460049"/>
    <w:rsid w:val="3163566D"/>
    <w:rsid w:val="31711C01"/>
    <w:rsid w:val="31D8203D"/>
    <w:rsid w:val="31FA2FC3"/>
    <w:rsid w:val="3248523C"/>
    <w:rsid w:val="33E87E62"/>
    <w:rsid w:val="353327D7"/>
    <w:rsid w:val="35A3072E"/>
    <w:rsid w:val="35BA60CE"/>
    <w:rsid w:val="37C81592"/>
    <w:rsid w:val="38CA49CD"/>
    <w:rsid w:val="39D54C2E"/>
    <w:rsid w:val="3A731769"/>
    <w:rsid w:val="3B3140E6"/>
    <w:rsid w:val="3B8763FC"/>
    <w:rsid w:val="3C0E61D6"/>
    <w:rsid w:val="3D912B45"/>
    <w:rsid w:val="3DC92B7D"/>
    <w:rsid w:val="3E7013C9"/>
    <w:rsid w:val="3F2D1069"/>
    <w:rsid w:val="3F313F72"/>
    <w:rsid w:val="3FD304AF"/>
    <w:rsid w:val="404D79B1"/>
    <w:rsid w:val="40CF23D7"/>
    <w:rsid w:val="411058C0"/>
    <w:rsid w:val="413277CA"/>
    <w:rsid w:val="41A31919"/>
    <w:rsid w:val="42507548"/>
    <w:rsid w:val="42F052D9"/>
    <w:rsid w:val="457F75CA"/>
    <w:rsid w:val="471A6376"/>
    <w:rsid w:val="49315E82"/>
    <w:rsid w:val="495E1E55"/>
    <w:rsid w:val="4A6C57DD"/>
    <w:rsid w:val="4A842484"/>
    <w:rsid w:val="4ACE4B79"/>
    <w:rsid w:val="4ADA413D"/>
    <w:rsid w:val="4C811ECE"/>
    <w:rsid w:val="4C8E75EA"/>
    <w:rsid w:val="4CD64AED"/>
    <w:rsid w:val="4DEA6AA2"/>
    <w:rsid w:val="4DF74D1B"/>
    <w:rsid w:val="4DFA7F43"/>
    <w:rsid w:val="505E5526"/>
    <w:rsid w:val="50C025FA"/>
    <w:rsid w:val="51CA3B38"/>
    <w:rsid w:val="53425821"/>
    <w:rsid w:val="543D7D43"/>
    <w:rsid w:val="54413194"/>
    <w:rsid w:val="554E608A"/>
    <w:rsid w:val="56D36709"/>
    <w:rsid w:val="56EB5013"/>
    <w:rsid w:val="57040265"/>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1B00AB6"/>
    <w:rsid w:val="62173015"/>
    <w:rsid w:val="6228716A"/>
    <w:rsid w:val="62652744"/>
    <w:rsid w:val="63452A2C"/>
    <w:rsid w:val="63A20CFF"/>
    <w:rsid w:val="63BE035D"/>
    <w:rsid w:val="63F83144"/>
    <w:rsid w:val="66DC6D4D"/>
    <w:rsid w:val="68B735CD"/>
    <w:rsid w:val="6A400653"/>
    <w:rsid w:val="6A7F45BF"/>
    <w:rsid w:val="6B5A68F5"/>
    <w:rsid w:val="6BBF5D79"/>
    <w:rsid w:val="6BC9041D"/>
    <w:rsid w:val="6DAB7F02"/>
    <w:rsid w:val="71281626"/>
    <w:rsid w:val="719E17CE"/>
    <w:rsid w:val="71CD20B4"/>
    <w:rsid w:val="72567DE8"/>
    <w:rsid w:val="72C16AF2"/>
    <w:rsid w:val="72FA6ED8"/>
    <w:rsid w:val="73A76E7D"/>
    <w:rsid w:val="74A23383"/>
    <w:rsid w:val="75730384"/>
    <w:rsid w:val="78401AE9"/>
    <w:rsid w:val="7A7047EB"/>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25"/>
    <w:semiHidden/>
    <w:unhideWhenUsed/>
    <w:qFormat/>
    <w:uiPriority w:val="99"/>
    <w:rPr>
      <w:rFonts w:ascii="宋体"/>
      <w:sz w:val="18"/>
      <w:szCs w:val="18"/>
    </w:rPr>
  </w:style>
  <w:style w:type="paragraph" w:styleId="8">
    <w:name w:val="Body Text"/>
    <w:basedOn w:val="1"/>
    <w:next w:val="1"/>
    <w:link w:val="37"/>
    <w:qFormat/>
    <w:uiPriority w:val="0"/>
    <w:pPr>
      <w:spacing w:after="120"/>
    </w:pPr>
    <w:rPr>
      <w:rFonts w:ascii="Times New Roman" w:hAnsi="Times New Roman"/>
      <w:szCs w:val="24"/>
    </w:rPr>
  </w:style>
  <w:style w:type="paragraph" w:styleId="9">
    <w:name w:val="Body Text Indent"/>
    <w:basedOn w:val="1"/>
    <w:next w:val="10"/>
    <w:unhideWhenUsed/>
    <w:qFormat/>
    <w:uiPriority w:val="99"/>
    <w:pPr>
      <w:spacing w:after="120"/>
      <w:ind w:left="420" w:leftChars="200"/>
    </w:pPr>
  </w:style>
  <w:style w:type="paragraph" w:styleId="10">
    <w:name w:val="Body Text Indent 2"/>
    <w:basedOn w:val="1"/>
    <w:link w:val="41"/>
    <w:qFormat/>
    <w:uiPriority w:val="99"/>
    <w:pPr>
      <w:spacing w:after="120" w:line="480" w:lineRule="auto"/>
      <w:ind w:left="420" w:leftChars="200"/>
    </w:pPr>
    <w:rPr>
      <w:kern w:val="0"/>
      <w:sz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Balloon Text"/>
    <w:basedOn w:val="1"/>
    <w:link w:val="45"/>
    <w:semiHidden/>
    <w:unhideWhenUsed/>
    <w:qFormat/>
    <w:uiPriority w:val="99"/>
    <w:rPr>
      <w:sz w:val="18"/>
      <w:szCs w:val="18"/>
    </w:rPr>
  </w:style>
  <w:style w:type="paragraph" w:styleId="14">
    <w:name w:val="footer"/>
    <w:basedOn w:val="1"/>
    <w:link w:val="24"/>
    <w:unhideWhenUsed/>
    <w:qFormat/>
    <w:uiPriority w:val="99"/>
    <w:pPr>
      <w:tabs>
        <w:tab w:val="center" w:pos="4153"/>
        <w:tab w:val="right" w:pos="8306"/>
      </w:tabs>
      <w:snapToGrid w:val="0"/>
      <w:jc w:val="left"/>
    </w:pPr>
    <w:rPr>
      <w:sz w:val="18"/>
      <w:szCs w:val="18"/>
    </w:rPr>
  </w:style>
  <w:style w:type="paragraph" w:styleId="15">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semiHidden/>
    <w:unhideWhenUsed/>
    <w:qFormat/>
    <w:uiPriority w:val="99"/>
    <w:rPr>
      <w:sz w:val="24"/>
    </w:rPr>
  </w:style>
  <w:style w:type="paragraph" w:styleId="17">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8">
    <w:name w:val="Body Text First Indent 2"/>
    <w:basedOn w:val="9"/>
    <w:next w:val="1"/>
    <w:unhideWhenUsed/>
    <w:qFormat/>
    <w:uiPriority w:val="99"/>
    <w:pPr>
      <w:spacing w:before="100" w:beforeAutospacing="1"/>
      <w:ind w:firstLine="420"/>
    </w:pPr>
    <w:rPr>
      <w:szCs w:val="21"/>
    </w:rPr>
  </w:style>
  <w:style w:type="table" w:styleId="20">
    <w:name w:val="Table Grid"/>
    <w:basedOn w:val="1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customStyle="1" w:styleId="23">
    <w:name w:val="页眉 Char"/>
    <w:basedOn w:val="21"/>
    <w:link w:val="15"/>
    <w:qFormat/>
    <w:uiPriority w:val="0"/>
    <w:rPr>
      <w:rFonts w:ascii="Calibri" w:hAnsi="Calibri" w:eastAsia="宋体" w:cs="Times New Roman"/>
      <w:sz w:val="18"/>
      <w:szCs w:val="18"/>
    </w:rPr>
  </w:style>
  <w:style w:type="character" w:customStyle="1" w:styleId="24">
    <w:name w:val="页脚 Char"/>
    <w:basedOn w:val="21"/>
    <w:link w:val="14"/>
    <w:qFormat/>
    <w:uiPriority w:val="99"/>
    <w:rPr>
      <w:rFonts w:ascii="Calibri" w:hAnsi="Calibri" w:eastAsia="宋体" w:cs="Times New Roman"/>
      <w:sz w:val="18"/>
      <w:szCs w:val="18"/>
    </w:rPr>
  </w:style>
  <w:style w:type="character" w:customStyle="1" w:styleId="25">
    <w:name w:val="文档结构图 Char"/>
    <w:basedOn w:val="21"/>
    <w:link w:val="7"/>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Char"/>
    <w:basedOn w:val="21"/>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Char"/>
    <w:basedOn w:val="21"/>
    <w:link w:val="3"/>
    <w:qFormat/>
    <w:uiPriority w:val="0"/>
    <w:rPr>
      <w:rFonts w:ascii="Cambria" w:hAnsi="Cambria" w:eastAsia="华文中宋" w:cs="Times New Roman"/>
      <w:b/>
      <w:bCs/>
      <w:sz w:val="44"/>
      <w:szCs w:val="28"/>
    </w:rPr>
  </w:style>
  <w:style w:type="character" w:customStyle="1" w:styleId="30">
    <w:name w:val="纯文本 Char1"/>
    <w:link w:val="11"/>
    <w:qFormat/>
    <w:locked/>
    <w:uiPriority w:val="0"/>
    <w:rPr>
      <w:rFonts w:ascii="宋体" w:hAnsi="Courier New"/>
      <w:sz w:val="21"/>
    </w:rPr>
  </w:style>
  <w:style w:type="character" w:customStyle="1" w:styleId="31">
    <w:name w:val="纯文本 Char"/>
    <w:basedOn w:val="21"/>
    <w:semiHidden/>
    <w:qFormat/>
    <w:uiPriority w:val="99"/>
    <w:rPr>
      <w:rFonts w:ascii="宋体" w:hAnsi="Courier New" w:cs="Courier New"/>
      <w:kern w:val="2"/>
      <w:sz w:val="21"/>
      <w:szCs w:val="21"/>
    </w:rPr>
  </w:style>
  <w:style w:type="character" w:customStyle="1" w:styleId="32">
    <w:name w:val="标题 2 Char"/>
    <w:basedOn w:val="21"/>
    <w:link w:val="4"/>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Char"/>
    <w:basedOn w:val="21"/>
    <w:link w:val="5"/>
    <w:qFormat/>
    <w:uiPriority w:val="9"/>
    <w:rPr>
      <w:rFonts w:asciiTheme="majorHAnsi" w:hAnsiTheme="majorHAnsi" w:eastAsiaTheme="majorEastAsia" w:cstheme="majorBidi"/>
      <w:b/>
      <w:bCs/>
      <w:kern w:val="2"/>
      <w:sz w:val="24"/>
      <w:szCs w:val="24"/>
    </w:rPr>
  </w:style>
  <w:style w:type="character" w:customStyle="1" w:styleId="37">
    <w:name w:val="正文文本 Char"/>
    <w:basedOn w:val="21"/>
    <w:link w:val="8"/>
    <w:qFormat/>
    <w:uiPriority w:val="0"/>
    <w:rPr>
      <w:kern w:val="2"/>
      <w:sz w:val="21"/>
      <w:szCs w:val="24"/>
    </w:rPr>
  </w:style>
  <w:style w:type="paragraph" w:styleId="38">
    <w:name w:val="List Paragraph"/>
    <w:basedOn w:val="1"/>
    <w:qFormat/>
    <w:uiPriority w:val="34"/>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Char"/>
    <w:link w:val="10"/>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5">
    <w:name w:val="批注框文本 Char"/>
    <w:basedOn w:val="21"/>
    <w:link w:val="13"/>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4EF36-69D3-4AFC-9DC2-C922DA49280F}">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12</Pages>
  <Words>3781</Words>
  <Characters>4166</Characters>
  <Lines>27</Lines>
  <Paragraphs>7</Paragraphs>
  <TotalTime>0</TotalTime>
  <ScaleCrop>false</ScaleCrop>
  <LinksUpToDate>false</LinksUpToDate>
  <CharactersWithSpaces>4775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2025-09-25T06:00:00Z</dcterms:created>
  <dc:creator>china</dc:creator>
  <cp:lastModifiedBy>JZN</cp:lastModifiedBy>
  <cp:lastPrinted>2020-08-24T02:17:00Z</cp:lastPrinted>
  <dcterms:modified xsi:type="dcterms:W3CDTF">2025-10-27T01:06:08Z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3D40069C9F4A4E8FA4BC3F370C5E959A_13</vt:lpwstr>
  </property>
  <property fmtid="{D5CDD505-2E9C-101B-9397-08002B2CF9AE}" pid="4" name="KSOTemplateDocerSaveRecord">
    <vt:lpwstr>eyJoZGlkIjoiMjJhZGZiZjJhY2NiOGVhYTQwNTgwYWJhZWU2OTMwNzgiLCJ1c2VySWQiOiI3NDEzMDExNDYifQ==</vt:lpwstr>
  </property>
</Properties>
</file>