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1"/>
        <w:ind w:firstLine="320" w:firstLineChars="100"/>
        <w:jc w:val="both"/>
        <w:rPr>
          <w:rFonts w:hint="eastAsia" w:ascii="黑体" w:hAnsi="黑体" w:eastAsia="黑体" w:cs="Times New Roman"/>
          <w:kern w:val="0"/>
          <w:sz w:val="32"/>
          <w:szCs w:val="32"/>
        </w:rPr>
      </w:pPr>
      <w:r>
        <w:rPr>
          <w:rFonts w:ascii="黑体" w:hAnsi="黑体" w:eastAsia="黑体"/>
          <w:sz w:val="32"/>
          <w:szCs w:val="32"/>
        </w:rPr>
        <w:t>采购项目名称：</w:t>
      </w:r>
      <w:r>
        <w:rPr>
          <w:rFonts w:hint="eastAsia" w:ascii="黑体" w:hAnsi="黑体" w:eastAsia="黑体"/>
          <w:sz w:val="32"/>
          <w:szCs w:val="32"/>
        </w:rPr>
        <w:t>田心南校区房屋结构安全性鉴定检测</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八</w:t>
      </w:r>
      <w:r>
        <w:rPr>
          <w:rFonts w:ascii="黑体" w:hAnsi="黑体" w:eastAsia="黑体"/>
          <w:sz w:val="32"/>
          <w:szCs w:val="32"/>
        </w:rPr>
        <w:t>月</w:t>
      </w:r>
    </w:p>
    <w:p w14:paraId="3FD890A2">
      <w:pPr>
        <w:pStyle w:val="16"/>
      </w:pPr>
    </w:p>
    <w:p w14:paraId="40E4DFFA">
      <w:pPr>
        <w:pStyle w:val="16"/>
        <w:rPr>
          <w:szCs w:val="22"/>
        </w:rPr>
      </w:pPr>
    </w:p>
    <w:p w14:paraId="6EAB8857">
      <w:pPr>
        <w:jc w:val="center"/>
        <w:outlineLvl w:val="0"/>
        <w:rPr>
          <w:rFonts w:hint="eastAsia" w:ascii="黑体" w:hAnsi="黑体" w:eastAsia="黑体" w:cs="宋体"/>
          <w:b/>
          <w:bCs/>
          <w:color w:val="000000"/>
          <w:spacing w:val="0"/>
          <w:kern w:val="36"/>
          <w:sz w:val="36"/>
          <w:szCs w:val="36"/>
        </w:rPr>
      </w:pPr>
      <w:r>
        <w:rPr>
          <w:rFonts w:hint="eastAsia" w:ascii="黑体" w:hAnsi="黑体" w:eastAsia="黑体"/>
          <w:b/>
          <w:spacing w:val="0"/>
          <w:sz w:val="36"/>
          <w:szCs w:val="36"/>
        </w:rPr>
        <w:t>湖南铁道职业技术学院田心南校区房屋结构安全性鉴定检测项目</w:t>
      </w:r>
      <w:r>
        <w:rPr>
          <w:rFonts w:hint="eastAsia" w:ascii="黑体" w:hAnsi="黑体" w:eastAsia="黑体"/>
          <w:b/>
          <w:spacing w:val="0"/>
          <w:sz w:val="36"/>
          <w:szCs w:val="36"/>
          <w:u w:val="none"/>
        </w:rPr>
        <w:t>询比</w:t>
      </w:r>
      <w:r>
        <w:rPr>
          <w:rFonts w:ascii="黑体" w:hAnsi="黑体" w:eastAsia="黑体" w:cs="宋体"/>
          <w:b/>
          <w:bCs/>
          <w:color w:val="000000"/>
          <w:spacing w:val="0"/>
          <w:kern w:val="36"/>
          <w:sz w:val="36"/>
          <w:szCs w:val="36"/>
          <w:u w:val="none"/>
        </w:rPr>
        <w:t>采购</w:t>
      </w:r>
      <w:r>
        <w:rPr>
          <w:rFonts w:hint="eastAsia" w:ascii="黑体" w:hAnsi="黑体" w:eastAsia="黑体" w:cs="宋体"/>
          <w:b/>
          <w:bCs/>
          <w:color w:val="000000"/>
          <w:spacing w:val="0"/>
          <w:kern w:val="36"/>
          <w:sz w:val="36"/>
          <w:szCs w:val="36"/>
          <w:u w:val="none"/>
        </w:rPr>
        <w:t>公告</w:t>
      </w:r>
    </w:p>
    <w:p w14:paraId="60858A19">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sz w:val="24"/>
          <w:szCs w:val="24"/>
          <w:u w:val="none"/>
        </w:rPr>
        <w:t>田心南校区房屋结构安全性鉴定检测</w:t>
      </w:r>
      <w:r>
        <w:rPr>
          <w:rFonts w:hint="eastAsia" w:ascii="仿宋" w:hAnsi="仿宋" w:eastAsia="仿宋"/>
          <w:sz w:val="24"/>
          <w:szCs w:val="24"/>
          <w:u w:val="none"/>
          <w:lang w:val="en-US" w:eastAsia="zh-CN"/>
        </w:rPr>
        <w:t>项目</w:t>
      </w:r>
      <w:r>
        <w:rPr>
          <w:rFonts w:hint="eastAsia" w:ascii="仿宋" w:hAnsi="仿宋" w:eastAsia="仿宋" w:cs="Times New Roman"/>
          <w:sz w:val="24"/>
          <w:szCs w:val="24"/>
          <w:u w:val="none"/>
          <w:lang w:val="en-US" w:eastAsia="zh-CN"/>
        </w:rPr>
        <w:t>需进行采</w:t>
      </w:r>
      <w:r>
        <w:rPr>
          <w:rFonts w:hint="eastAsia" w:ascii="仿宋" w:hAnsi="仿宋" w:eastAsia="仿宋"/>
          <w:sz w:val="24"/>
          <w:szCs w:val="24"/>
        </w:rPr>
        <w:t>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4659"/>
      <w:bookmarkStart w:id="2" w:name="_Toc3564"/>
      <w:bookmarkStart w:id="3" w:name="_Toc31662_WPSOffice_Level2"/>
      <w:bookmarkStart w:id="4" w:name="_Toc26475"/>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06115715">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1.项目名称：</w:t>
      </w:r>
      <w:r>
        <w:rPr>
          <w:rFonts w:hint="eastAsia" w:ascii="仿宋" w:hAnsi="仿宋" w:eastAsia="仿宋"/>
          <w:sz w:val="24"/>
          <w:szCs w:val="24"/>
          <w:u w:val="none"/>
        </w:rPr>
        <w:t>田心南校区房屋结构安全性鉴定检测</w:t>
      </w:r>
    </w:p>
    <w:p w14:paraId="64B85129">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 xml:space="preserve">2.项目概况: </w:t>
      </w:r>
      <w:r>
        <w:rPr>
          <w:rFonts w:hint="eastAsia" w:ascii="仿宋" w:hAnsi="仿宋" w:eastAsia="仿宋"/>
          <w:sz w:val="24"/>
          <w:szCs w:val="24"/>
          <w:lang w:eastAsia="zh-CN"/>
        </w:rPr>
        <w:t>我</w:t>
      </w:r>
      <w:r>
        <w:rPr>
          <w:rFonts w:hint="eastAsia" w:ascii="仿宋" w:hAnsi="仿宋" w:eastAsia="仿宋"/>
          <w:sz w:val="24"/>
          <w:szCs w:val="24"/>
          <w:lang w:val="en-US" w:eastAsia="zh-CN"/>
        </w:rPr>
        <w:t>校田心南校区5号宿舍楼、9号宿舍楼和食堂原始资料及图纸缺失，进行消防改造设计；需对其进行房屋结构安全性鉴定。</w:t>
      </w:r>
    </w:p>
    <w:p w14:paraId="3CA2240F">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p>
    <w:p w14:paraId="17693336">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sz w:val="24"/>
          <w:szCs w:val="24"/>
        </w:rPr>
        <w:t>（1）</w:t>
      </w:r>
      <w:r>
        <w:rPr>
          <w:rFonts w:hint="eastAsia" w:ascii="仿宋" w:hAnsi="仿宋" w:eastAsia="仿宋" w:cs="Times New Roman"/>
          <w:kern w:val="2"/>
          <w:sz w:val="24"/>
          <w:szCs w:val="24"/>
          <w:lang w:val="en-US" w:eastAsia="zh-CN" w:bidi="ar-SA"/>
        </w:rPr>
        <w:t>对田心南校区5号宿舍楼、9号宿舍楼和食堂进行房屋结构安全性鉴定，包括现场勘查、检测、分析评估等工作。</w:t>
      </w:r>
    </w:p>
    <w:p w14:paraId="66FE102B">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sz w:val="24"/>
          <w:szCs w:val="24"/>
        </w:rPr>
        <w:t>（1）</w:t>
      </w:r>
      <w:r>
        <w:rPr>
          <w:rFonts w:hint="eastAsia" w:ascii="仿宋" w:hAnsi="仿宋" w:eastAsia="仿宋" w:cs="Times New Roman"/>
          <w:kern w:val="2"/>
          <w:sz w:val="24"/>
          <w:szCs w:val="24"/>
          <w:lang w:val="en-US" w:eastAsia="zh-CN" w:bidi="ar-SA"/>
        </w:rPr>
        <w:t>编制房屋结构安全性鉴定报告，报告需符合国家相关标准和规范要求，明确房屋结构的安全性等级及存在的相关安全问题。</w:t>
      </w:r>
    </w:p>
    <w:p w14:paraId="71947C1A">
      <w:pPr>
        <w:pStyle w:val="16"/>
        <w:snapToGrid w:val="0"/>
        <w:spacing w:before="0" w:beforeAutospacing="0" w:after="0" w:line="360" w:lineRule="auto"/>
        <w:ind w:left="0" w:leftChars="0" w:firstLine="480" w:firstLineChars="200"/>
        <w:jc w:val="left"/>
        <w:rPr>
          <w:rFonts w:hint="eastAsia" w:ascii="仿宋" w:hAnsi="仿宋" w:eastAsia="仿宋" w:cs="Times New Roman"/>
          <w:sz w:val="24"/>
          <w:szCs w:val="24"/>
          <w:u w:val="none"/>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lang w:val="en-US" w:eastAsia="zh-CN"/>
        </w:rPr>
        <w:t>110890.00元</w:t>
      </w:r>
      <w:r>
        <w:rPr>
          <w:rFonts w:hint="eastAsia" w:ascii="仿宋" w:hAnsi="仿宋" w:eastAsia="仿宋" w:cs="Times New Roman"/>
          <w:sz w:val="24"/>
          <w:szCs w:val="24"/>
          <w:u w:val="none"/>
          <w:lang w:val="en-US" w:eastAsia="zh-CN"/>
        </w:rPr>
        <w:t>。</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0ED1AE26">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bookmarkStart w:id="5" w:name="_Toc58335831"/>
      <w:r>
        <w:rPr>
          <w:rFonts w:hint="eastAsia" w:ascii="仿宋" w:hAnsi="仿宋" w:eastAsia="仿宋"/>
          <w:sz w:val="24"/>
          <w:szCs w:val="24"/>
        </w:rPr>
        <w:t>1</w:t>
      </w:r>
      <w:r>
        <w:rPr>
          <w:rFonts w:hint="eastAsia" w:ascii="仿宋" w:hAnsi="仿宋" w:eastAsia="仿宋"/>
          <w:sz w:val="24"/>
          <w:szCs w:val="24"/>
          <w:lang w:eastAsia="zh-CN"/>
        </w:rPr>
        <w:t>.</w:t>
      </w:r>
      <w:r>
        <w:rPr>
          <w:rFonts w:hint="eastAsia" w:ascii="仿宋" w:hAnsi="仿宋" w:eastAsia="仿宋"/>
          <w:sz w:val="24"/>
          <w:szCs w:val="24"/>
        </w:rPr>
        <w:t>基本资格条件：供应商必须是在中华人民共和国境内注册登记的法人、其他组织或者自然人，且应当符合下列规定，即：</w:t>
      </w:r>
    </w:p>
    <w:p w14:paraId="3089E62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446C8FF6">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1F1419B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542ACC88">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02F7192">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EED842C">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（6）法律、行政法规规定的其他条件。</w:t>
      </w:r>
    </w:p>
    <w:p w14:paraId="1EBECD5A">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rPr>
        <w:t>2</w:t>
      </w:r>
      <w:r>
        <w:rPr>
          <w:rFonts w:hint="eastAsia" w:ascii="仿宋" w:hAnsi="仿宋" w:eastAsia="仿宋"/>
          <w:sz w:val="24"/>
          <w:szCs w:val="24"/>
          <w:u w:val="none"/>
          <w:lang w:eastAsia="zh-CN"/>
        </w:rPr>
        <w:t>.</w:t>
      </w:r>
      <w:r>
        <w:rPr>
          <w:rFonts w:hint="eastAsia" w:ascii="仿宋" w:hAnsi="仿宋" w:eastAsia="仿宋"/>
          <w:sz w:val="24"/>
          <w:szCs w:val="24"/>
          <w:u w:val="none"/>
        </w:rPr>
        <w:t>特定资格条件：供应商具有建设行政主管部门颁发的《建设工程质量检测机构资质证书》综合资质或专项资质（</w:t>
      </w:r>
      <w:r>
        <w:rPr>
          <w:rFonts w:hint="eastAsia" w:ascii="仿宋" w:hAnsi="仿宋" w:eastAsia="仿宋"/>
          <w:sz w:val="24"/>
          <w:szCs w:val="24"/>
          <w:u w:val="none"/>
          <w:lang w:val="en-US" w:eastAsia="zh-CN"/>
        </w:rPr>
        <w:t>检测范围</w:t>
      </w:r>
      <w:r>
        <w:rPr>
          <w:rFonts w:hint="eastAsia" w:ascii="仿宋" w:hAnsi="仿宋" w:eastAsia="仿宋"/>
          <w:sz w:val="24"/>
          <w:szCs w:val="24"/>
          <w:u w:val="none"/>
        </w:rPr>
        <w:t>含建筑材料及构配件、主体结构及装饰装修、地基基础），资质证书处于有效期内。若已通过省级及以上住房城乡建设行政主管部门审批公示，但新证尚未发放的，可出具相关行政主管部门的网站查询通过公示截图或核准证明资料。</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w:t>
      </w:r>
      <w:r>
        <w:rPr>
          <w:rFonts w:hint="eastAsia" w:ascii="仿宋" w:hAnsi="仿宋" w:eastAsia="仿宋"/>
          <w:sz w:val="24"/>
          <w:szCs w:val="24"/>
          <w:u w:val="none"/>
        </w:rPr>
        <w:t>提交截止时间：202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8</w:t>
      </w:r>
      <w:r>
        <w:rPr>
          <w:rFonts w:hint="eastAsia" w:ascii="仿宋" w:hAnsi="仿宋" w:eastAsia="仿宋"/>
          <w:sz w:val="24"/>
          <w:szCs w:val="24"/>
          <w:u w:val="none"/>
        </w:rPr>
        <w:t>月</w:t>
      </w:r>
      <w:r>
        <w:rPr>
          <w:rFonts w:hint="eastAsia" w:ascii="仿宋" w:hAnsi="仿宋" w:eastAsia="仿宋"/>
          <w:sz w:val="24"/>
          <w:szCs w:val="24"/>
          <w:u w:val="none"/>
          <w:lang w:val="en-US" w:eastAsia="zh-CN"/>
        </w:rPr>
        <w:t>20</w:t>
      </w:r>
      <w:r>
        <w:rPr>
          <w:rFonts w:hint="eastAsia" w:ascii="仿宋" w:hAnsi="仿宋" w:eastAsia="仿宋"/>
          <w:sz w:val="24"/>
          <w:szCs w:val="24"/>
          <w:u w:val="none"/>
        </w:rPr>
        <w:t>日</w:t>
      </w:r>
      <w:r>
        <w:rPr>
          <w:rFonts w:hint="eastAsia" w:ascii="仿宋" w:hAnsi="仿宋" w:eastAsia="仿宋"/>
          <w:sz w:val="24"/>
          <w:szCs w:val="24"/>
          <w:u w:val="none"/>
          <w:lang w:val="en-US" w:eastAsia="zh-CN"/>
        </w:rPr>
        <w:t>9：30分</w:t>
      </w:r>
    </w:p>
    <w:p w14:paraId="5E10138D">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rPr>
        <w:t>2．首次响应文件的开启时间：202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8</w:t>
      </w:r>
      <w:r>
        <w:rPr>
          <w:rFonts w:hint="eastAsia" w:ascii="仿宋" w:hAnsi="仿宋" w:eastAsia="仿宋"/>
          <w:sz w:val="24"/>
          <w:szCs w:val="24"/>
          <w:u w:val="none"/>
        </w:rPr>
        <w:t>月</w:t>
      </w:r>
      <w:r>
        <w:rPr>
          <w:rFonts w:hint="eastAsia" w:ascii="仿宋" w:hAnsi="仿宋" w:eastAsia="仿宋"/>
          <w:sz w:val="24"/>
          <w:szCs w:val="24"/>
          <w:u w:val="none"/>
          <w:lang w:val="en-US" w:eastAsia="zh-CN"/>
        </w:rPr>
        <w:t>20</w:t>
      </w:r>
      <w:r>
        <w:rPr>
          <w:rFonts w:hint="eastAsia" w:ascii="仿宋" w:hAnsi="仿宋" w:eastAsia="仿宋"/>
          <w:sz w:val="24"/>
          <w:szCs w:val="24"/>
          <w:u w:val="none"/>
        </w:rPr>
        <w:t>日</w:t>
      </w:r>
      <w:r>
        <w:rPr>
          <w:rFonts w:hint="eastAsia" w:ascii="仿宋" w:hAnsi="仿宋" w:eastAsia="仿宋"/>
          <w:sz w:val="24"/>
          <w:szCs w:val="24"/>
          <w:u w:val="none"/>
          <w:lang w:val="en-US" w:eastAsia="zh-CN"/>
        </w:rPr>
        <w:t>9：30分</w:t>
      </w:r>
    </w:p>
    <w:p w14:paraId="63DB6ACB">
      <w:pPr>
        <w:pStyle w:val="16"/>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1．采购项目</w:t>
      </w:r>
      <w:r>
        <w:rPr>
          <w:rFonts w:hint="eastAsia" w:ascii="仿宋" w:hAnsi="仿宋" w:eastAsia="仿宋" w:cstheme="minorEastAsia"/>
          <w:sz w:val="24"/>
          <w:szCs w:val="24"/>
          <w:lang w:val="en-US" w:eastAsia="zh-CN"/>
        </w:rPr>
        <w:t>联系人和电话</w:t>
      </w:r>
    </w:p>
    <w:p w14:paraId="40821AA5">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杨老师</w:t>
      </w:r>
    </w:p>
    <w:p w14:paraId="00A9E66B">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rPr>
        <w:t>电 话：</w:t>
      </w:r>
      <w:bookmarkStart w:id="9" w:name="_Hlk186731053"/>
      <w:r>
        <w:rPr>
          <w:rFonts w:hint="eastAsia" w:ascii="仿宋" w:hAnsi="仿宋" w:eastAsia="仿宋" w:cstheme="minorEastAsia"/>
          <w:sz w:val="24"/>
          <w:szCs w:val="24"/>
        </w:rPr>
        <w:t>0731-</w:t>
      </w:r>
      <w:bookmarkEnd w:id="9"/>
      <w:r>
        <w:rPr>
          <w:rFonts w:hint="eastAsia" w:ascii="仿宋" w:hAnsi="仿宋" w:eastAsia="仿宋" w:cstheme="minorEastAsia"/>
          <w:sz w:val="24"/>
          <w:szCs w:val="24"/>
        </w:rPr>
        <w:t>22783</w:t>
      </w:r>
      <w:r>
        <w:rPr>
          <w:rFonts w:hint="eastAsia" w:ascii="仿宋" w:hAnsi="仿宋" w:eastAsia="仿宋" w:cstheme="minorEastAsia"/>
          <w:sz w:val="24"/>
          <w:szCs w:val="24"/>
          <w:lang w:val="en-US" w:eastAsia="zh-CN"/>
        </w:rPr>
        <w:t>881</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60F688E4">
      <w:pPr>
        <w:pStyle w:val="14"/>
        <w:keepNext w:val="0"/>
        <w:keepLines w:val="0"/>
        <w:widowControl/>
        <w:suppressLineNumbers w:val="0"/>
        <w:spacing w:before="0" w:beforeAutospacing="0" w:after="0" w:afterAutospacing="0"/>
        <w:ind w:left="0" w:firstLine="480" w:firstLineChars="200"/>
        <w:jc w:val="left"/>
      </w:pPr>
      <w:r>
        <w:rPr>
          <w:rFonts w:hint="eastAsia" w:ascii="仿宋" w:hAnsi="仿宋" w:eastAsia="仿宋" w:cstheme="minorEastAsia"/>
          <w:sz w:val="24"/>
          <w:szCs w:val="24"/>
        </w:rPr>
        <w:t>地 址：</w:t>
      </w:r>
      <w:r>
        <w:rPr>
          <w:rFonts w:ascii="仿宋" w:hAnsi="仿宋" w:eastAsia="仿宋" w:cs="仿宋"/>
          <w:sz w:val="24"/>
          <w:szCs w:val="24"/>
        </w:rPr>
        <w:t>株洲市石峰区智慧路1号</w:t>
      </w:r>
    </w:p>
    <w:p w14:paraId="572EC4D3">
      <w:pPr>
        <w:ind w:firstLine="480" w:firstLineChars="200"/>
        <w:rPr>
          <w:rFonts w:hint="eastAsia" w:ascii="仿宋" w:hAnsi="仿宋" w:eastAsia="仿宋" w:cstheme="minorEastAsia"/>
          <w:sz w:val="24"/>
          <w:szCs w:val="24"/>
        </w:rPr>
      </w:pPr>
    </w:p>
    <w:p w14:paraId="22F3A15E">
      <w:pPr>
        <w:pStyle w:val="16"/>
      </w:pPr>
    </w:p>
    <w:p w14:paraId="42402AF4"/>
    <w:p w14:paraId="06CBF053">
      <w:pPr>
        <w:pStyle w:val="16"/>
      </w:pPr>
    </w:p>
    <w:p w14:paraId="0617B9A7"/>
    <w:p w14:paraId="4FFDF357">
      <w:pPr>
        <w:pStyle w:val="16"/>
      </w:pPr>
    </w:p>
    <w:p w14:paraId="5EE97DA2">
      <w:pPr>
        <w:pStyle w:val="16"/>
        <w:ind w:left="0" w:leftChars="0" w:firstLine="0"/>
        <w:rPr>
          <w:szCs w:val="22"/>
        </w:rPr>
      </w:pPr>
    </w:p>
    <w:p w14:paraId="102C28AC"/>
    <w:p w14:paraId="167C6777">
      <w:pPr>
        <w:pStyle w:val="9"/>
        <w:rPr>
          <w:szCs w:val="22"/>
        </w:rPr>
      </w:pPr>
    </w:p>
    <w:p w14:paraId="333CFB95"/>
    <w:p w14:paraId="611302C1">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2ADB499D">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cs="仿宋"/>
          <w:color w:val="333333"/>
          <w:kern w:val="0"/>
          <w:sz w:val="24"/>
          <w:szCs w:val="24"/>
        </w:rPr>
        <w:t>1</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项目名称：</w:t>
      </w:r>
      <w:r>
        <w:rPr>
          <w:rFonts w:hint="eastAsia" w:ascii="仿宋" w:hAnsi="仿宋" w:eastAsia="仿宋"/>
          <w:sz w:val="24"/>
          <w:szCs w:val="24"/>
          <w:u w:val="none"/>
        </w:rPr>
        <w:t>田心南校区房屋结构安全性鉴定检测</w:t>
      </w:r>
    </w:p>
    <w:p w14:paraId="4D233DB1">
      <w:pPr>
        <w:pStyle w:val="16"/>
        <w:snapToGrid w:val="0"/>
        <w:spacing w:before="0" w:beforeAutospacing="0" w:after="0" w:line="360" w:lineRule="auto"/>
        <w:ind w:left="0" w:leftChars="0" w:firstLine="480" w:firstLineChars="200"/>
        <w:jc w:val="left"/>
        <w:rPr>
          <w:rFonts w:hint="eastAsia" w:ascii="仿宋" w:hAnsi="仿宋" w:eastAsia="仿宋" w:cs="仿宋"/>
          <w:color w:val="333333"/>
          <w:kern w:val="0"/>
          <w:sz w:val="24"/>
          <w:szCs w:val="24"/>
        </w:rPr>
      </w:pPr>
      <w:r>
        <w:rPr>
          <w:rFonts w:hint="eastAsia" w:ascii="仿宋" w:hAnsi="仿宋" w:eastAsia="仿宋"/>
          <w:sz w:val="24"/>
          <w:szCs w:val="24"/>
        </w:rPr>
        <w:t>2.项目概况:</w:t>
      </w:r>
      <w:r>
        <w:rPr>
          <w:rFonts w:hint="eastAsia" w:ascii="仿宋" w:hAnsi="仿宋" w:eastAsia="仿宋"/>
          <w:sz w:val="24"/>
          <w:szCs w:val="24"/>
          <w:lang w:eastAsia="zh-CN"/>
        </w:rPr>
        <w:t>我</w:t>
      </w:r>
      <w:r>
        <w:rPr>
          <w:rFonts w:hint="eastAsia" w:ascii="仿宋" w:hAnsi="仿宋" w:eastAsia="仿宋"/>
          <w:sz w:val="24"/>
          <w:szCs w:val="24"/>
          <w:lang w:val="en-US" w:eastAsia="zh-CN"/>
        </w:rPr>
        <w:t>校田心南校区5号宿舍楼、9号宿舍楼和食堂原始资料及图纸缺失，进行消防改造设计；需对其进行房屋结构安全性鉴定。5号宿舍建筑面积约为1700㎡、9号宿舍楼和食堂建筑面积约为9389㎡。</w:t>
      </w:r>
    </w:p>
    <w:p w14:paraId="1E871BE2">
      <w:pPr>
        <w:pStyle w:val="42"/>
        <w:adjustRightInd w:val="0"/>
        <w:snapToGrid w:val="0"/>
        <w:spacing w:line="360" w:lineRule="auto"/>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3.</w:t>
      </w:r>
      <w:r>
        <w:rPr>
          <w:rFonts w:hint="eastAsia" w:ascii="仿宋" w:hAnsi="仿宋" w:eastAsia="仿宋" w:cs="仿宋"/>
          <w:color w:val="333333"/>
          <w:kern w:val="0"/>
          <w:sz w:val="24"/>
          <w:szCs w:val="24"/>
        </w:rPr>
        <w:t>服务期限：</w:t>
      </w:r>
      <w:r>
        <w:rPr>
          <w:rFonts w:hint="eastAsia" w:ascii="仿宋" w:hAnsi="仿宋" w:eastAsia="仿宋" w:cs="仿宋"/>
          <w:color w:val="333333"/>
          <w:kern w:val="0"/>
          <w:sz w:val="24"/>
          <w:szCs w:val="24"/>
          <w:highlight w:val="none"/>
          <w:lang w:val="en-US" w:eastAsia="zh-CN"/>
        </w:rPr>
        <w:t>15个日历天</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w:t>
      </w:r>
      <w:r>
        <w:rPr>
          <w:rFonts w:hint="eastAsia" w:ascii="仿宋" w:hAnsi="仿宋" w:eastAsia="仿宋" w:cstheme="minorEastAsia"/>
          <w:b/>
          <w:sz w:val="24"/>
          <w:szCs w:val="24"/>
          <w:lang w:val="en-US" w:eastAsia="zh-CN"/>
        </w:rPr>
        <w:t>服务</w:t>
      </w:r>
      <w:r>
        <w:rPr>
          <w:rFonts w:hint="eastAsia" w:ascii="仿宋" w:hAnsi="仿宋" w:eastAsia="仿宋" w:cstheme="minorEastAsia"/>
          <w:b/>
          <w:sz w:val="24"/>
          <w:szCs w:val="24"/>
        </w:rPr>
        <w:t>内容及要求</w:t>
      </w:r>
    </w:p>
    <w:p w14:paraId="0D14CC74">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1、对田心南校区5号宿舍楼、9号宿舍楼和食堂进行房屋结构安全性鉴定，包括现场勘查、检测、分析评估等工作。</w:t>
      </w:r>
    </w:p>
    <w:p w14:paraId="672C5D60">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2、编制房屋结构安全性鉴定报告，报告需符合国家相关标准和规范要求，明确房屋结构的安全性等级及存在的相关安全问题。</w:t>
      </w:r>
    </w:p>
    <w:p w14:paraId="33E3825F">
      <w:pPr>
        <w:numPr>
          <w:ilvl w:val="0"/>
          <w:numId w:val="1"/>
        </w:num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383EDE9D">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1.鉴定工作应严格遵循国家相关标准和规范，确保检测数据的准确性和可靠性。</w:t>
      </w:r>
    </w:p>
    <w:p w14:paraId="6D30D936">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2.鉴定报告内容应完整、清晰，包括房屋结构的基本情况、检测数据、分析评估结果、安全性等级及建议等。</w:t>
      </w:r>
    </w:p>
    <w:p w14:paraId="4F127895">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3、服务人员应具备相应的专业资质和经验，能够熟练操作检测设备，准确判断房屋结构的安全状况。</w:t>
      </w:r>
    </w:p>
    <w:p w14:paraId="5B6D17D6">
      <w:pPr>
        <w:numPr>
          <w:ilvl w:val="0"/>
          <w:numId w:val="2"/>
        </w:num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31562608">
      <w:pPr>
        <w:adjustRightInd w:val="0"/>
        <w:snapToGrid w:val="0"/>
        <w:spacing w:line="360" w:lineRule="auto"/>
        <w:ind w:firstLine="480" w:firstLineChars="200"/>
        <w:rPr>
          <w:rFonts w:hint="eastAsia" w:ascii="仿宋" w:hAnsi="仿宋" w:eastAsia="仿宋"/>
          <w:sz w:val="24"/>
          <w:szCs w:val="24"/>
          <w:u w:val="none"/>
          <w:lang w:eastAsia="zh-CN"/>
        </w:rPr>
      </w:pPr>
      <w:r>
        <w:rPr>
          <w:rFonts w:hint="eastAsia" w:ascii="仿宋" w:hAnsi="仿宋" w:eastAsia="仿宋"/>
          <w:sz w:val="24"/>
          <w:szCs w:val="24"/>
          <w:u w:val="none"/>
          <w:lang w:eastAsia="zh-CN"/>
        </w:rPr>
        <w:t>1、鉴定报告的完整性和准确性：报告内容是否涵盖所有必要的检测数据和信息，分析评估是否合理，结论是否明确。</w:t>
      </w:r>
    </w:p>
    <w:p w14:paraId="07070A75">
      <w:pPr>
        <w:adjustRightInd w:val="0"/>
        <w:snapToGrid w:val="0"/>
        <w:spacing w:line="360" w:lineRule="auto"/>
        <w:ind w:firstLine="480" w:firstLineChars="200"/>
        <w:rPr>
          <w:rFonts w:hint="eastAsia" w:ascii="仿宋" w:hAnsi="仿宋" w:eastAsia="仿宋"/>
          <w:sz w:val="24"/>
          <w:szCs w:val="24"/>
          <w:u w:val="none"/>
          <w:lang w:eastAsia="zh-CN"/>
        </w:rPr>
      </w:pPr>
      <w:r>
        <w:rPr>
          <w:rFonts w:hint="eastAsia" w:ascii="仿宋" w:hAnsi="仿宋" w:eastAsia="仿宋"/>
          <w:sz w:val="24"/>
          <w:szCs w:val="24"/>
          <w:u w:val="none"/>
          <w:lang w:eastAsia="zh-CN"/>
        </w:rPr>
        <w:t>2、检测数据的可靠性：检测设备是否经过校准，检测方法是否符合标准，数据记录是否真实、完整。</w:t>
      </w:r>
    </w:p>
    <w:p w14:paraId="6582DA2F">
      <w:pPr>
        <w:adjustRightInd w:val="0"/>
        <w:snapToGrid w:val="0"/>
        <w:spacing w:line="360" w:lineRule="auto"/>
        <w:ind w:firstLine="480" w:firstLineChars="200"/>
        <w:rPr>
          <w:rFonts w:hint="eastAsia" w:ascii="仿宋" w:hAnsi="仿宋" w:eastAsia="仿宋"/>
          <w:sz w:val="24"/>
          <w:szCs w:val="24"/>
          <w:u w:val="none"/>
          <w:lang w:eastAsia="zh-CN"/>
        </w:rPr>
      </w:pPr>
      <w:r>
        <w:rPr>
          <w:rFonts w:hint="eastAsia" w:ascii="仿宋" w:hAnsi="仿宋" w:eastAsia="仿宋"/>
          <w:sz w:val="24"/>
          <w:szCs w:val="24"/>
          <w:u w:val="none"/>
          <w:lang w:eastAsia="zh-CN"/>
        </w:rPr>
        <w:t>3、服务人员的专业水平：服务人员是否具备相应的资质和经验，能否准确解答学校提出的问题。</w:t>
      </w:r>
    </w:p>
    <w:p w14:paraId="0C592455">
      <w:pPr>
        <w:adjustRightInd w:val="0"/>
        <w:snapToGrid w:val="0"/>
        <w:spacing w:line="360" w:lineRule="auto"/>
        <w:ind w:firstLine="480" w:firstLineChars="200"/>
        <w:rPr>
          <w:rFonts w:hint="eastAsia" w:ascii="仿宋" w:hAnsi="仿宋" w:eastAsia="仿宋"/>
          <w:sz w:val="24"/>
          <w:szCs w:val="24"/>
          <w:u w:val="none"/>
          <w:lang w:eastAsia="zh-CN"/>
        </w:rPr>
      </w:pPr>
      <w:r>
        <w:rPr>
          <w:rFonts w:hint="eastAsia" w:ascii="仿宋" w:hAnsi="仿宋" w:eastAsia="仿宋"/>
          <w:sz w:val="24"/>
          <w:szCs w:val="24"/>
          <w:u w:val="none"/>
          <w:lang w:eastAsia="zh-CN"/>
        </w:rPr>
        <w:t>4、服务过程的规范性：是否遵守学校的相关规定，现场作业是否安全、有序，是否对学校的教学和生活秩序造成影响。</w:t>
      </w:r>
    </w:p>
    <w:p w14:paraId="7C47542F">
      <w:pPr>
        <w:adjustRightInd w:val="0"/>
        <w:snapToGrid w:val="0"/>
        <w:spacing w:line="360" w:lineRule="auto"/>
        <w:ind w:firstLine="480" w:firstLineChars="200"/>
        <w:rPr>
          <w:rFonts w:hint="default" w:ascii="仿宋" w:hAnsi="仿宋" w:eastAsia="仿宋"/>
          <w:sz w:val="24"/>
          <w:szCs w:val="24"/>
          <w:u w:val="none"/>
          <w:lang w:val="en-US" w:eastAsia="zh-CN"/>
        </w:rPr>
      </w:pPr>
      <w:r>
        <w:rPr>
          <w:rFonts w:hint="eastAsia" w:ascii="仿宋" w:hAnsi="仿宋" w:eastAsia="仿宋"/>
          <w:sz w:val="24"/>
          <w:szCs w:val="24"/>
          <w:u w:val="none"/>
          <w:lang w:val="en-US" w:eastAsia="zh-CN"/>
        </w:rPr>
        <w:t>5、服务过程中发生安全事故由成交供应商自行承担，成交供应商不得对采购人或第三方财物造成损失，否则按原价赔偿；不得影响其他项目的顺利进行，否则按违约处理。</w:t>
      </w:r>
    </w:p>
    <w:p w14:paraId="41A0410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五、</w:t>
      </w:r>
      <w:r>
        <w:rPr>
          <w:rFonts w:hint="eastAsia" w:ascii="仿宋" w:hAnsi="仿宋" w:eastAsia="仿宋" w:cstheme="minorEastAsia"/>
          <w:b/>
          <w:sz w:val="24"/>
          <w:szCs w:val="24"/>
        </w:rPr>
        <w:t>投标报价说明</w:t>
      </w:r>
    </w:p>
    <w:p w14:paraId="46524EB2">
      <w:pPr>
        <w:adjustRightInd w:val="0"/>
        <w:snapToGrid w:val="0"/>
        <w:spacing w:line="360" w:lineRule="auto"/>
        <w:ind w:firstLine="480" w:firstLineChars="200"/>
        <w:rPr>
          <w:rFonts w:hint="default" w:ascii="仿宋" w:hAnsi="仿宋" w:eastAsia="仿宋" w:cs="Times New Roman"/>
          <w:sz w:val="24"/>
          <w:szCs w:val="24"/>
          <w:u w:val="none"/>
          <w:lang w:val="en-US" w:eastAsia="zh-CN"/>
        </w:rPr>
      </w:pPr>
      <w:r>
        <w:rPr>
          <w:rFonts w:hint="default" w:ascii="仿宋" w:hAnsi="仿宋" w:eastAsia="仿宋" w:cs="Times New Roman"/>
          <w:sz w:val="24"/>
          <w:szCs w:val="24"/>
          <w:u w:val="none"/>
          <w:lang w:val="en-US" w:eastAsia="zh-CN"/>
        </w:rPr>
        <w:t>本项目报价为一次性报价</w:t>
      </w:r>
      <w:r>
        <w:rPr>
          <w:rFonts w:hint="eastAsia" w:ascii="仿宋" w:hAnsi="仿宋" w:eastAsia="仿宋" w:cs="Times New Roman"/>
          <w:sz w:val="24"/>
          <w:szCs w:val="24"/>
          <w:u w:val="none"/>
          <w:lang w:val="en-US" w:eastAsia="zh-CN"/>
        </w:rPr>
        <w:t>，报价不得高于项目采购预算，否则视为无效报价</w:t>
      </w:r>
      <w:r>
        <w:rPr>
          <w:rFonts w:hint="default" w:ascii="仿宋" w:hAnsi="仿宋" w:eastAsia="仿宋" w:cs="Times New Roman"/>
          <w:sz w:val="24"/>
          <w:szCs w:val="24"/>
          <w:u w:val="none"/>
          <w:lang w:val="en-US" w:eastAsia="zh-CN"/>
        </w:rPr>
        <w:t>。</w:t>
      </w:r>
    </w:p>
    <w:p w14:paraId="7857B15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六</w:t>
      </w:r>
      <w:r>
        <w:rPr>
          <w:rFonts w:hint="eastAsia" w:ascii="仿宋" w:hAnsi="仿宋" w:eastAsia="仿宋" w:cstheme="minorEastAsia"/>
          <w:b/>
          <w:sz w:val="24"/>
          <w:szCs w:val="24"/>
        </w:rPr>
        <w:t>、合同价款和履行合同时间</w:t>
      </w:r>
    </w:p>
    <w:p w14:paraId="1142008D">
      <w:pPr>
        <w:adjustRightInd w:val="0"/>
        <w:snapToGrid w:val="0"/>
        <w:spacing w:line="360" w:lineRule="auto"/>
        <w:ind w:firstLine="480" w:firstLineChars="200"/>
        <w:rPr>
          <w:rFonts w:hint="eastAsia" w:ascii="仿宋" w:hAnsi="仿宋" w:eastAsia="仿宋" w:cs="Times New Roman"/>
          <w:sz w:val="24"/>
          <w:szCs w:val="24"/>
          <w:u w:val="none"/>
          <w:lang w:val="en-US" w:eastAsia="zh-CN"/>
        </w:rPr>
      </w:pPr>
      <w:r>
        <w:rPr>
          <w:rFonts w:hint="eastAsia" w:ascii="仿宋" w:hAnsi="仿宋" w:eastAsia="仿宋" w:cs="Times New Roman"/>
          <w:sz w:val="24"/>
          <w:szCs w:val="24"/>
          <w:u w:val="none"/>
          <w:lang w:val="en-US" w:eastAsia="zh-CN"/>
        </w:rPr>
        <w:t xml:space="preserve"> 本合同为含税总价包干。经评审得分排名第一的供应商为成交供应商，成交供应商收到成交通知后，应在十天内签订合同。</w:t>
      </w:r>
    </w:p>
    <w:p w14:paraId="7579CE81">
      <w:pPr>
        <w:numPr>
          <w:ilvl w:val="0"/>
          <w:numId w:val="0"/>
        </w:numPr>
        <w:snapToGrid w:val="0"/>
        <w:spacing w:line="360" w:lineRule="auto"/>
        <w:ind w:firstLine="482" w:firstLineChars="200"/>
        <w:jc w:val="left"/>
        <w:rPr>
          <w:rFonts w:hint="eastAsia" w:ascii="仿宋" w:hAnsi="仿宋" w:eastAsia="仿宋" w:cstheme="minorEastAsia"/>
          <w:b w:val="0"/>
          <w:bCs/>
          <w:sz w:val="24"/>
          <w:szCs w:val="24"/>
        </w:rPr>
      </w:pPr>
      <w:r>
        <w:rPr>
          <w:rFonts w:hint="eastAsia" w:ascii="仿宋" w:hAnsi="仿宋" w:eastAsia="仿宋" w:cstheme="minorEastAsia"/>
          <w:b/>
          <w:sz w:val="24"/>
          <w:szCs w:val="24"/>
          <w:lang w:val="en-US" w:eastAsia="zh-CN"/>
        </w:rPr>
        <w:t>七、</w:t>
      </w:r>
      <w:r>
        <w:rPr>
          <w:rFonts w:hint="eastAsia" w:ascii="仿宋" w:hAnsi="仿宋" w:eastAsia="仿宋" w:cstheme="minorEastAsia"/>
          <w:b/>
          <w:sz w:val="24"/>
          <w:szCs w:val="24"/>
        </w:rPr>
        <w:t>付款方式</w:t>
      </w:r>
      <w:r>
        <w:rPr>
          <w:rFonts w:hint="eastAsia" w:ascii="仿宋" w:hAnsi="仿宋" w:eastAsia="仿宋" w:cstheme="minorEastAsia"/>
          <w:b/>
          <w:sz w:val="24"/>
          <w:szCs w:val="24"/>
          <w:lang w:eastAsia="zh-CN"/>
        </w:rPr>
        <w:t>：</w:t>
      </w:r>
      <w:r>
        <w:rPr>
          <w:rFonts w:hint="eastAsia" w:ascii="仿宋" w:hAnsi="仿宋" w:eastAsia="仿宋" w:cstheme="minorEastAsia"/>
          <w:b w:val="0"/>
          <w:bCs/>
          <w:sz w:val="24"/>
          <w:szCs w:val="24"/>
          <w:lang w:val="en-US" w:eastAsia="zh-CN"/>
        </w:rPr>
        <w:t>乙方</w:t>
      </w:r>
      <w:r>
        <w:rPr>
          <w:rFonts w:hint="eastAsia" w:ascii="仿宋" w:hAnsi="仿宋" w:eastAsia="仿宋" w:cstheme="minorEastAsia"/>
          <w:b w:val="0"/>
          <w:bCs/>
          <w:sz w:val="24"/>
          <w:szCs w:val="24"/>
        </w:rPr>
        <w:t>提交符合要求的鉴定报告后，</w:t>
      </w:r>
      <w:r>
        <w:rPr>
          <w:rFonts w:hint="eastAsia" w:ascii="仿宋" w:hAnsi="仿宋" w:eastAsia="仿宋" w:cstheme="minorEastAsia"/>
          <w:b w:val="0"/>
          <w:bCs/>
          <w:sz w:val="24"/>
          <w:szCs w:val="24"/>
          <w:lang w:val="en-US" w:eastAsia="zh-CN"/>
        </w:rPr>
        <w:t>甲方</w:t>
      </w:r>
      <w:r>
        <w:rPr>
          <w:rFonts w:hint="eastAsia" w:ascii="仿宋" w:hAnsi="仿宋" w:eastAsia="仿宋" w:cstheme="minorEastAsia"/>
          <w:b w:val="0"/>
          <w:bCs/>
          <w:sz w:val="24"/>
          <w:szCs w:val="24"/>
        </w:rPr>
        <w:t>一次性支付全部款项。</w:t>
      </w:r>
    </w:p>
    <w:p w14:paraId="5CD0FE98">
      <w:pPr>
        <w:numPr>
          <w:ilvl w:val="0"/>
          <w:numId w:val="0"/>
        </w:num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八、</w:t>
      </w:r>
      <w:r>
        <w:rPr>
          <w:rFonts w:hint="eastAsia" w:ascii="仿宋" w:hAnsi="仿宋" w:eastAsia="仿宋" w:cstheme="minorEastAsia"/>
          <w:b/>
          <w:sz w:val="24"/>
          <w:szCs w:val="24"/>
        </w:rPr>
        <w:t>其他事项</w:t>
      </w:r>
    </w:p>
    <w:p w14:paraId="60C75AFD">
      <w:pPr>
        <w:numPr>
          <w:ilvl w:val="0"/>
          <w:numId w:val="0"/>
        </w:numPr>
        <w:snapToGrid w:val="0"/>
        <w:spacing w:line="360" w:lineRule="auto"/>
        <w:ind w:firstLine="720" w:firstLineChars="3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1、禁止转包：供应商若中标，不允许将本项目进行分包或转包。一经发现，采购人有权立即终止</w:t>
      </w:r>
      <w:r>
        <w:rPr>
          <w:rFonts w:hint="eastAsia" w:ascii="仿宋" w:hAnsi="仿宋" w:eastAsia="仿宋" w:cstheme="minorEastAsia"/>
          <w:b w:val="0"/>
          <w:bCs/>
          <w:sz w:val="24"/>
          <w:szCs w:val="24"/>
          <w:lang w:val="en-US" w:eastAsia="zh-CN"/>
        </w:rPr>
        <w:t>合同</w:t>
      </w:r>
      <w:r>
        <w:rPr>
          <w:rFonts w:hint="eastAsia" w:ascii="仿宋" w:hAnsi="仿宋" w:eastAsia="仿宋" w:cstheme="minorEastAsia"/>
          <w:b w:val="0"/>
          <w:bCs/>
          <w:sz w:val="24"/>
          <w:szCs w:val="24"/>
        </w:rPr>
        <w:t>，并追究违约责任。</w:t>
      </w:r>
    </w:p>
    <w:p w14:paraId="610AF455">
      <w:pPr>
        <w:numPr>
          <w:ilvl w:val="0"/>
          <w:numId w:val="0"/>
        </w:numPr>
        <w:snapToGrid w:val="0"/>
        <w:spacing w:line="360" w:lineRule="auto"/>
        <w:ind w:firstLine="720" w:firstLineChars="3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lang w:val="en-US" w:eastAsia="zh-CN"/>
        </w:rPr>
        <w:t>2、供应商可先到田心校区自行踏勘以充分了解项目位置、建筑情况及任何其他足以影响报价的情况。任何因忽视或误解现场情况而导致的索赔或工期延长申请将不被批准。</w:t>
      </w:r>
    </w:p>
    <w:p w14:paraId="2D2377EB">
      <w:pPr>
        <w:numPr>
          <w:ilvl w:val="0"/>
          <w:numId w:val="0"/>
        </w:numPr>
        <w:snapToGrid w:val="0"/>
        <w:spacing w:line="360" w:lineRule="auto"/>
        <w:ind w:firstLine="720" w:firstLineChars="300"/>
        <w:jc w:val="left"/>
        <w:rPr>
          <w:rFonts w:hint="eastAsia"/>
        </w:rPr>
      </w:pPr>
      <w:r>
        <w:rPr>
          <w:rFonts w:hint="eastAsia" w:ascii="仿宋" w:hAnsi="仿宋" w:eastAsia="仿宋" w:cstheme="minorEastAsia"/>
          <w:b w:val="0"/>
          <w:bCs/>
          <w:sz w:val="24"/>
          <w:szCs w:val="24"/>
          <w:lang w:val="en-US" w:eastAsia="zh-CN"/>
        </w:rPr>
        <w:t>3</w:t>
      </w:r>
      <w:r>
        <w:rPr>
          <w:rFonts w:hint="eastAsia" w:ascii="仿宋" w:hAnsi="仿宋" w:eastAsia="仿宋" w:cstheme="minorEastAsia"/>
          <w:b w:val="0"/>
          <w:bCs/>
          <w:sz w:val="24"/>
          <w:szCs w:val="24"/>
        </w:rPr>
        <w:t>、其他未尽事宜，由双方在具体服务合同或单次确认单中另行约定。</w:t>
      </w:r>
    </w:p>
    <w:p w14:paraId="54451F07">
      <w:pPr>
        <w:pStyle w:val="16"/>
        <w:ind w:left="0" w:leftChars="0" w:firstLine="0"/>
        <w:jc w:val="center"/>
        <w:rPr>
          <w:rFonts w:hint="eastAsia" w:ascii="仿宋" w:hAnsi="仿宋" w:eastAsia="仿宋"/>
          <w:b/>
          <w:sz w:val="36"/>
          <w:szCs w:val="36"/>
        </w:rPr>
      </w:pPr>
    </w:p>
    <w:p w14:paraId="0E780390">
      <w:pPr>
        <w:pStyle w:val="16"/>
        <w:ind w:left="0" w:leftChars="0" w:firstLine="0"/>
        <w:jc w:val="center"/>
        <w:rPr>
          <w:rFonts w:hint="eastAsia" w:ascii="仿宋" w:hAnsi="仿宋" w:eastAsia="仿宋"/>
          <w:b/>
          <w:sz w:val="36"/>
          <w:szCs w:val="36"/>
        </w:rPr>
      </w:pPr>
    </w:p>
    <w:p w14:paraId="7D02D47E">
      <w:pPr>
        <w:pStyle w:val="16"/>
        <w:ind w:left="0" w:leftChars="0" w:firstLine="0"/>
        <w:jc w:val="center"/>
        <w:rPr>
          <w:rFonts w:hint="eastAsia" w:ascii="仿宋" w:hAnsi="仿宋" w:eastAsia="仿宋"/>
          <w:b/>
          <w:sz w:val="36"/>
          <w:szCs w:val="36"/>
        </w:rPr>
      </w:pPr>
    </w:p>
    <w:p w14:paraId="1FA33AD6">
      <w:pPr>
        <w:pStyle w:val="16"/>
        <w:ind w:left="0" w:leftChars="0" w:firstLine="0"/>
        <w:jc w:val="center"/>
        <w:rPr>
          <w:rFonts w:hint="eastAsia" w:ascii="仿宋" w:hAnsi="仿宋" w:eastAsia="仿宋"/>
          <w:b/>
          <w:sz w:val="36"/>
          <w:szCs w:val="36"/>
        </w:rPr>
      </w:pPr>
    </w:p>
    <w:p w14:paraId="6BD3058F">
      <w:pPr>
        <w:pStyle w:val="16"/>
        <w:ind w:left="0" w:leftChars="0" w:firstLine="0"/>
        <w:jc w:val="center"/>
        <w:rPr>
          <w:rFonts w:hint="eastAsia" w:ascii="仿宋" w:hAnsi="仿宋" w:eastAsia="仿宋"/>
          <w:b/>
          <w:sz w:val="36"/>
          <w:szCs w:val="36"/>
        </w:rPr>
      </w:pPr>
    </w:p>
    <w:p w14:paraId="476147BA">
      <w:pPr>
        <w:pStyle w:val="16"/>
        <w:ind w:left="0" w:leftChars="0" w:firstLine="0"/>
        <w:jc w:val="center"/>
        <w:rPr>
          <w:rFonts w:hint="eastAsia" w:ascii="仿宋" w:hAnsi="仿宋" w:eastAsia="仿宋"/>
          <w:b/>
          <w:sz w:val="36"/>
          <w:szCs w:val="36"/>
        </w:rPr>
      </w:pPr>
    </w:p>
    <w:p w14:paraId="2A162EA2">
      <w:pPr>
        <w:pStyle w:val="16"/>
        <w:ind w:left="0" w:leftChars="0" w:firstLine="0"/>
        <w:jc w:val="center"/>
        <w:rPr>
          <w:rFonts w:hint="eastAsia" w:ascii="仿宋" w:hAnsi="仿宋" w:eastAsia="仿宋"/>
          <w:b/>
          <w:sz w:val="36"/>
          <w:szCs w:val="36"/>
        </w:rPr>
      </w:pPr>
    </w:p>
    <w:p w14:paraId="58A1AEF8">
      <w:pPr>
        <w:pStyle w:val="16"/>
        <w:ind w:left="0" w:leftChars="0" w:firstLine="0"/>
        <w:jc w:val="center"/>
        <w:rPr>
          <w:rFonts w:hint="eastAsia"/>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7E97736C">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34AEBA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6"/>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4F0D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noWrap w:val="0"/>
            <w:vAlign w:val="center"/>
          </w:tcPr>
          <w:p w14:paraId="5E509024">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noWrap w:val="0"/>
            <w:vAlign w:val="center"/>
          </w:tcPr>
          <w:p w14:paraId="2923313E">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noWrap w:val="0"/>
            <w:vAlign w:val="center"/>
          </w:tcPr>
          <w:p w14:paraId="4FA7612B">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noWrap w:val="0"/>
            <w:vAlign w:val="center"/>
          </w:tcPr>
          <w:p w14:paraId="01ADC1DC">
            <w:pPr>
              <w:jc w:val="center"/>
              <w:rPr>
                <w:rFonts w:hint="eastAsia" w:ascii="仿宋" w:hAnsi="仿宋" w:eastAsia="仿宋"/>
                <w:b/>
                <w:sz w:val="24"/>
                <w:szCs w:val="24"/>
              </w:rPr>
            </w:pPr>
            <w:r>
              <w:rPr>
                <w:rFonts w:hint="eastAsia" w:ascii="仿宋" w:hAnsi="仿宋" w:eastAsia="仿宋"/>
                <w:b/>
                <w:sz w:val="24"/>
                <w:szCs w:val="24"/>
              </w:rPr>
              <w:t>评分标准</w:t>
            </w:r>
          </w:p>
        </w:tc>
      </w:tr>
      <w:tr w14:paraId="4D9D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noWrap w:val="0"/>
            <w:vAlign w:val="center"/>
          </w:tcPr>
          <w:p w14:paraId="6E7C1E31">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noWrap w:val="0"/>
            <w:vAlign w:val="center"/>
          </w:tcPr>
          <w:p w14:paraId="2E563198">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noWrap w:val="0"/>
            <w:vAlign w:val="center"/>
          </w:tcPr>
          <w:p w14:paraId="2A0D0E2A">
            <w:pPr>
              <w:jc w:val="center"/>
              <w:rPr>
                <w:rFonts w:hint="default" w:ascii="仿宋" w:hAnsi="仿宋" w:eastAsia="仿宋"/>
                <w:color w:val="auto"/>
                <w:kern w:val="0"/>
                <w:sz w:val="24"/>
                <w:szCs w:val="24"/>
                <w:highlight w:val="none"/>
                <w:lang w:val="en-US"/>
              </w:rPr>
            </w:pPr>
            <w:r>
              <w:rPr>
                <w:rFonts w:hint="eastAsia" w:ascii="仿宋" w:hAnsi="仿宋" w:eastAsia="仿宋"/>
                <w:color w:val="auto"/>
                <w:kern w:val="0"/>
                <w:sz w:val="24"/>
                <w:szCs w:val="24"/>
                <w:highlight w:val="none"/>
                <w:lang w:val="en-US" w:eastAsia="zh-CN"/>
              </w:rPr>
              <w:t>40</w:t>
            </w:r>
          </w:p>
        </w:tc>
        <w:tc>
          <w:tcPr>
            <w:tcW w:w="6237" w:type="dxa"/>
            <w:noWrap w:val="0"/>
            <w:vAlign w:val="center"/>
          </w:tcPr>
          <w:p w14:paraId="7A8D033D">
            <w:pPr>
              <w:jc w:val="left"/>
              <w:rPr>
                <w:rFonts w:hint="default" w:ascii="仿宋" w:hAnsi="仿宋" w:eastAsia="仿宋"/>
                <w:b/>
                <w:color w:val="auto"/>
                <w:sz w:val="24"/>
                <w:szCs w:val="24"/>
                <w:highlight w:val="none"/>
                <w:lang w:val="en-US" w:eastAsia="zh-CN"/>
              </w:rPr>
            </w:pPr>
            <w:r>
              <w:rPr>
                <w:rFonts w:hint="eastAsia" w:ascii="仿宋" w:hAnsi="仿宋" w:eastAsia="仿宋" w:cs="宋体"/>
                <w:sz w:val="24"/>
                <w:szCs w:val="24"/>
              </w:rPr>
              <w:t>以经评委会一致认定满足招标文件要求且投标价格最低的投标报价为评标基准价，其价格得分计</w:t>
            </w:r>
            <w:r>
              <w:rPr>
                <w:rFonts w:hint="eastAsia" w:ascii="仿宋" w:hAnsi="仿宋" w:eastAsia="仿宋" w:cs="宋体"/>
                <w:sz w:val="24"/>
                <w:szCs w:val="24"/>
                <w:lang w:val="en-US" w:eastAsia="zh-CN"/>
              </w:rPr>
              <w:t>40</w:t>
            </w:r>
            <w:r>
              <w:rPr>
                <w:rFonts w:hint="eastAsia" w:ascii="仿宋" w:hAnsi="仿宋" w:eastAsia="仿宋" w:cs="宋体"/>
                <w:sz w:val="24"/>
                <w:szCs w:val="24"/>
              </w:rPr>
              <w:t>分。其他投标人的价格得分统一按公式计算：报价得分=（评标基准价/投标报价）×价格权重</w:t>
            </w:r>
          </w:p>
        </w:tc>
      </w:tr>
      <w:tr w14:paraId="6336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noWrap w:val="0"/>
            <w:vAlign w:val="center"/>
          </w:tcPr>
          <w:p w14:paraId="68AC2A1D">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noWrap w:val="0"/>
            <w:vAlign w:val="center"/>
          </w:tcPr>
          <w:p w14:paraId="70C3F298">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noWrap w:val="0"/>
            <w:vAlign w:val="center"/>
          </w:tcPr>
          <w:p w14:paraId="591C9DC2">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noWrap w:val="0"/>
            <w:vAlign w:val="center"/>
          </w:tcPr>
          <w:p w14:paraId="447D7EF9">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（1）服务团队中的人员具有工程类专业中级职称的计4分；具有工程类专业高级及以上职称的计8分；本小项最多计8分；</w:t>
            </w:r>
          </w:p>
          <w:p w14:paraId="164D9552">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（2）服务团队中的人员具有一级注册结构工程师证书的计6分；</w:t>
            </w:r>
          </w:p>
          <w:p w14:paraId="35A1A1DD">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（3）服务团队中的人员具有注册土木工程师（岩土）证书的计6分。</w:t>
            </w:r>
          </w:p>
          <w:p w14:paraId="41C0E9C2">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p w14:paraId="10D875C5">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【评审依据】：响应文件中提供以上人员证书扫描件和</w:t>
            </w:r>
            <w:bookmarkStart w:id="10" w:name="OLE_LINK6"/>
            <w:r>
              <w:rPr>
                <w:rFonts w:hint="eastAsia" w:ascii="仿宋" w:hAnsi="仿宋" w:eastAsia="仿宋" w:cs="宋体"/>
                <w:b/>
                <w:bCs/>
                <w:sz w:val="24"/>
                <w:szCs w:val="24"/>
              </w:rPr>
              <w:t>供应商为其缴纳</w:t>
            </w:r>
            <w:r>
              <w:rPr>
                <w:rFonts w:hint="eastAsia" w:ascii="仿宋" w:hAnsi="仿宋" w:eastAsia="仿宋" w:cs="宋体"/>
                <w:b/>
                <w:bCs/>
                <w:sz w:val="24"/>
                <w:szCs w:val="24"/>
                <w:lang w:val="en-US" w:eastAsia="zh-CN"/>
              </w:rPr>
              <w:t>当月</w:t>
            </w:r>
            <w:r>
              <w:rPr>
                <w:rFonts w:hint="eastAsia" w:ascii="仿宋" w:hAnsi="仿宋" w:eastAsia="仿宋" w:cs="宋体"/>
                <w:b/>
                <w:bCs/>
                <w:sz w:val="24"/>
                <w:szCs w:val="24"/>
              </w:rPr>
              <w:t>的社保证明扫描件并加盖供应商公章</w:t>
            </w:r>
            <w:r>
              <w:rPr>
                <w:rFonts w:hint="eastAsia" w:ascii="仿宋" w:hAnsi="仿宋" w:eastAsia="仿宋" w:cs="宋体"/>
                <w:b/>
                <w:bCs/>
                <w:sz w:val="24"/>
                <w:szCs w:val="24"/>
                <w:lang w:val="en-US" w:eastAsia="zh-CN"/>
              </w:rPr>
              <w:t>或提供退休证明、劳动合同</w:t>
            </w:r>
            <w:r>
              <w:rPr>
                <w:rFonts w:hint="eastAsia" w:ascii="仿宋" w:hAnsi="仿宋" w:eastAsia="仿宋" w:cs="宋体"/>
                <w:b/>
                <w:bCs/>
                <w:sz w:val="24"/>
                <w:szCs w:val="24"/>
              </w:rPr>
              <w:t>，未提供或提供的证明材料不齐全的不得分。</w:t>
            </w:r>
            <w:bookmarkEnd w:id="10"/>
          </w:p>
        </w:tc>
      </w:tr>
      <w:tr w14:paraId="6512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C660237">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noWrap w:val="0"/>
            <w:vAlign w:val="center"/>
          </w:tcPr>
          <w:p w14:paraId="1441D05F">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noWrap w:val="0"/>
            <w:vAlign w:val="center"/>
          </w:tcPr>
          <w:p w14:paraId="01000CFF">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6237" w:type="dxa"/>
            <w:noWrap w:val="0"/>
            <w:vAlign w:val="center"/>
          </w:tcPr>
          <w:p w14:paraId="6E9592EE">
            <w:pPr>
              <w:jc w:val="left"/>
              <w:rPr>
                <w:rFonts w:hint="eastAsia" w:ascii="仿宋" w:hAnsi="仿宋" w:eastAsia="仿宋" w:cs="宋体"/>
                <w:sz w:val="24"/>
                <w:szCs w:val="24"/>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3</w:t>
            </w:r>
            <w:r>
              <w:rPr>
                <w:rFonts w:hint="eastAsia" w:ascii="仿宋" w:hAnsi="仿宋" w:eastAsia="仿宋" w:cs="宋体"/>
                <w:sz w:val="24"/>
                <w:szCs w:val="24"/>
              </w:rPr>
              <w:t>年</w:t>
            </w:r>
            <w:r>
              <w:rPr>
                <w:rFonts w:hint="eastAsia" w:ascii="仿宋" w:hAnsi="仿宋" w:eastAsia="仿宋" w:cs="宋体"/>
                <w:sz w:val="24"/>
                <w:szCs w:val="24"/>
                <w:lang w:val="en-US" w:eastAsia="zh-CN"/>
              </w:rPr>
              <w:t>8</w:t>
            </w:r>
            <w:r>
              <w:rPr>
                <w:rFonts w:hint="eastAsia" w:ascii="仿宋" w:hAnsi="仿宋" w:eastAsia="仿宋" w:cs="宋体"/>
                <w:sz w:val="24"/>
                <w:szCs w:val="24"/>
              </w:rPr>
              <w:t>月</w:t>
            </w:r>
            <w:r>
              <w:rPr>
                <w:rFonts w:hint="eastAsia" w:ascii="仿宋" w:hAnsi="仿宋" w:eastAsia="仿宋" w:cs="宋体"/>
                <w:sz w:val="24"/>
                <w:szCs w:val="24"/>
                <w:lang w:val="en-US" w:eastAsia="zh-CN"/>
              </w:rPr>
              <w:t>至</w:t>
            </w:r>
            <w:r>
              <w:rPr>
                <w:rFonts w:hint="eastAsia" w:ascii="仿宋" w:hAnsi="仿宋" w:eastAsia="仿宋" w:cs="宋体"/>
                <w:sz w:val="24"/>
                <w:szCs w:val="24"/>
              </w:rPr>
              <w:t>本项目响应文件递交截止时间（以合同签订日期为准）具有</w:t>
            </w:r>
            <w:r>
              <w:rPr>
                <w:rFonts w:hint="eastAsia" w:ascii="仿宋" w:hAnsi="仿宋" w:eastAsia="仿宋" w:cs="宋体"/>
                <w:sz w:val="24"/>
                <w:szCs w:val="24"/>
                <w:lang w:val="en-US" w:eastAsia="zh-CN"/>
              </w:rPr>
              <w:t>同类房屋安全鉴定服务</w:t>
            </w:r>
            <w:r>
              <w:rPr>
                <w:rFonts w:hint="eastAsia" w:ascii="仿宋" w:hAnsi="仿宋" w:eastAsia="仿宋" w:cs="宋体"/>
                <w:sz w:val="24"/>
                <w:szCs w:val="24"/>
              </w:rPr>
              <w:t>项目实施案例的,每提供一个加5分。</w:t>
            </w:r>
          </w:p>
          <w:p w14:paraId="176FD6B4">
            <w:pPr>
              <w:jc w:val="left"/>
              <w:rPr>
                <w:rFonts w:hint="eastAsia" w:ascii="仿宋" w:hAnsi="仿宋" w:eastAsia="仿宋" w:cs="宋体"/>
                <w:sz w:val="24"/>
                <w:szCs w:val="24"/>
              </w:rPr>
            </w:pPr>
            <w:r>
              <w:rPr>
                <w:rFonts w:hint="eastAsia" w:ascii="仿宋" w:hAnsi="仿宋" w:eastAsia="仿宋" w:cs="宋体"/>
                <w:sz w:val="24"/>
                <w:szCs w:val="24"/>
              </w:rPr>
              <w:t>本项满分</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5D0070AD">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1E47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2D7773A">
            <w:pPr>
              <w:jc w:val="left"/>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4</w:t>
            </w:r>
          </w:p>
        </w:tc>
        <w:tc>
          <w:tcPr>
            <w:tcW w:w="1308" w:type="dxa"/>
            <w:noWrap w:val="0"/>
            <w:vAlign w:val="center"/>
          </w:tcPr>
          <w:p w14:paraId="3887A284">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rPr>
              <w:t>项目整体实施方案</w:t>
            </w:r>
          </w:p>
        </w:tc>
        <w:tc>
          <w:tcPr>
            <w:tcW w:w="709" w:type="dxa"/>
            <w:noWrap w:val="0"/>
            <w:vAlign w:val="center"/>
          </w:tcPr>
          <w:p w14:paraId="1CC2DE89">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30</w:t>
            </w:r>
          </w:p>
        </w:tc>
        <w:tc>
          <w:tcPr>
            <w:tcW w:w="6237" w:type="dxa"/>
            <w:noWrap w:val="0"/>
            <w:vAlign w:val="center"/>
          </w:tcPr>
          <w:p w14:paraId="444CF5D5">
            <w:pPr>
              <w:jc w:val="left"/>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供应商根据本项目实施特点及技术要求，结合项目所在地现有情况制定实施方案，方案至少应包括：①承诺框架期内投入</w:t>
            </w:r>
            <w:r>
              <w:rPr>
                <w:rFonts w:hint="default" w:ascii="仿宋" w:hAnsi="仿宋" w:eastAsia="仿宋" w:cs="宋体"/>
                <w:sz w:val="24"/>
                <w:szCs w:val="24"/>
              </w:rPr>
              <w:t>固定技术团队，提供团队名册</w:t>
            </w:r>
            <w:r>
              <w:rPr>
                <w:rFonts w:hint="eastAsia" w:ascii="仿宋" w:hAnsi="仿宋" w:eastAsia="仿宋" w:cs="宋体"/>
                <w:sz w:val="24"/>
                <w:szCs w:val="24"/>
              </w:rPr>
              <w:t>；②</w:t>
            </w:r>
            <w:r>
              <w:rPr>
                <w:rFonts w:hint="eastAsia" w:ascii="仿宋" w:hAnsi="仿宋" w:eastAsia="仿宋" w:cs="宋体"/>
                <w:sz w:val="24"/>
                <w:szCs w:val="24"/>
                <w:lang w:val="en-US" w:eastAsia="zh-CN"/>
              </w:rPr>
              <w:t>服务</w:t>
            </w:r>
            <w:r>
              <w:rPr>
                <w:rFonts w:hint="eastAsia" w:ascii="仿宋" w:hAnsi="仿宋" w:eastAsia="仿宋" w:cs="宋体"/>
                <w:sz w:val="24"/>
                <w:szCs w:val="24"/>
              </w:rPr>
              <w:t>方案；③进度保障措施；④质量保障措施；⑤</w:t>
            </w:r>
            <w:r>
              <w:rPr>
                <w:rFonts w:hint="eastAsia" w:ascii="仿宋" w:hAnsi="仿宋" w:eastAsia="仿宋" w:cs="宋体"/>
                <w:sz w:val="24"/>
                <w:szCs w:val="24"/>
                <w:lang w:eastAsia="zh-CN"/>
              </w:rPr>
              <w:t>保密</w:t>
            </w:r>
            <w:r>
              <w:rPr>
                <w:rFonts w:hint="eastAsia" w:ascii="仿宋" w:hAnsi="仿宋" w:eastAsia="仿宋" w:cs="宋体"/>
                <w:sz w:val="24"/>
                <w:szCs w:val="24"/>
              </w:rPr>
              <w:t>措施；⑥售后保障服务。</w:t>
            </w:r>
          </w:p>
          <w:p w14:paraId="2E208DEA">
            <w:pPr>
              <w:jc w:val="left"/>
              <w:rPr>
                <w:rFonts w:hint="eastAsia" w:ascii="仿宋" w:hAnsi="仿宋" w:eastAsia="仿宋" w:cs="宋体"/>
                <w:sz w:val="24"/>
                <w:szCs w:val="24"/>
              </w:rPr>
            </w:pPr>
            <w:r>
              <w:rPr>
                <w:rFonts w:hint="eastAsia" w:ascii="仿宋" w:hAnsi="仿宋" w:eastAsia="仿宋" w:cs="宋体"/>
                <w:sz w:val="24"/>
                <w:szCs w:val="24"/>
              </w:rPr>
              <w:t>评审小组根据方案的完整性、合理性及操作性等进行评价，以上①~⑥条方案内容全面、科学合理的每条得</w:t>
            </w:r>
            <w:r>
              <w:rPr>
                <w:rFonts w:hint="eastAsia" w:ascii="仿宋" w:hAnsi="仿宋" w:eastAsia="仿宋" w:cs="宋体"/>
                <w:sz w:val="24"/>
                <w:szCs w:val="24"/>
                <w:lang w:val="en-US" w:eastAsia="zh-CN"/>
              </w:rPr>
              <w:t>5</w:t>
            </w:r>
            <w:r>
              <w:rPr>
                <w:rFonts w:hint="eastAsia" w:ascii="仿宋" w:hAnsi="仿宋" w:eastAsia="仿宋" w:cs="宋体"/>
                <w:sz w:val="24"/>
                <w:szCs w:val="24"/>
              </w:rPr>
              <w:t>分；方案较完整、能满足基本保障要求的每条得</w:t>
            </w:r>
            <w:r>
              <w:rPr>
                <w:rFonts w:hint="eastAsia" w:ascii="仿宋" w:hAnsi="仿宋" w:eastAsia="仿宋" w:cs="宋体"/>
                <w:sz w:val="24"/>
                <w:szCs w:val="24"/>
                <w:lang w:val="en-US" w:eastAsia="zh-CN"/>
              </w:rPr>
              <w:t>3</w:t>
            </w:r>
            <w:r>
              <w:rPr>
                <w:rFonts w:hint="eastAsia" w:ascii="仿宋" w:hAnsi="仿宋" w:eastAsia="仿宋" w:cs="宋体"/>
                <w:sz w:val="24"/>
                <w:szCs w:val="24"/>
              </w:rPr>
              <w:t>分；方案有缺失、操作性一般的得1分；其他不得分。</w:t>
            </w:r>
          </w:p>
          <w:p w14:paraId="62D0F373">
            <w:pPr>
              <w:jc w:val="left"/>
              <w:rPr>
                <w:rFonts w:hint="eastAsia" w:ascii="仿宋" w:hAnsi="仿宋" w:eastAsia="仿宋" w:cs="宋体"/>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30</w:t>
            </w:r>
            <w:r>
              <w:rPr>
                <w:rFonts w:hint="eastAsia" w:ascii="仿宋" w:hAnsi="仿宋" w:eastAsia="仿宋" w:cs="宋体"/>
                <w:b/>
                <w:bCs/>
                <w:sz w:val="24"/>
                <w:szCs w:val="24"/>
              </w:rPr>
              <w:t>分。</w:t>
            </w:r>
          </w:p>
          <w:p w14:paraId="2A7099E9">
            <w:pPr>
              <w:jc w:val="left"/>
              <w:rPr>
                <w:rFonts w:hint="eastAsia" w:ascii="仿宋" w:hAnsi="仿宋" w:eastAsia="仿宋" w:cs="宋体"/>
                <w:kern w:val="2"/>
                <w:sz w:val="24"/>
                <w:szCs w:val="24"/>
                <w:lang w:val="en-US" w:eastAsia="zh-CN" w:bidi="ar-SA"/>
              </w:rPr>
            </w:pPr>
            <w:r>
              <w:rPr>
                <w:rFonts w:hint="eastAsia" w:ascii="仿宋" w:hAnsi="仿宋" w:eastAsia="仿宋" w:cs="宋体"/>
                <w:b/>
                <w:bCs/>
                <w:sz w:val="24"/>
                <w:szCs w:val="24"/>
              </w:rPr>
              <w:t>【评审依据】：响应文件中提供项目整体实施方案，未提供不得分。</w:t>
            </w:r>
          </w:p>
        </w:tc>
      </w:tr>
    </w:tbl>
    <w:p w14:paraId="08D7980E"/>
    <w:p w14:paraId="2CE8C035"/>
    <w:p w14:paraId="450018AE"/>
    <w:p w14:paraId="5077E8E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6"/>
        <w:spacing w:before="0" w:beforeAutospacing="0" w:after="0" w:line="360" w:lineRule="auto"/>
        <w:ind w:left="0" w:leftChars="0" w:firstLine="482" w:firstLineChars="200"/>
        <w:jc w:val="left"/>
        <w:rPr>
          <w:rFonts w:hint="eastAsia" w:ascii="仿宋" w:hAnsi="仿宋" w:eastAsia="仿宋"/>
          <w:sz w:val="24"/>
          <w:szCs w:val="24"/>
          <w:lang w:val="en-US" w:eastAsia="zh-CN"/>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b w:val="0"/>
          <w:bCs/>
          <w:sz w:val="24"/>
          <w:szCs w:val="24"/>
          <w:lang w:val="en-US" w:eastAsia="zh-CN"/>
        </w:rPr>
        <w:t>见</w:t>
      </w:r>
      <w:r>
        <w:rPr>
          <w:rFonts w:hint="eastAsia" w:ascii="仿宋" w:hAnsi="仿宋" w:eastAsia="仿宋"/>
          <w:sz w:val="24"/>
          <w:szCs w:val="24"/>
        </w:rPr>
        <w:t>附件</w:t>
      </w:r>
      <w:r>
        <w:rPr>
          <w:rFonts w:hint="eastAsia" w:ascii="仿宋" w:hAnsi="仿宋" w:eastAsia="仿宋"/>
          <w:sz w:val="24"/>
          <w:szCs w:val="24"/>
          <w:lang w:val="en-US" w:eastAsia="zh-CN"/>
        </w:rPr>
        <w:t>2</w:t>
      </w:r>
    </w:p>
    <w:p w14:paraId="083C3535"/>
    <w:p w14:paraId="14FCD1CB">
      <w:pPr>
        <w:pStyle w:val="16"/>
        <w:ind w:left="0" w:leftChars="0" w:firstLine="0"/>
        <w:jc w:val="right"/>
        <w:rPr>
          <w:rFonts w:hint="eastAsia" w:ascii="宋体" w:hAnsi="宋体" w:eastAsia="仿宋" w:cs="宋体"/>
          <w:b/>
          <w:color w:val="333333"/>
          <w:kern w:val="0"/>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4DFEE8F5">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3"/>
        <w:shd w:val="clear" w:color="auto" w:fill="FFFFFF"/>
        <w:spacing w:before="0" w:beforeAutospacing="0" w:after="0" w:afterAutospacing="0" w:line="360" w:lineRule="auto"/>
        <w:ind w:firstLine="480" w:firstLineChars="200"/>
        <w:rPr>
          <w:rFonts w:hint="default" w:ascii="仿宋" w:hAnsi="仿宋" w:eastAsia="仿宋" w:cs="Times New Roman"/>
          <w:kern w:val="2"/>
          <w:lang w:val="en-US" w:eastAsia="zh-CN"/>
        </w:rPr>
      </w:pPr>
      <w:r>
        <w:rPr>
          <w:rFonts w:hint="eastAsia" w:ascii="仿宋" w:hAnsi="仿宋" w:eastAsia="仿宋" w:cs="Times New Roman"/>
          <w:kern w:val="2"/>
        </w:rPr>
        <w:t>2、响应文件正本壹份、副本贰份，并装订；</w:t>
      </w:r>
      <w:r>
        <w:rPr>
          <w:rFonts w:hint="eastAsia" w:ascii="仿宋" w:hAnsi="仿宋" w:eastAsia="仿宋" w:cs="Times New Roman"/>
          <w:kern w:val="2"/>
          <w:lang w:eastAsia="zh-CN"/>
        </w:rPr>
        <w:t>并同时提交电子版响应文件一份。</w:t>
      </w:r>
    </w:p>
    <w:p w14:paraId="078107D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0F92DE75">
      <w:pPr>
        <w:pStyle w:val="10"/>
        <w:adjustRightInd w:val="0"/>
        <w:snapToGrid w:val="0"/>
        <w:spacing w:line="360" w:lineRule="auto"/>
        <w:rPr>
          <w:rFonts w:ascii="仿宋" w:hAnsi="仿宋" w:eastAsia="仿宋"/>
          <w:b/>
          <w:sz w:val="24"/>
          <w:szCs w:val="24"/>
        </w:rPr>
        <w:sectPr>
          <w:pgSz w:w="11906" w:h="16838"/>
          <w:pgMar w:top="1440" w:right="1800" w:bottom="1440" w:left="1800" w:header="851" w:footer="992" w:gutter="0"/>
          <w:cols w:space="720" w:num="1"/>
          <w:docGrid w:type="lines" w:linePitch="312" w:charSpace="0"/>
        </w:sect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1196C8BE">
      <w:pPr>
        <w:adjustRightInd w:val="0"/>
        <w:snapToGrid w:val="0"/>
        <w:spacing w:line="360" w:lineRule="auto"/>
        <w:ind w:right="24"/>
        <w:rPr>
          <w:rFonts w:hint="eastAsia" w:ascii="仿宋" w:hAnsi="仿宋" w:eastAsia="仿宋"/>
          <w:bCs/>
          <w:sz w:val="24"/>
          <w:szCs w:val="24"/>
        </w:rPr>
        <w:sectPr>
          <w:pgSz w:w="11906" w:h="16838"/>
          <w:pgMar w:top="1440" w:right="1800" w:bottom="1440" w:left="1800" w:header="851" w:footer="992" w:gutter="0"/>
          <w:cols w:space="720" w:num="1"/>
          <w:docGrid w:type="lines" w:linePitch="312" w:charSpace="0"/>
        </w:sect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1</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6"/>
      </w:pPr>
    </w:p>
    <w:p w14:paraId="10CB8852"/>
    <w:p w14:paraId="7F870902"/>
    <w:p w14:paraId="7D0B8A91">
      <w:pPr>
        <w:spacing w:line="480" w:lineRule="auto"/>
        <w:jc w:val="left"/>
        <w:rPr>
          <w:rFonts w:hint="eastAsia" w:ascii="仿宋" w:hAnsi="仿宋" w:eastAsia="仿宋"/>
          <w:sz w:val="24"/>
          <w:szCs w:val="24"/>
          <w:lang w:eastAsia="zh-CN"/>
        </w:rPr>
      </w:pPr>
      <w:r>
        <w:rPr>
          <w:rFonts w:hint="eastAsia" w:ascii="仿宋" w:hAnsi="仿宋" w:eastAsia="仿宋"/>
          <w:sz w:val="24"/>
          <w:szCs w:val="24"/>
        </w:rPr>
        <w:t>附件：</w:t>
      </w:r>
      <w:r>
        <w:rPr>
          <w:rFonts w:hint="eastAsia" w:ascii="仿宋" w:hAnsi="仿宋" w:eastAsia="仿宋"/>
          <w:sz w:val="24"/>
          <w:szCs w:val="24"/>
          <w:lang w:val="en-US" w:eastAsia="zh-CN"/>
        </w:rPr>
        <w:t>2</w:t>
      </w:r>
    </w:p>
    <w:p w14:paraId="5633EACA">
      <w:pPr>
        <w:jc w:val="center"/>
        <w:rPr>
          <w:rFonts w:hint="eastAsia" w:ascii="仿宋" w:hAnsi="仿宋" w:eastAsia="仿宋"/>
          <w:b/>
          <w:sz w:val="32"/>
          <w:szCs w:val="32"/>
        </w:rPr>
      </w:pPr>
      <w:r>
        <w:rPr>
          <w:rFonts w:ascii="仿宋" w:hAnsi="仿宋" w:eastAsia="仿宋"/>
          <w:b/>
          <w:sz w:val="32"/>
          <w:szCs w:val="32"/>
        </w:rPr>
        <w:t>报价函</w:t>
      </w:r>
    </w:p>
    <w:p w14:paraId="3F5791F1">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52D52477">
      <w:pPr>
        <w:spacing w:line="480" w:lineRule="auto"/>
        <w:ind w:firstLine="482" w:firstLineChars="200"/>
        <w:jc w:val="left"/>
        <w:rPr>
          <w:rFonts w:hint="eastAsia" w:ascii="仿宋" w:hAnsi="仿宋" w:eastAsia="仿宋" w:cs="宋体"/>
          <w:sz w:val="24"/>
          <w:szCs w:val="24"/>
        </w:rPr>
      </w:pPr>
      <w:r>
        <w:rPr>
          <w:rFonts w:hint="eastAsia" w:ascii="仿宋" w:hAnsi="仿宋" w:eastAsia="仿宋" w:cs="宋体"/>
          <w:b/>
          <w:bCs/>
          <w:sz w:val="24"/>
          <w:szCs w:val="24"/>
        </w:rPr>
        <w:t>我司最终报价：</w:t>
      </w: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62740756">
      <w:pPr>
        <w:spacing w:line="480" w:lineRule="auto"/>
        <w:ind w:firstLine="482" w:firstLineChars="200"/>
        <w:jc w:val="left"/>
        <w:rPr>
          <w:rFonts w:hint="eastAsia" w:ascii="仿宋" w:hAnsi="仿宋" w:eastAsia="仿宋" w:cs="宋体"/>
          <w:b/>
          <w:bCs/>
          <w:sz w:val="24"/>
          <w:szCs w:val="24"/>
        </w:rPr>
      </w:pPr>
    </w:p>
    <w:tbl>
      <w:tblPr>
        <w:tblStyle w:val="44"/>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7"/>
        <w:gridCol w:w="4467"/>
        <w:gridCol w:w="2266"/>
      </w:tblGrid>
      <w:tr w14:paraId="26D78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jc w:val="center"/>
        </w:trPr>
        <w:tc>
          <w:tcPr>
            <w:tcW w:w="0" w:type="auto"/>
            <w:vAlign w:val="center"/>
          </w:tcPr>
          <w:p w14:paraId="09EDA46D">
            <w:pPr>
              <w:spacing w:before="1" w:line="221" w:lineRule="auto"/>
              <w:jc w:val="center"/>
              <w:outlineLvl w:val="0"/>
              <w:rPr>
                <w:rFonts w:hint="default" w:ascii="仿宋" w:hAnsi="仿宋" w:eastAsia="仿宋" w:cs="仿宋"/>
                <w:b w:val="0"/>
                <w:bCs w:val="0"/>
                <w:spacing w:val="-5"/>
                <w:sz w:val="24"/>
                <w:szCs w:val="24"/>
                <w:lang w:val="en-US" w:eastAsia="zh-CN"/>
              </w:rPr>
            </w:pPr>
            <w:r>
              <w:rPr>
                <w:rFonts w:hint="eastAsia" w:ascii="仿宋" w:hAnsi="仿宋" w:eastAsia="仿宋" w:cs="仿宋"/>
                <w:b w:val="0"/>
                <w:bCs w:val="0"/>
                <w:spacing w:val="-5"/>
                <w:sz w:val="24"/>
                <w:szCs w:val="24"/>
                <w:lang w:val="en-US" w:eastAsia="zh-CN"/>
              </w:rPr>
              <w:t>序号</w:t>
            </w:r>
          </w:p>
        </w:tc>
        <w:tc>
          <w:tcPr>
            <w:tcW w:w="0" w:type="auto"/>
            <w:vAlign w:val="center"/>
          </w:tcPr>
          <w:p w14:paraId="3655C7A1">
            <w:pPr>
              <w:spacing w:before="1" w:line="221" w:lineRule="auto"/>
              <w:jc w:val="center"/>
              <w:outlineLvl w:val="0"/>
              <w:rPr>
                <w:rFonts w:hint="eastAsia" w:ascii="仿宋" w:hAnsi="仿宋" w:eastAsia="仿宋" w:cs="仿宋"/>
                <w:b w:val="0"/>
                <w:bCs w:val="0"/>
                <w:spacing w:val="-5"/>
                <w:sz w:val="24"/>
                <w:szCs w:val="24"/>
                <w:lang w:val="en-US" w:eastAsia="zh-CN"/>
              </w:rPr>
            </w:pPr>
          </w:p>
          <w:p w14:paraId="268AA79E">
            <w:pPr>
              <w:spacing w:before="1" w:line="221" w:lineRule="auto"/>
              <w:jc w:val="center"/>
              <w:outlineLvl w:val="0"/>
              <w:rPr>
                <w:rFonts w:hint="default" w:ascii="仿宋" w:hAnsi="仿宋" w:eastAsia="仿宋" w:cs="仿宋"/>
                <w:b w:val="0"/>
                <w:bCs w:val="0"/>
                <w:spacing w:val="-5"/>
                <w:sz w:val="24"/>
                <w:szCs w:val="24"/>
                <w:lang w:val="en-US" w:eastAsia="zh-CN"/>
              </w:rPr>
            </w:pPr>
            <w:r>
              <w:rPr>
                <w:rFonts w:hint="eastAsia" w:ascii="仿宋" w:hAnsi="仿宋" w:eastAsia="仿宋" w:cs="仿宋"/>
                <w:b w:val="0"/>
                <w:bCs w:val="0"/>
                <w:spacing w:val="-5"/>
                <w:sz w:val="24"/>
                <w:szCs w:val="24"/>
                <w:lang w:val="en-US" w:eastAsia="zh-CN"/>
              </w:rPr>
              <w:t>项目</w:t>
            </w:r>
          </w:p>
        </w:tc>
        <w:tc>
          <w:tcPr>
            <w:tcW w:w="2266" w:type="dxa"/>
            <w:vAlign w:val="center"/>
          </w:tcPr>
          <w:p w14:paraId="552AB034">
            <w:pPr>
              <w:spacing w:before="1" w:line="221" w:lineRule="auto"/>
              <w:jc w:val="center"/>
              <w:outlineLvl w:val="0"/>
              <w:rPr>
                <w:rFonts w:hint="default" w:ascii="仿宋" w:hAnsi="仿宋" w:eastAsia="仿宋" w:cs="仿宋"/>
                <w:b w:val="0"/>
                <w:bCs w:val="0"/>
                <w:spacing w:val="-5"/>
                <w:sz w:val="24"/>
                <w:szCs w:val="24"/>
                <w:lang w:val="en-US" w:eastAsia="zh-CN"/>
              </w:rPr>
            </w:pPr>
            <w:r>
              <w:rPr>
                <w:rFonts w:hint="eastAsia" w:ascii="仿宋" w:hAnsi="仿宋" w:eastAsia="仿宋" w:cs="仿宋"/>
                <w:b w:val="0"/>
                <w:bCs w:val="0"/>
                <w:spacing w:val="-5"/>
                <w:sz w:val="24"/>
                <w:szCs w:val="24"/>
                <w:lang w:val="en-US" w:eastAsia="zh-CN"/>
              </w:rPr>
              <w:t>费用(元)</w:t>
            </w:r>
          </w:p>
        </w:tc>
      </w:tr>
      <w:tr w14:paraId="0CEC0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jc w:val="center"/>
        </w:trPr>
        <w:tc>
          <w:tcPr>
            <w:tcW w:w="0" w:type="auto"/>
            <w:vAlign w:val="center"/>
          </w:tcPr>
          <w:p w14:paraId="12389C24">
            <w:pPr>
              <w:spacing w:before="1" w:line="221" w:lineRule="auto"/>
              <w:jc w:val="center"/>
              <w:outlineLvl w:val="0"/>
              <w:rPr>
                <w:rFonts w:hint="default" w:ascii="仿宋" w:hAnsi="仿宋" w:eastAsia="仿宋" w:cs="仿宋"/>
                <w:b w:val="0"/>
                <w:bCs w:val="0"/>
                <w:spacing w:val="-5"/>
                <w:sz w:val="24"/>
                <w:szCs w:val="24"/>
                <w:lang w:val="en-US" w:eastAsia="zh-CN"/>
              </w:rPr>
            </w:pPr>
            <w:r>
              <w:rPr>
                <w:rFonts w:hint="eastAsia" w:ascii="仿宋" w:hAnsi="仿宋" w:eastAsia="仿宋" w:cs="仿宋"/>
                <w:b w:val="0"/>
                <w:bCs w:val="0"/>
                <w:spacing w:val="-5"/>
                <w:sz w:val="24"/>
                <w:szCs w:val="24"/>
                <w:lang w:val="en-US" w:eastAsia="zh-CN"/>
              </w:rPr>
              <w:t>1</w:t>
            </w:r>
          </w:p>
        </w:tc>
        <w:tc>
          <w:tcPr>
            <w:tcW w:w="0" w:type="auto"/>
            <w:vAlign w:val="center"/>
          </w:tcPr>
          <w:p w14:paraId="699D3CEE">
            <w:pPr>
              <w:spacing w:before="1" w:line="221" w:lineRule="auto"/>
              <w:jc w:val="center"/>
              <w:outlineLvl w:val="0"/>
              <w:rPr>
                <w:rFonts w:hint="default" w:ascii="仿宋" w:hAnsi="仿宋" w:eastAsia="仿宋" w:cs="仿宋"/>
                <w:b w:val="0"/>
                <w:bCs w:val="0"/>
                <w:spacing w:val="-5"/>
                <w:sz w:val="24"/>
                <w:szCs w:val="24"/>
                <w:lang w:val="en-US" w:eastAsia="zh-CN"/>
              </w:rPr>
            </w:pPr>
            <w:r>
              <w:rPr>
                <w:rFonts w:hint="eastAsia" w:ascii="仿宋" w:hAnsi="仿宋" w:eastAsia="仿宋" w:cs="仿宋"/>
                <w:b w:val="0"/>
                <w:bCs w:val="0"/>
                <w:spacing w:val="-5"/>
                <w:sz w:val="24"/>
                <w:szCs w:val="24"/>
                <w:lang w:val="en-US" w:eastAsia="zh-CN"/>
              </w:rPr>
              <w:t>5 号宿舍楼结构安全性鉴定检测</w:t>
            </w:r>
          </w:p>
        </w:tc>
        <w:tc>
          <w:tcPr>
            <w:tcW w:w="2266" w:type="dxa"/>
            <w:vAlign w:val="center"/>
          </w:tcPr>
          <w:p w14:paraId="766FAFF9">
            <w:pPr>
              <w:spacing w:before="1" w:line="221" w:lineRule="auto"/>
              <w:jc w:val="center"/>
              <w:outlineLvl w:val="0"/>
              <w:rPr>
                <w:rFonts w:hint="eastAsia" w:ascii="仿宋" w:hAnsi="仿宋" w:eastAsia="仿宋" w:cs="仿宋"/>
                <w:b w:val="0"/>
                <w:bCs w:val="0"/>
                <w:spacing w:val="-5"/>
                <w:sz w:val="24"/>
                <w:szCs w:val="24"/>
                <w:lang w:val="en-US" w:eastAsia="zh-CN"/>
              </w:rPr>
            </w:pPr>
          </w:p>
          <w:p w14:paraId="4DD42290">
            <w:pPr>
              <w:spacing w:before="1" w:line="221" w:lineRule="auto"/>
              <w:jc w:val="both"/>
              <w:outlineLvl w:val="0"/>
              <w:rPr>
                <w:rFonts w:hint="default" w:ascii="仿宋" w:hAnsi="仿宋" w:eastAsia="仿宋" w:cs="仿宋"/>
                <w:b w:val="0"/>
                <w:bCs w:val="0"/>
                <w:spacing w:val="-5"/>
                <w:sz w:val="24"/>
                <w:szCs w:val="24"/>
                <w:lang w:val="en-US" w:eastAsia="zh-CN"/>
              </w:rPr>
            </w:pPr>
          </w:p>
        </w:tc>
      </w:tr>
      <w:tr w14:paraId="560B7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jc w:val="center"/>
        </w:trPr>
        <w:tc>
          <w:tcPr>
            <w:tcW w:w="0" w:type="auto"/>
            <w:vAlign w:val="center"/>
          </w:tcPr>
          <w:p w14:paraId="236301DB">
            <w:pPr>
              <w:pStyle w:val="45"/>
              <w:spacing w:before="252" w:line="361" w:lineRule="auto"/>
              <w:ind w:left="527" w:right="270" w:hanging="241"/>
              <w:jc w:val="center"/>
              <w:rPr>
                <w:rFonts w:hint="default" w:ascii="仿宋" w:hAnsi="仿宋" w:eastAsia="仿宋" w:cs="仿宋"/>
                <w:b w:val="0"/>
                <w:bCs w:val="0"/>
                <w:snapToGrid w:val="0"/>
                <w:color w:val="000000"/>
                <w:spacing w:val="-5"/>
                <w:kern w:val="0"/>
                <w:sz w:val="24"/>
                <w:szCs w:val="24"/>
                <w:lang w:val="en-US" w:eastAsia="zh-CN" w:bidi="ar-SA"/>
              </w:rPr>
            </w:pPr>
            <w:r>
              <w:rPr>
                <w:rFonts w:hint="eastAsia" w:cs="仿宋"/>
                <w:b w:val="0"/>
                <w:bCs w:val="0"/>
                <w:snapToGrid w:val="0"/>
                <w:color w:val="000000"/>
                <w:spacing w:val="-5"/>
                <w:kern w:val="0"/>
                <w:sz w:val="24"/>
                <w:szCs w:val="24"/>
                <w:lang w:val="en-US" w:eastAsia="zh-CN" w:bidi="ar-SA"/>
              </w:rPr>
              <w:t>2</w:t>
            </w:r>
          </w:p>
        </w:tc>
        <w:tc>
          <w:tcPr>
            <w:tcW w:w="0" w:type="auto"/>
            <w:vAlign w:val="center"/>
          </w:tcPr>
          <w:p w14:paraId="5A335BF1">
            <w:pPr>
              <w:pStyle w:val="45"/>
              <w:spacing w:before="252" w:line="361" w:lineRule="auto"/>
              <w:ind w:left="527" w:right="270" w:hanging="241"/>
              <w:jc w:val="center"/>
              <w:rPr>
                <w:rFonts w:hint="eastAsia" w:ascii="仿宋" w:hAnsi="仿宋" w:eastAsia="仿宋" w:cs="仿宋"/>
                <w:b w:val="0"/>
                <w:bCs w:val="0"/>
                <w:snapToGrid w:val="0"/>
                <w:color w:val="000000"/>
                <w:spacing w:val="-5"/>
                <w:kern w:val="0"/>
                <w:sz w:val="24"/>
                <w:szCs w:val="24"/>
                <w:lang w:val="en-US" w:eastAsia="zh-CN" w:bidi="ar-SA"/>
              </w:rPr>
            </w:pPr>
            <w:r>
              <w:rPr>
                <w:rFonts w:hint="eastAsia" w:ascii="仿宋" w:hAnsi="仿宋" w:eastAsia="仿宋" w:cs="仿宋"/>
                <w:b w:val="0"/>
                <w:bCs w:val="0"/>
                <w:snapToGrid w:val="0"/>
                <w:color w:val="000000"/>
                <w:spacing w:val="-5"/>
                <w:kern w:val="0"/>
                <w:sz w:val="24"/>
                <w:szCs w:val="24"/>
                <w:lang w:val="en-US" w:eastAsia="zh-CN" w:bidi="ar-SA"/>
              </w:rPr>
              <w:t>9 号宿舍</w:t>
            </w:r>
            <w:r>
              <w:rPr>
                <w:rFonts w:hint="eastAsia" w:cs="仿宋"/>
                <w:b w:val="0"/>
                <w:bCs w:val="0"/>
                <w:snapToGrid w:val="0"/>
                <w:color w:val="000000"/>
                <w:spacing w:val="-5"/>
                <w:kern w:val="0"/>
                <w:sz w:val="24"/>
                <w:szCs w:val="24"/>
                <w:lang w:val="en-US" w:eastAsia="zh-CN" w:bidi="ar-SA"/>
              </w:rPr>
              <w:t>楼</w:t>
            </w:r>
            <w:bookmarkStart w:id="11" w:name="_GoBack"/>
            <w:bookmarkEnd w:id="11"/>
            <w:r>
              <w:rPr>
                <w:rFonts w:hint="eastAsia" w:ascii="仿宋" w:hAnsi="仿宋" w:eastAsia="仿宋" w:cs="仿宋"/>
                <w:b w:val="0"/>
                <w:bCs w:val="0"/>
                <w:snapToGrid w:val="0"/>
                <w:color w:val="000000"/>
                <w:spacing w:val="-5"/>
                <w:kern w:val="0"/>
                <w:sz w:val="24"/>
                <w:szCs w:val="24"/>
                <w:lang w:val="en-US" w:eastAsia="zh-CN" w:bidi="ar-SA"/>
              </w:rPr>
              <w:t>及食堂结构安全性鉴定检测</w:t>
            </w:r>
          </w:p>
        </w:tc>
        <w:tc>
          <w:tcPr>
            <w:tcW w:w="2266" w:type="dxa"/>
            <w:vAlign w:val="center"/>
          </w:tcPr>
          <w:p w14:paraId="6FCFF016">
            <w:pPr>
              <w:pStyle w:val="45"/>
              <w:spacing w:before="78" w:line="241" w:lineRule="auto"/>
              <w:jc w:val="center"/>
              <w:rPr>
                <w:rFonts w:hint="default" w:ascii="仿宋" w:hAnsi="仿宋" w:eastAsia="仿宋" w:cs="仿宋"/>
                <w:b w:val="0"/>
                <w:bCs w:val="0"/>
                <w:snapToGrid w:val="0"/>
                <w:color w:val="000000"/>
                <w:spacing w:val="-5"/>
                <w:kern w:val="0"/>
                <w:sz w:val="24"/>
                <w:szCs w:val="24"/>
                <w:lang w:val="en-US" w:eastAsia="zh-CN" w:bidi="ar-SA"/>
              </w:rPr>
            </w:pPr>
          </w:p>
        </w:tc>
      </w:tr>
      <w:tr w14:paraId="2549F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jc w:val="center"/>
        </w:trPr>
        <w:tc>
          <w:tcPr>
            <w:tcW w:w="0" w:type="auto"/>
            <w:vAlign w:val="center"/>
          </w:tcPr>
          <w:p w14:paraId="643374C3">
            <w:pPr>
              <w:pStyle w:val="45"/>
              <w:spacing w:before="252" w:line="361" w:lineRule="auto"/>
              <w:ind w:left="527" w:right="270" w:hanging="241"/>
              <w:jc w:val="center"/>
              <w:rPr>
                <w:rFonts w:hint="default" w:cs="仿宋"/>
                <w:b w:val="0"/>
                <w:bCs w:val="0"/>
                <w:snapToGrid w:val="0"/>
                <w:color w:val="000000"/>
                <w:spacing w:val="-5"/>
                <w:kern w:val="0"/>
                <w:sz w:val="24"/>
                <w:szCs w:val="24"/>
                <w:lang w:val="en-US" w:eastAsia="zh-CN" w:bidi="ar-SA"/>
              </w:rPr>
            </w:pPr>
            <w:r>
              <w:rPr>
                <w:rFonts w:hint="eastAsia" w:cs="仿宋"/>
                <w:b w:val="0"/>
                <w:bCs w:val="0"/>
                <w:snapToGrid w:val="0"/>
                <w:color w:val="000000"/>
                <w:spacing w:val="-5"/>
                <w:kern w:val="0"/>
                <w:sz w:val="24"/>
                <w:szCs w:val="24"/>
                <w:lang w:val="en-US" w:eastAsia="zh-CN" w:bidi="ar-SA"/>
              </w:rPr>
              <w:t>3</w:t>
            </w:r>
          </w:p>
        </w:tc>
        <w:tc>
          <w:tcPr>
            <w:tcW w:w="0" w:type="auto"/>
            <w:vAlign w:val="center"/>
          </w:tcPr>
          <w:p w14:paraId="03B8AE1F">
            <w:pPr>
              <w:pStyle w:val="45"/>
              <w:spacing w:before="252" w:line="361" w:lineRule="auto"/>
              <w:ind w:left="527" w:right="270" w:hanging="241"/>
              <w:jc w:val="center"/>
              <w:rPr>
                <w:rFonts w:hint="default" w:ascii="仿宋" w:hAnsi="仿宋" w:eastAsia="仿宋" w:cs="仿宋"/>
                <w:b w:val="0"/>
                <w:bCs w:val="0"/>
                <w:snapToGrid w:val="0"/>
                <w:color w:val="000000"/>
                <w:spacing w:val="-5"/>
                <w:kern w:val="0"/>
                <w:sz w:val="24"/>
                <w:szCs w:val="24"/>
                <w:lang w:val="en-US" w:eastAsia="zh-CN" w:bidi="ar-SA"/>
              </w:rPr>
            </w:pPr>
            <w:r>
              <w:rPr>
                <w:rFonts w:hint="eastAsia" w:cs="仿宋"/>
                <w:b w:val="0"/>
                <w:bCs w:val="0"/>
                <w:snapToGrid w:val="0"/>
                <w:color w:val="000000"/>
                <w:spacing w:val="-5"/>
                <w:kern w:val="0"/>
                <w:sz w:val="24"/>
                <w:szCs w:val="24"/>
                <w:lang w:val="en-US" w:eastAsia="zh-CN" w:bidi="ar-SA"/>
              </w:rPr>
              <w:t>合计</w:t>
            </w:r>
          </w:p>
        </w:tc>
        <w:tc>
          <w:tcPr>
            <w:tcW w:w="2266" w:type="dxa"/>
            <w:vAlign w:val="center"/>
          </w:tcPr>
          <w:p w14:paraId="23477EF3">
            <w:pPr>
              <w:pStyle w:val="45"/>
              <w:spacing w:before="78" w:line="241" w:lineRule="auto"/>
              <w:jc w:val="center"/>
              <w:rPr>
                <w:rFonts w:hint="default" w:ascii="仿宋" w:hAnsi="仿宋" w:eastAsia="仿宋" w:cs="仿宋"/>
                <w:b w:val="0"/>
                <w:bCs w:val="0"/>
                <w:snapToGrid w:val="0"/>
                <w:color w:val="000000"/>
                <w:spacing w:val="-5"/>
                <w:kern w:val="0"/>
                <w:sz w:val="24"/>
                <w:szCs w:val="24"/>
                <w:lang w:val="en-US" w:eastAsia="zh-CN" w:bidi="ar-SA"/>
              </w:rPr>
            </w:pPr>
          </w:p>
        </w:tc>
      </w:tr>
    </w:tbl>
    <w:p w14:paraId="7485213F">
      <w:pPr>
        <w:pStyle w:val="16"/>
        <w:rPr>
          <w:rFonts w:hint="eastAsia" w:ascii="仿宋" w:hAnsi="仿宋" w:eastAsia="仿宋"/>
        </w:rPr>
      </w:pPr>
    </w:p>
    <w:p w14:paraId="5550980C">
      <w:pPr>
        <w:pStyle w:val="16"/>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68E7DF02">
      <w:pPr>
        <w:spacing w:line="480" w:lineRule="auto"/>
        <w:ind w:firstLine="5520" w:firstLineChars="2300"/>
        <w:jc w:val="left"/>
        <w:rPr>
          <w:rFonts w:hint="eastAsia" w:ascii="仿宋" w:hAnsi="仿宋" w:eastAsia="仿宋"/>
          <w:sz w:val="24"/>
          <w:szCs w:val="24"/>
        </w:rPr>
      </w:pPr>
    </w:p>
    <w:p w14:paraId="23ADF5B6">
      <w:pPr>
        <w:spacing w:line="480" w:lineRule="auto"/>
        <w:ind w:firstLine="5520" w:firstLineChars="2300"/>
        <w:jc w:val="left"/>
        <w:rPr>
          <w:rFonts w:hint="eastAsia" w:ascii="仿宋" w:hAnsi="仿宋" w:eastAsia="仿宋"/>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20"/>
      </w:rPr>
    </w:pPr>
    <w:r>
      <w:fldChar w:fldCharType="begin"/>
    </w:r>
    <w:r>
      <w:rPr>
        <w:rStyle w:val="20"/>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A155B3"/>
    <w:multiLevelType w:val="singleLevel"/>
    <w:tmpl w:val="E1A155B3"/>
    <w:lvl w:ilvl="0" w:tentative="0">
      <w:start w:val="4"/>
      <w:numFmt w:val="chineseCounting"/>
      <w:suff w:val="nothing"/>
      <w:lvlText w:val="%1、"/>
      <w:lvlJc w:val="left"/>
      <w:rPr>
        <w:rFonts w:hint="eastAsia"/>
      </w:rPr>
    </w:lvl>
  </w:abstractNum>
  <w:abstractNum w:abstractNumId="1">
    <w:nsid w:val="227404F3"/>
    <w:multiLevelType w:val="singleLevel"/>
    <w:tmpl w:val="227404F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5B6B52"/>
    <w:rsid w:val="017442FA"/>
    <w:rsid w:val="01C553E8"/>
    <w:rsid w:val="0215299B"/>
    <w:rsid w:val="044E0E32"/>
    <w:rsid w:val="055043B1"/>
    <w:rsid w:val="05997E8B"/>
    <w:rsid w:val="05F60B74"/>
    <w:rsid w:val="066D3445"/>
    <w:rsid w:val="085A0179"/>
    <w:rsid w:val="08964B56"/>
    <w:rsid w:val="08C83CB5"/>
    <w:rsid w:val="09660687"/>
    <w:rsid w:val="097D7547"/>
    <w:rsid w:val="09902C2B"/>
    <w:rsid w:val="0A9926DB"/>
    <w:rsid w:val="0C3721EC"/>
    <w:rsid w:val="0CEC11E8"/>
    <w:rsid w:val="0CFD51A3"/>
    <w:rsid w:val="0D7A240F"/>
    <w:rsid w:val="0D973665"/>
    <w:rsid w:val="0FB06655"/>
    <w:rsid w:val="10912321"/>
    <w:rsid w:val="10C81F6C"/>
    <w:rsid w:val="11BE5B42"/>
    <w:rsid w:val="12F649BD"/>
    <w:rsid w:val="13A26E3E"/>
    <w:rsid w:val="13AE369B"/>
    <w:rsid w:val="144F1BCA"/>
    <w:rsid w:val="14FD6A90"/>
    <w:rsid w:val="15455939"/>
    <w:rsid w:val="159D11E4"/>
    <w:rsid w:val="15B12877"/>
    <w:rsid w:val="15D95635"/>
    <w:rsid w:val="16D36F75"/>
    <w:rsid w:val="16FC64CC"/>
    <w:rsid w:val="171A4BA4"/>
    <w:rsid w:val="172E31C9"/>
    <w:rsid w:val="17C3509D"/>
    <w:rsid w:val="18B0196A"/>
    <w:rsid w:val="19E54DD6"/>
    <w:rsid w:val="1A07140F"/>
    <w:rsid w:val="1A7D0640"/>
    <w:rsid w:val="1A7D2861"/>
    <w:rsid w:val="1B451A26"/>
    <w:rsid w:val="1BB90E2F"/>
    <w:rsid w:val="1D444728"/>
    <w:rsid w:val="1E4F7829"/>
    <w:rsid w:val="1F9951FF"/>
    <w:rsid w:val="201D3E7D"/>
    <w:rsid w:val="202D76F6"/>
    <w:rsid w:val="20746BB2"/>
    <w:rsid w:val="21E64000"/>
    <w:rsid w:val="22CE3412"/>
    <w:rsid w:val="22E45C6F"/>
    <w:rsid w:val="22FB1D2D"/>
    <w:rsid w:val="23E9602A"/>
    <w:rsid w:val="242B03F0"/>
    <w:rsid w:val="24F13006"/>
    <w:rsid w:val="26E533CB"/>
    <w:rsid w:val="27A93FC4"/>
    <w:rsid w:val="28904CC6"/>
    <w:rsid w:val="295D104C"/>
    <w:rsid w:val="29B665AC"/>
    <w:rsid w:val="29D15596"/>
    <w:rsid w:val="2A7725E1"/>
    <w:rsid w:val="2B222CDB"/>
    <w:rsid w:val="2B473D61"/>
    <w:rsid w:val="2CB01DDA"/>
    <w:rsid w:val="2CB25B52"/>
    <w:rsid w:val="2D460049"/>
    <w:rsid w:val="30C920C5"/>
    <w:rsid w:val="31323D50"/>
    <w:rsid w:val="3163566D"/>
    <w:rsid w:val="31D8203D"/>
    <w:rsid w:val="31FA2FC3"/>
    <w:rsid w:val="3248523C"/>
    <w:rsid w:val="326C2E47"/>
    <w:rsid w:val="32C65BB0"/>
    <w:rsid w:val="353327D7"/>
    <w:rsid w:val="35A3072E"/>
    <w:rsid w:val="35BA60CE"/>
    <w:rsid w:val="360B0081"/>
    <w:rsid w:val="36835E6A"/>
    <w:rsid w:val="37182D17"/>
    <w:rsid w:val="38A93B0F"/>
    <w:rsid w:val="38CA49CD"/>
    <w:rsid w:val="39D54C2E"/>
    <w:rsid w:val="3A731769"/>
    <w:rsid w:val="3B3140E6"/>
    <w:rsid w:val="3B8763FC"/>
    <w:rsid w:val="3C0E61D6"/>
    <w:rsid w:val="3CFA67C1"/>
    <w:rsid w:val="3D912B45"/>
    <w:rsid w:val="3DC92B7D"/>
    <w:rsid w:val="3E135601"/>
    <w:rsid w:val="3E7013C9"/>
    <w:rsid w:val="3F2D1069"/>
    <w:rsid w:val="404D79B1"/>
    <w:rsid w:val="40CF23D7"/>
    <w:rsid w:val="411058C0"/>
    <w:rsid w:val="413277CA"/>
    <w:rsid w:val="41A31919"/>
    <w:rsid w:val="42507548"/>
    <w:rsid w:val="457F75CA"/>
    <w:rsid w:val="46E1494D"/>
    <w:rsid w:val="471A6376"/>
    <w:rsid w:val="48125136"/>
    <w:rsid w:val="495E1E55"/>
    <w:rsid w:val="4A6C57DD"/>
    <w:rsid w:val="4A842484"/>
    <w:rsid w:val="4ACE4B79"/>
    <w:rsid w:val="4ADA413D"/>
    <w:rsid w:val="4C811ECE"/>
    <w:rsid w:val="4C8E75EA"/>
    <w:rsid w:val="4CD64AED"/>
    <w:rsid w:val="4CF0277A"/>
    <w:rsid w:val="4DEA6AA2"/>
    <w:rsid w:val="4DF74D1B"/>
    <w:rsid w:val="4E546612"/>
    <w:rsid w:val="505E5526"/>
    <w:rsid w:val="50C025FA"/>
    <w:rsid w:val="51CA3B38"/>
    <w:rsid w:val="53425821"/>
    <w:rsid w:val="543D7D43"/>
    <w:rsid w:val="54413194"/>
    <w:rsid w:val="554E608A"/>
    <w:rsid w:val="56D36709"/>
    <w:rsid w:val="56EB5013"/>
    <w:rsid w:val="579B08DA"/>
    <w:rsid w:val="57A557E8"/>
    <w:rsid w:val="57DD4F82"/>
    <w:rsid w:val="57E37FE4"/>
    <w:rsid w:val="59337A15"/>
    <w:rsid w:val="59B61F2F"/>
    <w:rsid w:val="5A865DA5"/>
    <w:rsid w:val="5B3B1FAA"/>
    <w:rsid w:val="5BEE021E"/>
    <w:rsid w:val="5BF22FC6"/>
    <w:rsid w:val="5CF8252C"/>
    <w:rsid w:val="5D0631CD"/>
    <w:rsid w:val="5D215911"/>
    <w:rsid w:val="5D6D1C91"/>
    <w:rsid w:val="5DBF70F0"/>
    <w:rsid w:val="5DF23B2E"/>
    <w:rsid w:val="5E5E23A5"/>
    <w:rsid w:val="5E7C394C"/>
    <w:rsid w:val="5F4578E7"/>
    <w:rsid w:val="5F4E26F5"/>
    <w:rsid w:val="60511ABB"/>
    <w:rsid w:val="62173015"/>
    <w:rsid w:val="6228716A"/>
    <w:rsid w:val="62652744"/>
    <w:rsid w:val="63A20CFF"/>
    <w:rsid w:val="63F83144"/>
    <w:rsid w:val="66DC6D4D"/>
    <w:rsid w:val="66ED741F"/>
    <w:rsid w:val="68B735CD"/>
    <w:rsid w:val="6A400653"/>
    <w:rsid w:val="6A7F45BF"/>
    <w:rsid w:val="6B5A68F5"/>
    <w:rsid w:val="6BBF5D79"/>
    <w:rsid w:val="6BC9041D"/>
    <w:rsid w:val="6C133210"/>
    <w:rsid w:val="6D1014FE"/>
    <w:rsid w:val="6DAB7F02"/>
    <w:rsid w:val="6E997559"/>
    <w:rsid w:val="6F190B3E"/>
    <w:rsid w:val="6F8504F6"/>
    <w:rsid w:val="6FED171B"/>
    <w:rsid w:val="719E17CE"/>
    <w:rsid w:val="71CD20B4"/>
    <w:rsid w:val="72567DE8"/>
    <w:rsid w:val="72C16AF2"/>
    <w:rsid w:val="72FA6ED8"/>
    <w:rsid w:val="736E6F7E"/>
    <w:rsid w:val="73A76E7D"/>
    <w:rsid w:val="74A23383"/>
    <w:rsid w:val="751E1916"/>
    <w:rsid w:val="75730384"/>
    <w:rsid w:val="78401AE9"/>
    <w:rsid w:val="7B4E5EDA"/>
    <w:rsid w:val="7BEB3862"/>
    <w:rsid w:val="7C6F094C"/>
    <w:rsid w:val="7C7B7C1A"/>
    <w:rsid w:val="7D210FAE"/>
    <w:rsid w:val="7DE95B7F"/>
    <w:rsid w:val="7DF64DA9"/>
    <w:rsid w:val="7E151C77"/>
    <w:rsid w:val="7ED60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8"/>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Body Text Indent"/>
    <w:basedOn w:val="1"/>
    <w:next w:val="7"/>
    <w:unhideWhenUsed/>
    <w:qFormat/>
    <w:uiPriority w:val="99"/>
    <w:pPr>
      <w:spacing w:after="120"/>
      <w:ind w:left="420" w:leftChars="200"/>
    </w:pPr>
  </w:style>
  <w:style w:type="paragraph" w:styleId="7">
    <w:name w:val="Body Text Indent 2"/>
    <w:basedOn w:val="1"/>
    <w:link w:val="40"/>
    <w:qFormat/>
    <w:uiPriority w:val="99"/>
    <w:pPr>
      <w:spacing w:after="120" w:line="480" w:lineRule="auto"/>
      <w:ind w:left="420" w:leftChars="200"/>
    </w:pPr>
    <w:rPr>
      <w:kern w:val="0"/>
      <w:sz w:val="24"/>
    </w:rPr>
  </w:style>
  <w:style w:type="paragraph" w:styleId="8">
    <w:name w:val="Document Map"/>
    <w:basedOn w:val="1"/>
    <w:link w:val="24"/>
    <w:semiHidden/>
    <w:unhideWhenUsed/>
    <w:qFormat/>
    <w:uiPriority w:val="99"/>
    <w:rPr>
      <w:rFonts w:ascii="宋体"/>
      <w:sz w:val="18"/>
      <w:szCs w:val="18"/>
    </w:rPr>
  </w:style>
  <w:style w:type="paragraph" w:styleId="9">
    <w:name w:val="Body Text"/>
    <w:basedOn w:val="1"/>
    <w:next w:val="1"/>
    <w:link w:val="36"/>
    <w:qFormat/>
    <w:uiPriority w:val="0"/>
    <w:pPr>
      <w:spacing w:after="120"/>
    </w:pPr>
    <w:rPr>
      <w:rFonts w:ascii="Times New Roman" w:hAnsi="Times New Roman"/>
      <w:szCs w:val="24"/>
    </w:rPr>
  </w:style>
  <w:style w:type="paragraph" w:styleId="10">
    <w:name w:val="Plain Text"/>
    <w:basedOn w:val="1"/>
    <w:link w:val="29"/>
    <w:qFormat/>
    <w:uiPriority w:val="0"/>
    <w:rPr>
      <w:rFonts w:ascii="宋体" w:hAnsi="Courier New"/>
      <w:kern w:val="0"/>
      <w:szCs w:val="20"/>
    </w:rPr>
  </w:style>
  <w:style w:type="paragraph" w:styleId="11">
    <w:name w:val="Date"/>
    <w:basedOn w:val="1"/>
    <w:next w:val="1"/>
    <w:link w:val="26"/>
    <w:semiHidden/>
    <w:unhideWhenUsed/>
    <w:qFormat/>
    <w:uiPriority w:val="99"/>
    <w:pPr>
      <w:ind w:left="100" w:leftChars="2500"/>
    </w:pPr>
  </w:style>
  <w:style w:type="paragraph" w:styleId="12">
    <w:name w:val="footer"/>
    <w:basedOn w:val="1"/>
    <w:link w:val="23"/>
    <w:unhideWhenUsed/>
    <w:qFormat/>
    <w:uiPriority w:val="99"/>
    <w:pPr>
      <w:tabs>
        <w:tab w:val="center" w:pos="4153"/>
        <w:tab w:val="right" w:pos="8306"/>
      </w:tabs>
      <w:snapToGrid w:val="0"/>
      <w:jc w:val="left"/>
    </w:pPr>
    <w:rPr>
      <w:sz w:val="18"/>
      <w:szCs w:val="18"/>
    </w:rPr>
  </w:style>
  <w:style w:type="paragraph" w:styleId="13">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6"/>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paragraph" w:customStyle="1" w:styleId="21">
    <w:name w:val="Normal Indent1"/>
    <w:qFormat/>
    <w:uiPriority w:val="0"/>
    <w:pPr>
      <w:spacing w:after="160" w:afterLines="50" w:line="360" w:lineRule="auto"/>
      <w:ind w:firstLine="420" w:firstLineChars="200"/>
    </w:pPr>
    <w:rPr>
      <w:rFonts w:ascii="Times New Roman" w:hAnsi="Times New Roman" w:eastAsia="宋体" w:cs="Times New Roman"/>
      <w:lang w:val="en-US" w:eastAsia="zh-CN" w:bidi="ar-SA"/>
    </w:rPr>
  </w:style>
  <w:style w:type="character" w:customStyle="1" w:styleId="22">
    <w:name w:val="页眉 字符"/>
    <w:basedOn w:val="19"/>
    <w:link w:val="13"/>
    <w:qFormat/>
    <w:uiPriority w:val="0"/>
    <w:rPr>
      <w:rFonts w:ascii="Calibri" w:hAnsi="Calibri" w:eastAsia="宋体" w:cs="Times New Roman"/>
      <w:sz w:val="18"/>
      <w:szCs w:val="18"/>
    </w:rPr>
  </w:style>
  <w:style w:type="character" w:customStyle="1" w:styleId="23">
    <w:name w:val="页脚 字符"/>
    <w:basedOn w:val="19"/>
    <w:link w:val="12"/>
    <w:qFormat/>
    <w:uiPriority w:val="99"/>
    <w:rPr>
      <w:rFonts w:ascii="Calibri" w:hAnsi="Calibri" w:eastAsia="宋体" w:cs="Times New Roman"/>
      <w:sz w:val="18"/>
      <w:szCs w:val="18"/>
    </w:rPr>
  </w:style>
  <w:style w:type="character" w:customStyle="1" w:styleId="24">
    <w:name w:val="文档结构图 字符"/>
    <w:basedOn w:val="19"/>
    <w:link w:val="8"/>
    <w:semiHidden/>
    <w:qFormat/>
    <w:uiPriority w:val="99"/>
    <w:rPr>
      <w:rFonts w:ascii="宋体" w:hAnsi="Calibri" w:eastAsia="宋体" w:cs="Times New Roman"/>
      <w:sz w:val="18"/>
      <w:szCs w:val="18"/>
    </w:rPr>
  </w:style>
  <w:style w:type="paragraph" w:customStyle="1" w:styleId="25">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6">
    <w:name w:val="日期 字符"/>
    <w:basedOn w:val="19"/>
    <w:link w:val="11"/>
    <w:semiHidden/>
    <w:qFormat/>
    <w:uiPriority w:val="99"/>
    <w:rPr>
      <w:rFonts w:ascii="Calibri" w:hAnsi="Calibri" w:eastAsia="宋体" w:cs="Times New Roman"/>
    </w:rPr>
  </w:style>
  <w:style w:type="paragraph" w:customStyle="1" w:styleId="27">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8">
    <w:name w:val="标题 1 字符"/>
    <w:basedOn w:val="19"/>
    <w:link w:val="2"/>
    <w:qFormat/>
    <w:uiPriority w:val="0"/>
    <w:rPr>
      <w:rFonts w:ascii="Cambria" w:hAnsi="Cambria" w:eastAsia="华文中宋" w:cs="Times New Roman"/>
      <w:b/>
      <w:bCs/>
      <w:sz w:val="44"/>
      <w:szCs w:val="28"/>
    </w:rPr>
  </w:style>
  <w:style w:type="character" w:customStyle="1" w:styleId="29">
    <w:name w:val="纯文本 字符"/>
    <w:link w:val="10"/>
    <w:qFormat/>
    <w:locked/>
    <w:uiPriority w:val="0"/>
    <w:rPr>
      <w:rFonts w:ascii="宋体" w:hAnsi="Courier New"/>
      <w:sz w:val="21"/>
    </w:rPr>
  </w:style>
  <w:style w:type="character" w:customStyle="1" w:styleId="30">
    <w:name w:val="纯文本 Char"/>
    <w:basedOn w:val="19"/>
    <w:semiHidden/>
    <w:qFormat/>
    <w:uiPriority w:val="99"/>
    <w:rPr>
      <w:rFonts w:ascii="宋体" w:hAnsi="Courier New" w:cs="Courier New"/>
      <w:kern w:val="2"/>
      <w:sz w:val="21"/>
      <w:szCs w:val="21"/>
    </w:rPr>
  </w:style>
  <w:style w:type="character" w:customStyle="1" w:styleId="31">
    <w:name w:val="标题 2 字符"/>
    <w:basedOn w:val="19"/>
    <w:link w:val="3"/>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字符"/>
    <w:basedOn w:val="19"/>
    <w:link w:val="4"/>
    <w:qFormat/>
    <w:uiPriority w:val="9"/>
    <w:rPr>
      <w:rFonts w:asciiTheme="majorHAnsi" w:hAnsiTheme="majorHAnsi" w:eastAsiaTheme="majorEastAsia" w:cstheme="majorBidi"/>
      <w:b/>
      <w:bCs/>
      <w:kern w:val="2"/>
      <w:sz w:val="24"/>
      <w:szCs w:val="24"/>
    </w:rPr>
  </w:style>
  <w:style w:type="character" w:customStyle="1" w:styleId="36">
    <w:name w:val="正文文本 字符"/>
    <w:basedOn w:val="19"/>
    <w:link w:val="9"/>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字符"/>
    <w:link w:val="7"/>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3"/>
    <w:qFormat/>
    <w:uiPriority w:val="0"/>
    <w:pPr>
      <w:spacing w:before="0" w:after="0" w:line="560" w:lineRule="exact"/>
      <w:ind w:firstLine="200" w:firstLineChars="200"/>
    </w:pPr>
    <w:rPr>
      <w:rFonts w:ascii="楷体_GB2312" w:hAnsi="Times New Roman" w:eastAsia="楷体_GB2312"/>
      <w:b w:val="0"/>
    </w:rPr>
  </w:style>
  <w:style w:type="table" w:customStyle="1" w:styleId="44">
    <w:name w:val="Table Normal"/>
    <w:semiHidden/>
    <w:unhideWhenUsed/>
    <w:qFormat/>
    <w:uiPriority w:val="0"/>
    <w:tblPr>
      <w:tblCellMar>
        <w:top w:w="0" w:type="dxa"/>
        <w:left w:w="0" w:type="dxa"/>
        <w:bottom w:w="0" w:type="dxa"/>
        <w:right w:w="0" w:type="dxa"/>
      </w:tblCellMar>
    </w:tblPr>
  </w:style>
  <w:style w:type="paragraph" w:customStyle="1" w:styleId="45">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2454</Words>
  <Characters>2528</Characters>
  <Lines>31</Lines>
  <Paragraphs>9</Paragraphs>
  <TotalTime>7</TotalTime>
  <ScaleCrop>false</ScaleCrop>
  <LinksUpToDate>false</LinksUpToDate>
  <CharactersWithSpaces>2553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杨娅</cp:lastModifiedBy>
  <cp:lastPrinted>2020-08-24T02:17:00Z</cp:lastPrinted>
  <dcterms:modified xsi:type="dcterms:W3CDTF">2026-08-14T03:01:27Z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5D4E8C44677949C8A4714E7CB5A1C5FD_13</vt:lpwstr>
  </property>
  <property fmtid="{D5CDD505-2E9C-101B-9397-08002B2CF9AE}" pid="4" name="KSOTemplateDocerSaveRecord">
    <vt:lpwstr>eyJoZGlkIjoiNGM0MWE5YzdiZDZjZmIwNzQyYzRmY2JhNTJiMmQxMDgiLCJ1c2VySWQiOiIxODUzODkwMjEyIn0=</vt:lpwstr>
  </property>
</Properties>
</file>