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F7D52">
      <w:pPr>
        <w:adjustRightInd w:val="0"/>
        <w:snapToGrid w:val="0"/>
        <w:spacing w:line="360" w:lineRule="auto"/>
        <w:ind w:firstLine="405"/>
        <w:rPr>
          <w:rFonts w:hint="eastAsia" w:ascii="仿宋_GB2312" w:hAnsi="华文中宋" w:eastAsia="仿宋_GB2312"/>
          <w:b/>
          <w:sz w:val="84"/>
          <w:szCs w:val="84"/>
        </w:rPr>
      </w:pPr>
      <w:bookmarkStart w:id="13" w:name="_GoBack"/>
      <w:bookmarkEnd w:id="13"/>
    </w:p>
    <w:p w14:paraId="7AB280E5">
      <w:pPr>
        <w:pStyle w:val="9"/>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76E53BEC">
      <w:pPr>
        <w:pStyle w:val="9"/>
        <w:adjustRightInd w:val="0"/>
        <w:snapToGrid w:val="0"/>
        <w:spacing w:line="360" w:lineRule="auto"/>
        <w:ind w:left="846" w:leftChars="403" w:firstLine="157" w:firstLineChars="49"/>
        <w:rPr>
          <w:rFonts w:hint="eastAsia" w:ascii="黑体" w:hAnsi="黑体" w:eastAsia="黑体"/>
          <w:b/>
          <w:sz w:val="32"/>
          <w:szCs w:val="32"/>
        </w:rPr>
      </w:pPr>
    </w:p>
    <w:p w14:paraId="14D1C8BC">
      <w:pPr>
        <w:pStyle w:val="9"/>
        <w:adjustRightInd w:val="0"/>
        <w:snapToGrid w:val="0"/>
        <w:spacing w:line="360" w:lineRule="auto"/>
        <w:ind w:left="846" w:leftChars="403" w:firstLine="157" w:firstLineChars="49"/>
        <w:rPr>
          <w:rFonts w:hint="eastAsia" w:ascii="黑体" w:hAnsi="黑体" w:eastAsia="黑体"/>
          <w:b/>
          <w:sz w:val="32"/>
          <w:szCs w:val="32"/>
        </w:rPr>
      </w:pPr>
    </w:p>
    <w:p w14:paraId="626455D9">
      <w:pPr>
        <w:pStyle w:val="9"/>
        <w:adjustRightInd w:val="0"/>
        <w:snapToGrid w:val="0"/>
        <w:spacing w:line="360" w:lineRule="auto"/>
        <w:ind w:left="846" w:leftChars="403" w:firstLine="157" w:firstLineChars="49"/>
        <w:rPr>
          <w:rFonts w:hint="eastAsia" w:ascii="黑体" w:hAnsi="黑体" w:eastAsia="黑体"/>
          <w:b/>
          <w:sz w:val="32"/>
          <w:szCs w:val="32"/>
        </w:rPr>
      </w:pPr>
    </w:p>
    <w:p w14:paraId="06256D50">
      <w:pPr>
        <w:pStyle w:val="9"/>
        <w:adjustRightInd w:val="0"/>
        <w:snapToGrid w:val="0"/>
        <w:spacing w:line="360" w:lineRule="auto"/>
        <w:ind w:left="846" w:leftChars="403" w:firstLine="157" w:firstLineChars="49"/>
        <w:rPr>
          <w:rFonts w:hint="eastAsia" w:ascii="黑体" w:hAnsi="黑体" w:eastAsia="黑体"/>
          <w:b/>
          <w:sz w:val="32"/>
          <w:szCs w:val="32"/>
        </w:rPr>
      </w:pPr>
    </w:p>
    <w:p w14:paraId="7FB403D2">
      <w:pPr>
        <w:pStyle w:val="9"/>
        <w:adjustRightInd w:val="0"/>
        <w:snapToGrid w:val="0"/>
        <w:spacing w:line="360" w:lineRule="auto"/>
        <w:ind w:left="846" w:leftChars="403" w:firstLine="157" w:firstLineChars="49"/>
        <w:rPr>
          <w:rFonts w:hint="eastAsia" w:ascii="黑体" w:hAnsi="黑体" w:eastAsia="黑体"/>
          <w:b/>
          <w:sz w:val="32"/>
          <w:szCs w:val="32"/>
        </w:rPr>
      </w:pPr>
    </w:p>
    <w:p w14:paraId="29430861">
      <w:pPr>
        <w:pStyle w:val="40"/>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kern w:val="0"/>
          <w:sz w:val="32"/>
          <w:szCs w:val="32"/>
        </w:rPr>
        <w:t>轨道交通装备产教融合中心和新校区7#学生宿舍绿建咨询项目</w:t>
      </w:r>
    </w:p>
    <w:p w14:paraId="6135D58D">
      <w:pPr>
        <w:pStyle w:val="9"/>
        <w:adjustRightInd w:val="0"/>
        <w:snapToGrid w:val="0"/>
        <w:spacing w:before="156" w:beforeLines="50" w:after="156" w:afterLines="50"/>
        <w:ind w:left="2559" w:leftChars="152" w:hanging="2240" w:hangingChars="700"/>
        <w:rPr>
          <w:rFonts w:hint="eastAsia" w:ascii="黑体" w:hAnsi="黑体" w:eastAsia="黑体"/>
          <w:sz w:val="32"/>
          <w:szCs w:val="32"/>
        </w:rPr>
      </w:pPr>
    </w:p>
    <w:p w14:paraId="58C3354B">
      <w:pPr>
        <w:pStyle w:val="9"/>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3C8EED45">
      <w:pPr>
        <w:pStyle w:val="9"/>
        <w:adjustRightInd w:val="0"/>
        <w:snapToGrid w:val="0"/>
        <w:spacing w:line="440" w:lineRule="exact"/>
        <w:jc w:val="center"/>
        <w:rPr>
          <w:rFonts w:hint="eastAsia" w:ascii="黑体" w:hAnsi="黑体" w:eastAsia="黑体"/>
          <w:b/>
          <w:sz w:val="32"/>
        </w:rPr>
      </w:pPr>
    </w:p>
    <w:p w14:paraId="5F227214">
      <w:pPr>
        <w:pStyle w:val="9"/>
        <w:adjustRightInd w:val="0"/>
        <w:snapToGrid w:val="0"/>
        <w:spacing w:line="440" w:lineRule="exact"/>
        <w:jc w:val="center"/>
        <w:rPr>
          <w:rFonts w:hint="eastAsia" w:ascii="黑体" w:hAnsi="黑体" w:eastAsia="黑体"/>
          <w:b/>
          <w:sz w:val="32"/>
        </w:rPr>
      </w:pPr>
    </w:p>
    <w:p w14:paraId="03C67FEF">
      <w:pPr>
        <w:pStyle w:val="9"/>
        <w:adjustRightInd w:val="0"/>
        <w:snapToGrid w:val="0"/>
        <w:spacing w:line="440" w:lineRule="exact"/>
        <w:jc w:val="center"/>
        <w:rPr>
          <w:rFonts w:hint="eastAsia" w:ascii="黑体" w:hAnsi="黑体" w:eastAsia="黑体"/>
          <w:b/>
          <w:sz w:val="32"/>
        </w:rPr>
      </w:pPr>
    </w:p>
    <w:p w14:paraId="0E970278">
      <w:pPr>
        <w:pStyle w:val="9"/>
        <w:adjustRightInd w:val="0"/>
        <w:snapToGrid w:val="0"/>
        <w:spacing w:line="440" w:lineRule="exact"/>
        <w:jc w:val="center"/>
        <w:rPr>
          <w:rFonts w:hint="eastAsia" w:ascii="黑体" w:hAnsi="黑体" w:eastAsia="黑体"/>
          <w:b/>
          <w:sz w:val="32"/>
        </w:rPr>
      </w:pPr>
    </w:p>
    <w:p w14:paraId="71468B83">
      <w:pPr>
        <w:pStyle w:val="9"/>
        <w:adjustRightInd w:val="0"/>
        <w:snapToGrid w:val="0"/>
        <w:spacing w:line="440" w:lineRule="exact"/>
        <w:jc w:val="center"/>
        <w:rPr>
          <w:rFonts w:hint="eastAsia" w:ascii="黑体" w:hAnsi="黑体" w:eastAsia="黑体"/>
          <w:b/>
          <w:sz w:val="32"/>
        </w:rPr>
      </w:pPr>
    </w:p>
    <w:p w14:paraId="7C6A8515">
      <w:pPr>
        <w:pStyle w:val="9"/>
        <w:adjustRightInd w:val="0"/>
        <w:snapToGrid w:val="0"/>
        <w:spacing w:line="440" w:lineRule="exact"/>
        <w:jc w:val="center"/>
        <w:rPr>
          <w:rFonts w:hint="eastAsia" w:ascii="黑体" w:hAnsi="黑体" w:eastAsia="黑体"/>
          <w:b/>
          <w:sz w:val="32"/>
        </w:rPr>
      </w:pPr>
    </w:p>
    <w:p w14:paraId="50AE80EB">
      <w:pPr>
        <w:pStyle w:val="9"/>
        <w:adjustRightInd w:val="0"/>
        <w:snapToGrid w:val="0"/>
        <w:spacing w:line="440" w:lineRule="exact"/>
        <w:jc w:val="center"/>
        <w:rPr>
          <w:rFonts w:hint="eastAsia" w:ascii="黑体" w:hAnsi="黑体" w:eastAsia="黑体"/>
          <w:b/>
          <w:sz w:val="32"/>
        </w:rPr>
      </w:pPr>
    </w:p>
    <w:p w14:paraId="0B1C1C22">
      <w:pPr>
        <w:pStyle w:val="9"/>
        <w:adjustRightInd w:val="0"/>
        <w:snapToGrid w:val="0"/>
        <w:spacing w:line="440" w:lineRule="exact"/>
        <w:jc w:val="center"/>
        <w:rPr>
          <w:rFonts w:hint="eastAsia" w:ascii="黑体" w:hAnsi="黑体" w:eastAsia="黑体"/>
          <w:b/>
          <w:sz w:val="32"/>
        </w:rPr>
      </w:pPr>
    </w:p>
    <w:p w14:paraId="5D4F3924">
      <w:pPr>
        <w:pStyle w:val="9"/>
        <w:adjustRightInd w:val="0"/>
        <w:snapToGrid w:val="0"/>
        <w:spacing w:line="440" w:lineRule="exact"/>
        <w:jc w:val="center"/>
        <w:rPr>
          <w:rFonts w:hint="eastAsia" w:ascii="黑体" w:hAnsi="黑体" w:eastAsia="黑体"/>
          <w:b/>
          <w:sz w:val="32"/>
        </w:rPr>
      </w:pPr>
    </w:p>
    <w:p w14:paraId="3B3C8988">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rPr>
        <w:t>四</w:t>
      </w:r>
      <w:r>
        <w:rPr>
          <w:rFonts w:ascii="黑体" w:hAnsi="黑体" w:eastAsia="黑体"/>
          <w:sz w:val="32"/>
          <w:szCs w:val="32"/>
        </w:rPr>
        <w:t>月</w:t>
      </w:r>
    </w:p>
    <w:p w14:paraId="17C3BD41">
      <w:pPr>
        <w:pStyle w:val="15"/>
      </w:pPr>
    </w:p>
    <w:p w14:paraId="452C5BC9">
      <w:pPr>
        <w:pStyle w:val="15"/>
        <w:rPr>
          <w:szCs w:val="22"/>
        </w:rPr>
      </w:pPr>
    </w:p>
    <w:p w14:paraId="1573058C">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湖南铁道职业技术学院轨道交通装备产教融合中心和新校区7#学生宿舍绿建咨询项目询比</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3093B654">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rPr>
        <w:t>轨道交通装备产教融合中心和新校区7#学生宿舍绿建咨询项目需进行询比采购，现采用发布公告方式，邀请符合资格条件的供应商参与采购活动。</w:t>
      </w:r>
    </w:p>
    <w:p w14:paraId="7D1AC89A">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26475"/>
      <w:bookmarkStart w:id="1" w:name="_Toc31662_WPSOffice_Level2"/>
      <w:bookmarkStart w:id="2" w:name="_Toc4659"/>
      <w:bookmarkStart w:id="3" w:name="_Toc3564"/>
      <w:bookmarkStart w:id="4" w:name="_Toc17794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678D958E">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1.项目名称：轨道交通装备产教融合中心和新校区7#学生宿舍绿建咨询项目</w:t>
      </w:r>
    </w:p>
    <w:p w14:paraId="2D780A1D">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 xml:space="preserve">2.项目概况: </w:t>
      </w:r>
    </w:p>
    <w:p w14:paraId="6D6C7CE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3.服务内容：两个项目绿色建筑一星级预评价（或专项专家评审结论）、评审专家会务费及场地费，直至项目通过竣工验收 ，具体内容详见采购文件（见附件）。</w:t>
      </w:r>
    </w:p>
    <w:p w14:paraId="5D854C21">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 19.6</w:t>
      </w:r>
      <w:r>
        <w:rPr>
          <w:rFonts w:ascii="仿宋" w:hAnsi="仿宋" w:eastAsia="仿宋"/>
          <w:sz w:val="24"/>
          <w:szCs w:val="24"/>
        </w:rPr>
        <w:t>万元</w:t>
      </w:r>
    </w:p>
    <w:p w14:paraId="706609BA">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2A4AC9C7">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48D3964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38303AAE">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3004220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2CF09638">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09EE4060">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1121E6D2">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bookmarkStart w:id="5" w:name="OLE_LINK9"/>
      <w:r>
        <w:rPr>
          <w:rFonts w:hint="eastAsia" w:ascii="仿宋" w:hAnsi="仿宋" w:eastAsia="仿宋"/>
          <w:sz w:val="24"/>
          <w:szCs w:val="24"/>
        </w:rPr>
        <w:t>（6）</w:t>
      </w:r>
      <w:bookmarkEnd w:id="5"/>
      <w:r>
        <w:rPr>
          <w:rFonts w:hint="eastAsia" w:ascii="仿宋" w:hAnsi="仿宋" w:eastAsia="仿宋"/>
          <w:sz w:val="24"/>
          <w:szCs w:val="24"/>
        </w:rPr>
        <w:t>法律、行政法规规定的其他条件。</w:t>
      </w:r>
    </w:p>
    <w:p w14:paraId="5A4DDED3">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2、特定资格条件：具有《工程咨询单位乙级咨信证书》</w:t>
      </w:r>
    </w:p>
    <w:p w14:paraId="35C8B3E6">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3、不接受联合体投标</w:t>
      </w:r>
    </w:p>
    <w:p w14:paraId="0739DA02">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6" w:name="_Toc58335831"/>
      <w:r>
        <w:rPr>
          <w:rFonts w:hint="eastAsia" w:ascii="仿宋" w:hAnsi="仿宋" w:eastAsia="仿宋"/>
          <w:b/>
          <w:bCs/>
          <w:sz w:val="24"/>
          <w:szCs w:val="24"/>
        </w:rPr>
        <w:t>三、响应文件提交的截止时间、开启时间及地点</w:t>
      </w:r>
      <w:bookmarkEnd w:id="6"/>
    </w:p>
    <w:p w14:paraId="054E6273">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1．首次响应文件的提交截止时间：2025年4月15日17时</w:t>
      </w:r>
    </w:p>
    <w:p w14:paraId="5FCFB0A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2．首次响应文件的开启时间：2025年4月16日9时</w:t>
      </w:r>
    </w:p>
    <w:p w14:paraId="74D28A25">
      <w:pPr>
        <w:spacing w:line="360" w:lineRule="auto"/>
        <w:ind w:left="480"/>
        <w:rPr>
          <w:rFonts w:hint="eastAsia" w:ascii="宋体" w:hAnsi="宋体" w:cs="宋体"/>
          <w:kern w:val="0"/>
          <w:sz w:val="24"/>
        </w:rPr>
      </w:pPr>
      <w:r>
        <w:rPr>
          <w:rFonts w:hint="eastAsia" w:ascii="仿宋" w:hAnsi="仿宋" w:eastAsia="仿宋"/>
          <w:sz w:val="24"/>
          <w:szCs w:val="24"/>
        </w:rPr>
        <w:t>3．首次响应文件的开启地点</w:t>
      </w:r>
      <w:r>
        <w:rPr>
          <w:rFonts w:hint="eastAsia" w:ascii="仿宋" w:hAnsi="仿宋" w:eastAsia="仿宋" w:cstheme="minorEastAsia"/>
          <w:sz w:val="24"/>
          <w:szCs w:val="24"/>
        </w:rPr>
        <w:t>：湖南铁道职业技术学院云龙校区新校区建设指挥部会议室</w:t>
      </w:r>
    </w:p>
    <w:p w14:paraId="35D4FC64">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2"/>
      <w:r>
        <w:rPr>
          <w:rFonts w:hint="eastAsia" w:ascii="仿宋" w:hAnsi="仿宋" w:eastAsia="仿宋" w:cs="宋体"/>
          <w:bCs w:val="0"/>
          <w:kern w:val="0"/>
          <w:sz w:val="24"/>
          <w:szCs w:val="24"/>
        </w:rPr>
        <w:t>四、公告期限</w:t>
      </w:r>
      <w:bookmarkEnd w:id="7"/>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3"/>
      <w:r>
        <w:rPr>
          <w:rFonts w:hint="eastAsia" w:ascii="仿宋" w:hAnsi="仿宋" w:eastAsia="仿宋" w:cs="宋体"/>
          <w:bCs w:val="0"/>
          <w:kern w:val="0"/>
          <w:sz w:val="24"/>
          <w:szCs w:val="24"/>
        </w:rPr>
        <w:t>五、疑问及质疑</w:t>
      </w:r>
      <w:bookmarkEnd w:id="8"/>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9" w:name="_Toc58335834"/>
      <w:r>
        <w:rPr>
          <w:rFonts w:hint="eastAsia" w:ascii="仿宋" w:hAnsi="仿宋" w:eastAsia="仿宋" w:cs="宋体"/>
          <w:bCs w:val="0"/>
          <w:kern w:val="0"/>
          <w:sz w:val="24"/>
          <w:szCs w:val="24"/>
        </w:rPr>
        <w:t>六、采购项目联系人姓名和电话</w:t>
      </w:r>
      <w:bookmarkEnd w:id="9"/>
    </w:p>
    <w:p w14:paraId="1025DCB2">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 xml:space="preserve">1、联系人姓名： 张浩波          </w:t>
      </w:r>
    </w:p>
    <w:p w14:paraId="2A0FE9B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 xml:space="preserve">电 话：13762398301           </w:t>
      </w:r>
    </w:p>
    <w:p w14:paraId="2C5C438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62A8EE5F">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744C843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地 址：湖南铁道职业技术学院云龙校区新校区建设指挥部</w:t>
      </w:r>
    </w:p>
    <w:p w14:paraId="1742DB32">
      <w:pPr>
        <w:pStyle w:val="15"/>
      </w:pPr>
    </w:p>
    <w:p w14:paraId="07E4A892"/>
    <w:p w14:paraId="3D090CCD">
      <w:pPr>
        <w:pStyle w:val="15"/>
      </w:pPr>
    </w:p>
    <w:p w14:paraId="334C01A9"/>
    <w:p w14:paraId="683EA4FB">
      <w:pPr>
        <w:pStyle w:val="15"/>
      </w:pPr>
    </w:p>
    <w:p w14:paraId="2BEADB64">
      <w:pPr>
        <w:pStyle w:val="15"/>
        <w:ind w:left="0" w:leftChars="0" w:firstLine="0"/>
        <w:rPr>
          <w:szCs w:val="22"/>
        </w:rPr>
      </w:pPr>
    </w:p>
    <w:p w14:paraId="3FA20860"/>
    <w:p w14:paraId="51CC0CF2"/>
    <w:p w14:paraId="2806415E">
      <w:pPr>
        <w:rPr>
          <w:rFonts w:hint="eastAsia" w:ascii="仿宋" w:hAnsi="仿宋" w:eastAsia="仿宋"/>
          <w:b/>
          <w:sz w:val="36"/>
          <w:szCs w:val="36"/>
        </w:rPr>
      </w:pPr>
      <w:r>
        <w:rPr>
          <w:rFonts w:ascii="仿宋" w:hAnsi="仿宋" w:eastAsia="仿宋"/>
          <w:b/>
          <w:sz w:val="36"/>
          <w:szCs w:val="36"/>
        </w:rPr>
        <w:br w:type="page"/>
      </w:r>
    </w:p>
    <w:p w14:paraId="33562E14">
      <w:pPr>
        <w:pStyle w:val="15"/>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28770401">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一、项目基本情况</w:t>
      </w:r>
    </w:p>
    <w:p w14:paraId="5F15D57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1．项目名称：轨道交通装备产教融合中心和新校区7#学生宿舍绿建咨询  项目</w:t>
      </w:r>
    </w:p>
    <w:p w14:paraId="790EFF95">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2．服务期限：从图纸设计到竣工验收 。</w:t>
      </w:r>
    </w:p>
    <w:p w14:paraId="04056068">
      <w:pPr>
        <w:snapToGrid w:val="0"/>
        <w:spacing w:before="156" w:beforeLines="50" w:line="360" w:lineRule="auto"/>
        <w:ind w:firstLine="482" w:firstLineChars="200"/>
        <w:jc w:val="left"/>
        <w:rPr>
          <w:rFonts w:hint="eastAsia" w:ascii="仿宋" w:hAnsi="仿宋" w:eastAsia="仿宋" w:cs="仿宋"/>
          <w:color w:val="333333"/>
          <w:kern w:val="0"/>
          <w:sz w:val="28"/>
          <w:szCs w:val="28"/>
        </w:rPr>
      </w:pPr>
      <w:r>
        <w:rPr>
          <w:rFonts w:hint="eastAsia" w:ascii="仿宋" w:hAnsi="仿宋" w:eastAsia="仿宋" w:cstheme="minorEastAsia"/>
          <w:b/>
          <w:sz w:val="24"/>
          <w:szCs w:val="24"/>
        </w:rPr>
        <w:t>二、服务内容及要求</w:t>
      </w:r>
    </w:p>
    <w:p w14:paraId="475D343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两个项目绿色建筑一星级预评价（或专项专家评审结论）、评审专家会务费及场地费，直至项目通过竣工验收 。具体有：</w:t>
      </w:r>
    </w:p>
    <w:p w14:paraId="616007BD">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1).初步设计优化指导;</w:t>
      </w:r>
    </w:p>
    <w:p w14:paraId="25900125">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2).施工图深化指导;</w:t>
      </w:r>
    </w:p>
    <w:p w14:paraId="516041C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3).绿色建筑项目专业评估;</w:t>
      </w:r>
    </w:p>
    <w:p w14:paraId="6759DC55">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 xml:space="preserve">4).取得绿色建筑一星级预评价（或专项专家评审通过结论）、评审专家会务费及场地费，直至项目通过竣工验收。 </w:t>
      </w:r>
    </w:p>
    <w:p w14:paraId="4BE8C4A0">
      <w:pPr>
        <w:snapToGrid w:val="0"/>
        <w:spacing w:line="360" w:lineRule="auto"/>
        <w:ind w:firstLine="480" w:firstLineChars="200"/>
        <w:jc w:val="left"/>
        <w:rPr>
          <w:rFonts w:hint="eastAsia" w:ascii="仿宋" w:hAnsi="仿宋" w:eastAsia="仿宋" w:cs="仿宋"/>
          <w:color w:val="333333"/>
          <w:kern w:val="0"/>
          <w:sz w:val="24"/>
          <w:szCs w:val="24"/>
        </w:rPr>
      </w:pPr>
      <w:r>
        <w:rPr>
          <w:rFonts w:hint="eastAsia" w:ascii="仿宋" w:hAnsi="仿宋" w:eastAsia="仿宋" w:cstheme="minorEastAsia"/>
          <w:sz w:val="24"/>
          <w:szCs w:val="24"/>
        </w:rPr>
        <w:t>5).指导施工过程中绿建建筑的落实，并配合完成绿建专项验收:</w:t>
      </w:r>
    </w:p>
    <w:p w14:paraId="050B3E4C">
      <w:pPr>
        <w:numPr>
          <w:ilvl w:val="0"/>
          <w:numId w:val="1"/>
        </w:num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服务质量要求：</w:t>
      </w:r>
    </w:p>
    <w:p w14:paraId="5C2A41A9">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通过绿建专家评审会，有通过的结论，不影响后续上级部门对建筑在绿色星级方面的验收。</w:t>
      </w:r>
    </w:p>
    <w:p w14:paraId="1289BFEB">
      <w:pPr>
        <w:numPr>
          <w:ilvl w:val="0"/>
          <w:numId w:val="1"/>
        </w:num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服务质量检查考核标准和方法：</w:t>
      </w:r>
    </w:p>
    <w:p w14:paraId="70365838">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对甲方要求响应及时，最后成果通过专家评审，按甲方要求提供合格成果。</w:t>
      </w:r>
    </w:p>
    <w:p w14:paraId="6836A07E">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1213E65E">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本项目投标单位分两个项目分别报价，产教融合中心项目绿建咨询</w:t>
      </w:r>
      <w:r>
        <w:rPr>
          <w:rFonts w:hint="eastAsia" w:ascii="仿宋" w:hAnsi="仿宋" w:eastAsia="仿宋" w:cs="仿宋"/>
          <w:color w:val="000000" w:themeColor="text1"/>
          <w:kern w:val="0"/>
          <w:sz w:val="24"/>
          <w:szCs w:val="24"/>
          <w14:textFill>
            <w14:solidFill>
              <w14:schemeClr w14:val="tx1"/>
            </w14:solidFill>
          </w14:textFill>
        </w:rPr>
        <w:t>采购</w:t>
      </w:r>
      <w:r>
        <w:rPr>
          <w:rFonts w:hint="eastAsia" w:ascii="仿宋" w:hAnsi="仿宋" w:eastAsia="仿宋" w:cs="仿宋"/>
          <w:color w:val="333333"/>
          <w:kern w:val="0"/>
          <w:sz w:val="24"/>
          <w:szCs w:val="24"/>
        </w:rPr>
        <w:t>控制价为11.6万元，7#学生宿舍项目绿建咨询</w:t>
      </w:r>
      <w:r>
        <w:rPr>
          <w:rFonts w:hint="eastAsia" w:ascii="仿宋" w:hAnsi="仿宋" w:eastAsia="仿宋" w:cs="仿宋"/>
          <w:color w:val="000000" w:themeColor="text1"/>
          <w:kern w:val="0"/>
          <w:sz w:val="24"/>
          <w:szCs w:val="24"/>
          <w14:textFill>
            <w14:solidFill>
              <w14:schemeClr w14:val="tx1"/>
            </w14:solidFill>
          </w14:textFill>
        </w:rPr>
        <w:t>采购</w:t>
      </w:r>
      <w:r>
        <w:rPr>
          <w:rFonts w:hint="eastAsia" w:ascii="仿宋" w:hAnsi="仿宋" w:eastAsia="仿宋" w:cs="仿宋"/>
          <w:color w:val="333333"/>
          <w:kern w:val="0"/>
          <w:sz w:val="24"/>
          <w:szCs w:val="24"/>
        </w:rPr>
        <w:t>控制价为8万元，合计费用为19.6万元。</w:t>
      </w:r>
    </w:p>
    <w:p w14:paraId="26FDA341">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报价为一次性报价。</w:t>
      </w:r>
    </w:p>
    <w:p w14:paraId="721A0A90">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3C2882CC">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757D650C">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12032119">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轨道交通装备产教融合中心绿建评审通过后，支付其合同价的90%；7#学生宿舍绿建评审通过后，支付其合同价的90%，剩余的10%待两个项目都竣工验收通过后，再一次性支付。</w:t>
      </w:r>
    </w:p>
    <w:p w14:paraId="4207E1EB">
      <w:pPr>
        <w:pStyle w:val="41"/>
        <w:spacing w:line="520" w:lineRule="exact"/>
        <w:ind w:firstLine="480"/>
        <w:rPr>
          <w:rFonts w:hint="eastAsia" w:ascii="仿宋" w:hAnsi="仿宋" w:eastAsia="仿宋" w:cs="仿宋"/>
          <w:color w:val="333333"/>
          <w:kern w:val="0"/>
          <w:sz w:val="24"/>
          <w:szCs w:val="24"/>
        </w:rPr>
      </w:pPr>
    </w:p>
    <w:p w14:paraId="66A8C688">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八、其他说明：</w:t>
      </w:r>
    </w:p>
    <w:p w14:paraId="30378532">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1.参与投标的单位须是湖南省政府采购电子卖场的合格供应商。</w:t>
      </w:r>
    </w:p>
    <w:p w14:paraId="1D05585D">
      <w:pPr>
        <w:pStyle w:val="15"/>
        <w:ind w:left="0" w:leftChars="0" w:firstLine="0"/>
        <w:jc w:val="center"/>
        <w:rPr>
          <w:rFonts w:hint="eastAsia" w:ascii="仿宋" w:hAnsi="仿宋" w:eastAsia="仿宋"/>
          <w:b/>
          <w:sz w:val="36"/>
          <w:szCs w:val="36"/>
        </w:rPr>
      </w:pPr>
    </w:p>
    <w:p w14:paraId="7FEDBBFE"/>
    <w:p w14:paraId="58A91AB7">
      <w:pPr>
        <w:rPr>
          <w:rFonts w:hint="eastAsia" w:ascii="仿宋" w:hAnsi="仿宋" w:eastAsia="仿宋"/>
          <w:b/>
          <w:sz w:val="36"/>
          <w:szCs w:val="36"/>
        </w:rPr>
      </w:pPr>
      <w:r>
        <w:rPr>
          <w:rFonts w:hint="eastAsia" w:ascii="仿宋" w:hAnsi="仿宋" w:eastAsia="仿宋"/>
          <w:b/>
          <w:sz w:val="36"/>
          <w:szCs w:val="36"/>
        </w:rPr>
        <w:br w:type="page"/>
      </w:r>
    </w:p>
    <w:p w14:paraId="49F8307D">
      <w:pPr>
        <w:pStyle w:val="15"/>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4F267A69">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4F802DD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0A5F5357">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4E476D3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49FF117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54AE638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1495BDE5">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4A35B6A0">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65FCE53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6EC2E6CB">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221E1061">
      <w:pPr>
        <w:pStyle w:val="15"/>
        <w:ind w:left="0" w:leftChars="0" w:firstLine="0"/>
      </w:pPr>
    </w:p>
    <w:p w14:paraId="60F69333">
      <w:pPr>
        <w:pStyle w:val="15"/>
        <w:spacing w:before="0" w:beforeAutospacing="0" w:after="0" w:line="240" w:lineRule="atLeast"/>
        <w:ind w:left="0" w:leftChars="0" w:firstLine="0"/>
        <w:rPr>
          <w:rFonts w:hint="eastAsia" w:ascii="仿宋" w:hAnsi="仿宋" w:eastAsia="仿宋"/>
          <w:b/>
          <w:sz w:val="28"/>
          <w:szCs w:val="28"/>
        </w:rPr>
      </w:pPr>
      <w:bookmarkStart w:id="10" w:name="OLE_LINK1"/>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bookmarkEnd w:id="10"/>
    <w:tbl>
      <w:tblPr>
        <w:tblStyle w:val="1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239C2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1DA27D24">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05809C21">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4434AB4B">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58EA0589">
            <w:pPr>
              <w:jc w:val="center"/>
              <w:rPr>
                <w:rFonts w:hint="eastAsia" w:ascii="仿宋" w:hAnsi="仿宋" w:eastAsia="仿宋"/>
                <w:b/>
                <w:sz w:val="24"/>
                <w:szCs w:val="24"/>
              </w:rPr>
            </w:pPr>
            <w:r>
              <w:rPr>
                <w:rFonts w:hint="eastAsia" w:ascii="仿宋" w:hAnsi="仿宋" w:eastAsia="仿宋"/>
                <w:b/>
                <w:sz w:val="24"/>
                <w:szCs w:val="24"/>
              </w:rPr>
              <w:t>评分标准</w:t>
            </w:r>
          </w:p>
        </w:tc>
      </w:tr>
      <w:tr w14:paraId="3229C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3293CCD3">
            <w:pPr>
              <w:jc w:val="center"/>
              <w:rPr>
                <w:rFonts w:hint="eastAsia" w:ascii="仿宋" w:hAnsi="仿宋" w:eastAsia="仿宋"/>
                <w:b/>
                <w:kern w:val="0"/>
                <w:sz w:val="24"/>
                <w:szCs w:val="24"/>
              </w:rPr>
            </w:pPr>
            <w:r>
              <w:rPr>
                <w:rFonts w:hint="eastAsia" w:ascii="仿宋" w:hAnsi="仿宋" w:eastAsia="仿宋"/>
                <w:sz w:val="24"/>
                <w:szCs w:val="24"/>
              </w:rPr>
              <w:t>1</w:t>
            </w:r>
          </w:p>
        </w:tc>
        <w:tc>
          <w:tcPr>
            <w:tcW w:w="1308" w:type="dxa"/>
            <w:vAlign w:val="center"/>
          </w:tcPr>
          <w:p w14:paraId="49394626">
            <w:pPr>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709" w:type="dxa"/>
            <w:vAlign w:val="center"/>
          </w:tcPr>
          <w:p w14:paraId="4FA81376">
            <w:pPr>
              <w:jc w:val="center"/>
              <w:rPr>
                <w:rFonts w:hint="eastAsia" w:ascii="仿宋" w:hAnsi="仿宋" w:eastAsia="仿宋"/>
                <w:kern w:val="0"/>
                <w:sz w:val="24"/>
                <w:szCs w:val="24"/>
              </w:rPr>
            </w:pPr>
            <w:r>
              <w:rPr>
                <w:rFonts w:hint="eastAsia" w:ascii="仿宋" w:hAnsi="仿宋" w:eastAsia="仿宋"/>
                <w:kern w:val="0"/>
                <w:sz w:val="24"/>
                <w:szCs w:val="24"/>
              </w:rPr>
              <w:t>30</w:t>
            </w:r>
          </w:p>
        </w:tc>
        <w:tc>
          <w:tcPr>
            <w:tcW w:w="6237" w:type="dxa"/>
            <w:vAlign w:val="center"/>
          </w:tcPr>
          <w:p w14:paraId="3B11287F">
            <w:pPr>
              <w:jc w:val="left"/>
              <w:rPr>
                <w:rFonts w:hint="eastAsia" w:ascii="仿宋" w:hAnsi="仿宋" w:eastAsia="仿宋"/>
                <w:b/>
                <w:sz w:val="24"/>
                <w:szCs w:val="24"/>
              </w:rPr>
            </w:pPr>
            <w:r>
              <w:rPr>
                <w:rFonts w:hint="eastAsia" w:ascii="仿宋" w:hAnsi="仿宋" w:eastAsia="仿宋" w:cs="宋体"/>
                <w:sz w:val="24"/>
                <w:szCs w:val="24"/>
              </w:rPr>
              <w:t>以经评委会一致认定满足招标文件要求且投标价格最低的投标报价为评标基准价，其价格得分计30分。其他投标人的价格得分统一按公式计算：报价得分=（评标基准价/投标报价）×价格权重</w:t>
            </w:r>
          </w:p>
        </w:tc>
      </w:tr>
      <w:tr w14:paraId="10DD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7BA662D8">
            <w:pPr>
              <w:jc w:val="center"/>
              <w:rPr>
                <w:rFonts w:hint="eastAsia" w:ascii="仿宋" w:hAnsi="仿宋" w:eastAsia="仿宋" w:cs="宋体"/>
                <w:sz w:val="24"/>
                <w:szCs w:val="24"/>
              </w:rPr>
            </w:pPr>
            <w:r>
              <w:rPr>
                <w:rFonts w:hint="eastAsia" w:ascii="仿宋" w:hAnsi="仿宋" w:eastAsia="仿宋" w:cs="宋体"/>
                <w:sz w:val="24"/>
                <w:szCs w:val="24"/>
              </w:rPr>
              <w:t>2</w:t>
            </w:r>
          </w:p>
        </w:tc>
        <w:tc>
          <w:tcPr>
            <w:tcW w:w="1308" w:type="dxa"/>
            <w:vAlign w:val="center"/>
          </w:tcPr>
          <w:p w14:paraId="35353D39">
            <w:pPr>
              <w:jc w:val="center"/>
              <w:rPr>
                <w:rFonts w:hint="eastAsia" w:ascii="仿宋" w:hAnsi="仿宋" w:eastAsia="仿宋" w:cs="宋体"/>
                <w:sz w:val="24"/>
                <w:szCs w:val="24"/>
              </w:rPr>
            </w:pPr>
            <w:r>
              <w:rPr>
                <w:rFonts w:hint="eastAsia" w:ascii="仿宋" w:hAnsi="仿宋" w:eastAsia="仿宋" w:cs="宋体"/>
                <w:sz w:val="24"/>
                <w:szCs w:val="24"/>
              </w:rPr>
              <w:t>服务团队能力</w:t>
            </w:r>
          </w:p>
        </w:tc>
        <w:tc>
          <w:tcPr>
            <w:tcW w:w="709" w:type="dxa"/>
            <w:vAlign w:val="center"/>
          </w:tcPr>
          <w:p w14:paraId="0ED464E7">
            <w:pPr>
              <w:jc w:val="center"/>
              <w:rPr>
                <w:rFonts w:hint="eastAsia" w:ascii="仿宋" w:hAnsi="仿宋" w:eastAsia="仿宋" w:cs="宋体"/>
                <w:sz w:val="24"/>
                <w:szCs w:val="24"/>
              </w:rPr>
            </w:pPr>
            <w:r>
              <w:rPr>
                <w:rFonts w:hint="eastAsia" w:ascii="仿宋" w:hAnsi="仿宋" w:eastAsia="仿宋" w:cs="宋体"/>
                <w:sz w:val="24"/>
                <w:szCs w:val="24"/>
              </w:rPr>
              <w:t>10</w:t>
            </w:r>
          </w:p>
        </w:tc>
        <w:tc>
          <w:tcPr>
            <w:tcW w:w="6237" w:type="dxa"/>
            <w:vAlign w:val="center"/>
          </w:tcPr>
          <w:p w14:paraId="098ED330">
            <w:pPr>
              <w:jc w:val="left"/>
              <w:rPr>
                <w:rFonts w:hint="eastAsia" w:ascii="仿宋" w:hAnsi="仿宋" w:eastAsia="仿宋" w:cs="宋体"/>
                <w:color w:val="000000" w:themeColor="text1"/>
                <w:sz w:val="24"/>
                <w:szCs w:val="24"/>
                <w14:textFill>
                  <w14:solidFill>
                    <w14:schemeClr w14:val="tx1"/>
                  </w14:solidFill>
                </w14:textFill>
              </w:rPr>
            </w:pPr>
            <w:bookmarkStart w:id="11" w:name="OLE_LINK2"/>
            <w:r>
              <w:rPr>
                <w:rFonts w:hint="eastAsia" w:ascii="仿宋" w:hAnsi="仿宋" w:eastAsia="仿宋" w:cs="宋体"/>
                <w:color w:val="000000" w:themeColor="text1"/>
                <w:sz w:val="24"/>
                <w:szCs w:val="24"/>
                <w14:textFill>
                  <w14:solidFill>
                    <w14:schemeClr w14:val="tx1"/>
                  </w14:solidFill>
                </w14:textFill>
              </w:rPr>
              <w:t>（1）服务团队中的人员具备一级注册建筑师、一级注册结构工程师、注册电气工程师、注册公用设备工程师的，每提供1人得2.5分，最高得5分。</w:t>
            </w:r>
          </w:p>
          <w:p w14:paraId="0FDE32CE">
            <w:pPr>
              <w:jc w:val="left"/>
              <w:rPr>
                <w:rFonts w:hint="eastAsia" w:ascii="仿宋" w:hAnsi="仿宋" w:eastAsia="仿宋" w:cs="宋体"/>
                <w:color w:val="000000" w:themeColor="text1"/>
                <w:sz w:val="24"/>
                <w:szCs w:val="24"/>
                <w14:textFill>
                  <w14:solidFill>
                    <w14:schemeClr w14:val="tx1"/>
                  </w14:solidFill>
                </w14:textFill>
              </w:rPr>
            </w:pPr>
            <w:r>
              <w:rPr>
                <w:rFonts w:hint="eastAsia" w:ascii="仿宋" w:hAnsi="仿宋" w:eastAsia="仿宋" w:cs="宋体"/>
                <w:color w:val="000000" w:themeColor="text1"/>
                <w:sz w:val="24"/>
                <w:szCs w:val="24"/>
                <w14:textFill>
                  <w14:solidFill>
                    <w14:schemeClr w14:val="tx1"/>
                  </w14:solidFill>
                </w14:textFill>
              </w:rPr>
              <w:t>（2）服务团队中的人员具备土建高级工程师证书的，每提供1人得2.5分，最高得5分。</w:t>
            </w:r>
          </w:p>
          <w:p w14:paraId="19D2CEE3">
            <w:pPr>
              <w:jc w:val="left"/>
              <w:rPr>
                <w:rFonts w:hint="eastAsia" w:ascii="仿宋" w:hAnsi="仿宋" w:eastAsia="仿宋" w:cs="宋体"/>
                <w:b/>
                <w:bCs/>
                <w:sz w:val="24"/>
                <w:szCs w:val="24"/>
              </w:rPr>
            </w:pPr>
            <w:r>
              <w:rPr>
                <w:rFonts w:hint="eastAsia" w:ascii="仿宋" w:hAnsi="仿宋" w:eastAsia="仿宋" w:cs="宋体"/>
                <w:b/>
                <w:bCs/>
                <w:sz w:val="24"/>
                <w:szCs w:val="24"/>
              </w:rPr>
              <w:t>本项满分10分。</w:t>
            </w:r>
          </w:p>
          <w:bookmarkEnd w:id="11"/>
          <w:p w14:paraId="06666BD6">
            <w:pPr>
              <w:jc w:val="left"/>
              <w:rPr>
                <w:rFonts w:hint="eastAsia" w:ascii="仿宋" w:hAnsi="仿宋" w:eastAsia="仿宋" w:cs="宋体"/>
                <w:sz w:val="24"/>
                <w:szCs w:val="24"/>
              </w:rPr>
            </w:pPr>
            <w:r>
              <w:rPr>
                <w:rFonts w:hint="eastAsia" w:ascii="仿宋" w:hAnsi="仿宋" w:eastAsia="仿宋" w:cs="宋体"/>
                <w:b/>
                <w:bCs/>
                <w:sz w:val="24"/>
                <w:szCs w:val="24"/>
              </w:rPr>
              <w:t>【评审依据】：1）响应文件中提供以上人员证书扫描件和</w:t>
            </w:r>
            <w:bookmarkStart w:id="12" w:name="OLE_LINK6"/>
            <w:r>
              <w:rPr>
                <w:rFonts w:hint="eastAsia" w:ascii="仿宋" w:hAnsi="仿宋" w:eastAsia="仿宋" w:cs="宋体"/>
                <w:b/>
                <w:bCs/>
                <w:sz w:val="24"/>
                <w:szCs w:val="24"/>
              </w:rPr>
              <w:t>供应商为其缴纳的近三个月（不含磋商当月）的社保证明扫描件并加盖供应商公章，未提供或提供的证明材料不齐全的不得分。</w:t>
            </w:r>
            <w:bookmarkEnd w:id="12"/>
            <w:r>
              <w:rPr>
                <w:rFonts w:hint="eastAsia" w:ascii="仿宋" w:hAnsi="仿宋" w:eastAsia="仿宋" w:cs="宋体"/>
                <w:b/>
                <w:bCs/>
                <w:sz w:val="24"/>
                <w:szCs w:val="24"/>
              </w:rPr>
              <w:t>2）服务团队中人员证书不得复用，否则不予加分。</w:t>
            </w:r>
          </w:p>
        </w:tc>
      </w:tr>
      <w:tr w14:paraId="7CF8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5A6D3CD">
            <w:pPr>
              <w:jc w:val="center"/>
              <w:rPr>
                <w:rFonts w:hint="eastAsia" w:ascii="仿宋" w:hAnsi="仿宋" w:eastAsia="仿宋" w:cs="宋体"/>
                <w:sz w:val="24"/>
                <w:szCs w:val="24"/>
              </w:rPr>
            </w:pPr>
            <w:r>
              <w:rPr>
                <w:rFonts w:hint="eastAsia" w:ascii="仿宋" w:hAnsi="仿宋" w:eastAsia="仿宋" w:cs="宋体"/>
                <w:sz w:val="24"/>
                <w:szCs w:val="24"/>
              </w:rPr>
              <w:t>3</w:t>
            </w:r>
          </w:p>
        </w:tc>
        <w:tc>
          <w:tcPr>
            <w:tcW w:w="1308" w:type="dxa"/>
            <w:vAlign w:val="center"/>
          </w:tcPr>
          <w:p w14:paraId="09923217">
            <w:pPr>
              <w:jc w:val="center"/>
              <w:rPr>
                <w:rFonts w:hint="eastAsia" w:ascii="仿宋" w:hAnsi="仿宋" w:eastAsia="仿宋" w:cs="宋体"/>
                <w:sz w:val="24"/>
                <w:szCs w:val="24"/>
              </w:rPr>
            </w:pPr>
            <w:r>
              <w:rPr>
                <w:rFonts w:hint="eastAsia" w:ascii="仿宋" w:hAnsi="仿宋" w:eastAsia="仿宋" w:cs="宋体"/>
                <w:sz w:val="24"/>
                <w:szCs w:val="24"/>
              </w:rPr>
              <w:t>履约能力</w:t>
            </w:r>
          </w:p>
        </w:tc>
        <w:tc>
          <w:tcPr>
            <w:tcW w:w="709" w:type="dxa"/>
            <w:vAlign w:val="center"/>
          </w:tcPr>
          <w:p w14:paraId="4C3F2CCB">
            <w:pPr>
              <w:jc w:val="center"/>
              <w:rPr>
                <w:rFonts w:hint="eastAsia" w:ascii="仿宋" w:hAnsi="仿宋" w:eastAsia="仿宋" w:cs="宋体"/>
                <w:sz w:val="24"/>
                <w:szCs w:val="24"/>
              </w:rPr>
            </w:pPr>
            <w:r>
              <w:rPr>
                <w:rFonts w:hint="eastAsia" w:ascii="仿宋" w:hAnsi="仿宋" w:eastAsia="仿宋" w:cs="宋体"/>
                <w:sz w:val="24"/>
                <w:szCs w:val="24"/>
              </w:rPr>
              <w:t>20</w:t>
            </w:r>
          </w:p>
        </w:tc>
        <w:tc>
          <w:tcPr>
            <w:tcW w:w="6237" w:type="dxa"/>
            <w:vAlign w:val="center"/>
          </w:tcPr>
          <w:p w14:paraId="0CC6EE39">
            <w:pPr>
              <w:jc w:val="left"/>
              <w:rPr>
                <w:rFonts w:hint="eastAsia" w:ascii="仿宋" w:hAnsi="仿宋" w:eastAsia="仿宋" w:cs="宋体"/>
                <w:b/>
                <w:bCs/>
                <w:color w:val="000000" w:themeColor="text1"/>
                <w:sz w:val="24"/>
                <w:szCs w:val="24"/>
                <w14:textFill>
                  <w14:solidFill>
                    <w14:schemeClr w14:val="tx1"/>
                  </w14:solidFill>
                </w14:textFill>
              </w:rPr>
            </w:pPr>
            <w:r>
              <w:rPr>
                <w:rFonts w:hint="eastAsia" w:ascii="仿宋" w:hAnsi="仿宋" w:eastAsia="仿宋" w:cs="宋体"/>
                <w:color w:val="000000" w:themeColor="text1"/>
                <w:sz w:val="24"/>
                <w:szCs w:val="24"/>
                <w14:textFill>
                  <w14:solidFill>
                    <w14:schemeClr w14:val="tx1"/>
                  </w14:solidFill>
                </w14:textFill>
              </w:rPr>
              <w:t>供应商提供自2023年4月至本项目响应文件递交截止时间（以合同签订日期为准）具有一星级绿色建筑咨询服务项目实施案例</w:t>
            </w:r>
            <w:r>
              <w:rPr>
                <w:rFonts w:hint="eastAsia" w:ascii="仿宋" w:hAnsi="仿宋" w:eastAsia="仿宋"/>
                <w:color w:val="000000" w:themeColor="text1"/>
                <w:sz w:val="24"/>
                <w:szCs w:val="24"/>
                <w14:textFill>
                  <w14:solidFill>
                    <w14:schemeClr w14:val="tx1"/>
                  </w14:solidFill>
                </w14:textFill>
              </w:rPr>
              <w:t>（取得预评价证书或专家通过的会议纪要，附结论扫描件和合同扫描件，原件备查）</w:t>
            </w:r>
            <w:r>
              <w:rPr>
                <w:rFonts w:hint="eastAsia" w:ascii="仿宋" w:hAnsi="仿宋" w:eastAsia="仿宋" w:cs="宋体"/>
                <w:color w:val="000000" w:themeColor="text1"/>
                <w:sz w:val="24"/>
                <w:szCs w:val="24"/>
                <w14:textFill>
                  <w14:solidFill>
                    <w14:schemeClr w14:val="tx1"/>
                  </w14:solidFill>
                </w14:textFill>
              </w:rPr>
              <w:t>的,每提供一个加4分。</w:t>
            </w:r>
            <w:r>
              <w:rPr>
                <w:rFonts w:hint="eastAsia" w:ascii="仿宋" w:hAnsi="仿宋" w:eastAsia="仿宋" w:cs="宋体"/>
                <w:b/>
                <w:bCs/>
                <w:color w:val="000000" w:themeColor="text1"/>
                <w:sz w:val="24"/>
                <w:szCs w:val="24"/>
                <w14:textFill>
                  <w14:solidFill>
                    <w14:schemeClr w14:val="tx1"/>
                  </w14:solidFill>
                </w14:textFill>
              </w:rPr>
              <w:t>本项满分20分。</w:t>
            </w:r>
          </w:p>
          <w:p w14:paraId="239F0CD4">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r w14:paraId="2002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8D338A3">
            <w:pPr>
              <w:jc w:val="left"/>
              <w:rPr>
                <w:rFonts w:hint="eastAsia" w:ascii="仿宋" w:hAnsi="仿宋" w:eastAsia="仿宋" w:cs="宋体"/>
                <w:sz w:val="24"/>
                <w:szCs w:val="24"/>
              </w:rPr>
            </w:pPr>
            <w:r>
              <w:rPr>
                <w:rFonts w:hint="eastAsia" w:ascii="仿宋" w:hAnsi="仿宋" w:eastAsia="仿宋" w:cs="宋体"/>
                <w:sz w:val="24"/>
                <w:szCs w:val="24"/>
              </w:rPr>
              <w:t>4</w:t>
            </w:r>
          </w:p>
        </w:tc>
        <w:tc>
          <w:tcPr>
            <w:tcW w:w="1308" w:type="dxa"/>
            <w:shd w:val="clear" w:color="auto" w:fill="auto"/>
            <w:vAlign w:val="center"/>
          </w:tcPr>
          <w:p w14:paraId="2B49A732">
            <w:pPr>
              <w:jc w:val="center"/>
              <w:rPr>
                <w:rFonts w:hint="eastAsia" w:ascii="仿宋" w:hAnsi="仿宋" w:eastAsia="仿宋" w:cs="宋体"/>
                <w:sz w:val="24"/>
                <w:szCs w:val="24"/>
              </w:rPr>
            </w:pPr>
            <w:r>
              <w:rPr>
                <w:rFonts w:hint="eastAsia" w:ascii="仿宋" w:hAnsi="仿宋" w:eastAsia="仿宋" w:cs="宋体"/>
                <w:sz w:val="24"/>
                <w:szCs w:val="24"/>
              </w:rPr>
              <w:t>项目整体实施方案</w:t>
            </w:r>
          </w:p>
        </w:tc>
        <w:tc>
          <w:tcPr>
            <w:tcW w:w="709" w:type="dxa"/>
            <w:shd w:val="clear" w:color="auto" w:fill="auto"/>
            <w:vAlign w:val="center"/>
          </w:tcPr>
          <w:p w14:paraId="206D1A6E">
            <w:pPr>
              <w:jc w:val="center"/>
              <w:rPr>
                <w:rFonts w:hint="eastAsia" w:ascii="仿宋" w:hAnsi="仿宋" w:eastAsia="仿宋" w:cs="宋体"/>
                <w:sz w:val="24"/>
                <w:szCs w:val="24"/>
              </w:rPr>
            </w:pPr>
            <w:r>
              <w:rPr>
                <w:rFonts w:hint="eastAsia" w:ascii="仿宋" w:hAnsi="仿宋" w:eastAsia="仿宋" w:cs="宋体"/>
                <w:sz w:val="24"/>
                <w:szCs w:val="24"/>
              </w:rPr>
              <w:t>30</w:t>
            </w:r>
          </w:p>
        </w:tc>
        <w:tc>
          <w:tcPr>
            <w:tcW w:w="6237" w:type="dxa"/>
            <w:shd w:val="clear" w:color="auto" w:fill="auto"/>
            <w:vAlign w:val="center"/>
          </w:tcPr>
          <w:p w14:paraId="494375B3">
            <w:pPr>
              <w:jc w:val="left"/>
              <w:rPr>
                <w:rFonts w:hint="eastAsia" w:ascii="仿宋" w:hAnsi="仿宋" w:eastAsia="仿宋" w:cs="宋体"/>
                <w:sz w:val="24"/>
                <w:szCs w:val="24"/>
              </w:rPr>
            </w:pPr>
            <w:r>
              <w:rPr>
                <w:rFonts w:hint="eastAsia" w:ascii="仿宋" w:hAnsi="仿宋" w:eastAsia="仿宋" w:cs="宋体"/>
                <w:sz w:val="24"/>
                <w:szCs w:val="24"/>
              </w:rPr>
              <w:t>供应商根据本项目实施特点及技术要求，结合项目所在地现有情况制定实施方案，方案至少应包括：①对项目整体</w:t>
            </w:r>
          </w:p>
          <w:p w14:paraId="7DFE979E">
            <w:pPr>
              <w:jc w:val="left"/>
              <w:rPr>
                <w:rFonts w:hint="eastAsia" w:ascii="仿宋" w:hAnsi="仿宋" w:eastAsia="仿宋" w:cs="宋体"/>
                <w:sz w:val="24"/>
                <w:szCs w:val="24"/>
              </w:rPr>
            </w:pPr>
            <w:r>
              <w:rPr>
                <w:rFonts w:hint="eastAsia" w:ascii="仿宋" w:hAnsi="仿宋" w:eastAsia="仿宋" w:cs="宋体"/>
                <w:sz w:val="24"/>
                <w:szCs w:val="24"/>
              </w:rPr>
              <w:t>需求的理解和建议；②技术方案；③进度保障措施；④质量保障措施；⑤保密措施；⑥售后保障服务。</w:t>
            </w:r>
          </w:p>
          <w:p w14:paraId="2A250356">
            <w:pPr>
              <w:jc w:val="left"/>
              <w:rPr>
                <w:rFonts w:hint="eastAsia" w:ascii="仿宋" w:hAnsi="仿宋" w:eastAsia="仿宋" w:cs="宋体"/>
                <w:b/>
                <w:bCs/>
                <w:sz w:val="24"/>
                <w:szCs w:val="24"/>
              </w:rPr>
            </w:pPr>
            <w:r>
              <w:rPr>
                <w:rFonts w:hint="eastAsia" w:ascii="仿宋" w:hAnsi="仿宋" w:eastAsia="仿宋" w:cs="宋体"/>
                <w:b/>
                <w:bCs/>
                <w:sz w:val="24"/>
                <w:szCs w:val="24"/>
              </w:rPr>
              <w:t>说明：评审小组根据方案的完整性、合理性及操作性等进行评价，以上①~⑥条方案内容全面、科学合理的每条得5分；方案较完整、能满足基本保障要求的每条得3分；方案有缺失、操作性一般的得1分；其他不得分。</w:t>
            </w:r>
          </w:p>
          <w:p w14:paraId="3454208E">
            <w:pPr>
              <w:jc w:val="left"/>
              <w:rPr>
                <w:rFonts w:hint="eastAsia" w:ascii="仿宋" w:hAnsi="仿宋" w:eastAsia="仿宋" w:cs="宋体"/>
                <w:b/>
                <w:bCs/>
                <w:sz w:val="24"/>
                <w:szCs w:val="24"/>
              </w:rPr>
            </w:pPr>
            <w:r>
              <w:rPr>
                <w:rFonts w:hint="eastAsia" w:ascii="仿宋" w:hAnsi="仿宋" w:eastAsia="仿宋" w:cs="宋体"/>
                <w:b/>
                <w:bCs/>
                <w:sz w:val="24"/>
                <w:szCs w:val="24"/>
              </w:rPr>
              <w:t>本项满分30分。</w:t>
            </w:r>
          </w:p>
          <w:p w14:paraId="4F6E3E97">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【评审依据】：响应文件中提供项目整体实施方案，未提供不得分。</w:t>
            </w:r>
          </w:p>
        </w:tc>
      </w:tr>
      <w:tr w14:paraId="0EA1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F3D5AE3">
            <w:pPr>
              <w:jc w:val="center"/>
              <w:rPr>
                <w:rFonts w:hint="eastAsia" w:ascii="仿宋" w:hAnsi="仿宋" w:eastAsia="仿宋" w:cs="宋体"/>
                <w:sz w:val="24"/>
                <w:szCs w:val="24"/>
              </w:rPr>
            </w:pPr>
            <w:r>
              <w:rPr>
                <w:rFonts w:hint="eastAsia" w:ascii="仿宋" w:hAnsi="仿宋" w:eastAsia="仿宋" w:cs="宋体"/>
                <w:sz w:val="24"/>
                <w:szCs w:val="24"/>
              </w:rPr>
              <w:t>4</w:t>
            </w:r>
          </w:p>
        </w:tc>
        <w:tc>
          <w:tcPr>
            <w:tcW w:w="1308" w:type="dxa"/>
            <w:vAlign w:val="center"/>
          </w:tcPr>
          <w:p w14:paraId="3D4D2E8F">
            <w:pPr>
              <w:jc w:val="center"/>
              <w:rPr>
                <w:rFonts w:hint="eastAsia" w:ascii="仿宋" w:hAnsi="仿宋" w:eastAsia="仿宋" w:cs="宋体"/>
                <w:sz w:val="24"/>
                <w:szCs w:val="24"/>
              </w:rPr>
            </w:pPr>
            <w:r>
              <w:rPr>
                <w:rFonts w:hint="eastAsia" w:ascii="仿宋" w:hAnsi="仿宋" w:eastAsia="仿宋" w:cs="宋体"/>
                <w:sz w:val="24"/>
                <w:szCs w:val="24"/>
              </w:rPr>
              <w:t>企业综合实力</w:t>
            </w:r>
          </w:p>
        </w:tc>
        <w:tc>
          <w:tcPr>
            <w:tcW w:w="709" w:type="dxa"/>
            <w:vAlign w:val="center"/>
          </w:tcPr>
          <w:p w14:paraId="151EB1BA">
            <w:pPr>
              <w:jc w:val="center"/>
              <w:rPr>
                <w:rFonts w:hint="eastAsia" w:ascii="仿宋" w:hAnsi="仿宋" w:eastAsia="仿宋" w:cs="宋体"/>
                <w:sz w:val="24"/>
                <w:szCs w:val="24"/>
              </w:rPr>
            </w:pPr>
            <w:r>
              <w:rPr>
                <w:rFonts w:hint="eastAsia" w:ascii="仿宋" w:hAnsi="仿宋" w:eastAsia="仿宋" w:cs="宋体"/>
                <w:sz w:val="24"/>
                <w:szCs w:val="24"/>
              </w:rPr>
              <w:t>10</w:t>
            </w:r>
          </w:p>
        </w:tc>
        <w:tc>
          <w:tcPr>
            <w:tcW w:w="6237" w:type="dxa"/>
            <w:vAlign w:val="center"/>
          </w:tcPr>
          <w:p w14:paraId="5A7F8FCC">
            <w:pPr>
              <w:pStyle w:val="43"/>
              <w:ind w:firstLine="0"/>
              <w:rPr>
                <w:rFonts w:hint="eastAsia" w:ascii="仿宋" w:hAnsi="仿宋" w:eastAsia="仿宋" w:cs="仿宋"/>
                <w:b/>
                <w:bCs/>
                <w:color w:val="000000" w:themeColor="text1"/>
                <w:szCs w:val="24"/>
                <w14:textFill>
                  <w14:solidFill>
                    <w14:schemeClr w14:val="tx1"/>
                  </w14:solidFill>
                </w14:textFill>
              </w:rPr>
            </w:pPr>
            <w:r>
              <w:rPr>
                <w:rFonts w:hint="eastAsia" w:ascii="仿宋" w:hAnsi="仿宋" w:eastAsia="仿宋" w:cs="仿宋"/>
                <w:b/>
                <w:bCs/>
                <w:color w:val="000000" w:themeColor="text1"/>
                <w:szCs w:val="24"/>
                <w14:textFill>
                  <w14:solidFill>
                    <w14:schemeClr w14:val="tx1"/>
                  </w14:solidFill>
                </w14:textFill>
              </w:rPr>
              <w:t>供应商信誉证明（本项满分10分）：</w:t>
            </w:r>
          </w:p>
          <w:p w14:paraId="3913F051">
            <w:pP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1、投标人具有质量、环境、职业健康安全三体系认证（有效期内）的计3分。</w:t>
            </w:r>
          </w:p>
          <w:p w14:paraId="1F31A851">
            <w:pP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2、投标人获得过“重合同、守信用”荣誉称号（分省级及以上、地市级、县级）分别计3分、2.5分、2.0分；</w:t>
            </w:r>
          </w:p>
          <w:p w14:paraId="0010E03F">
            <w:pP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3、投标人具有信用等级（AAA级、AA级、A级）分别计4分、3分、2分；</w:t>
            </w:r>
          </w:p>
          <w:p w14:paraId="12691D76">
            <w:pPr>
              <w:pStyle w:val="2"/>
              <w:rPr>
                <w:rFonts w:hint="eastAsia" w:ascii="仿宋" w:hAnsi="仿宋" w:eastAsia="仿宋" w:cs="宋体"/>
                <w:sz w:val="24"/>
              </w:rPr>
            </w:pPr>
            <w:r>
              <w:rPr>
                <w:rFonts w:hint="eastAsia" w:ascii="仿宋" w:hAnsi="仿宋" w:eastAsia="仿宋" w:cs="仿宋"/>
                <w:color w:val="000000" w:themeColor="text1"/>
                <w:sz w:val="24"/>
                <w14:textFill>
                  <w14:solidFill>
                    <w14:schemeClr w14:val="tx1"/>
                  </w14:solidFill>
                </w14:textFill>
              </w:rPr>
              <w:t>（投标文件须供相应证书复印件，原件备查）。</w:t>
            </w:r>
          </w:p>
        </w:tc>
      </w:tr>
    </w:tbl>
    <w:p w14:paraId="5D402D6C"/>
    <w:p w14:paraId="0BA68C20"/>
    <w:p w14:paraId="467F0A9C"/>
    <w:p w14:paraId="7855BDF3">
      <w:pP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br w:type="page"/>
      </w:r>
    </w:p>
    <w:p w14:paraId="6DD82073">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059A5BDD">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047A4BEB">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0739B0B0">
      <w:pPr>
        <w:pStyle w:val="15"/>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7D727292"/>
    <w:p w14:paraId="5A41A889">
      <w:pPr>
        <w:pStyle w:val="15"/>
        <w:ind w:left="0" w:leftChars="0" w:firstLine="0"/>
      </w:pPr>
    </w:p>
    <w:p w14:paraId="6FE72E1B">
      <w:pP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br w:type="page"/>
      </w:r>
    </w:p>
    <w:p w14:paraId="64404E63">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378B42F">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782F44FF">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62D45A34">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5E42F42F">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29091D13">
      <w:pPr>
        <w:pStyle w:val="9"/>
        <w:adjustRightInd w:val="0"/>
        <w:snapToGrid w:val="0"/>
        <w:spacing w:line="360" w:lineRule="auto"/>
        <w:rPr>
          <w:rFonts w:hint="eastAsia" w:ascii="仿宋_GB2312" w:hAnsi="宋体" w:eastAsia="仿宋_GB2312"/>
          <w:b/>
        </w:rPr>
      </w:pPr>
    </w:p>
    <w:p w14:paraId="1681E22C">
      <w:pPr>
        <w:pStyle w:val="9"/>
        <w:adjustRightInd w:val="0"/>
        <w:snapToGrid w:val="0"/>
        <w:spacing w:line="360" w:lineRule="auto"/>
        <w:rPr>
          <w:rFonts w:hint="eastAsia" w:ascii="仿宋_GB2312" w:hAnsi="宋体" w:eastAsia="仿宋_GB2312"/>
          <w:b/>
        </w:rPr>
      </w:pPr>
    </w:p>
    <w:p w14:paraId="2F5108A9">
      <w:pPr>
        <w:pStyle w:val="9"/>
        <w:adjustRightInd w:val="0"/>
        <w:snapToGrid w:val="0"/>
        <w:spacing w:line="360" w:lineRule="auto"/>
        <w:rPr>
          <w:rFonts w:hint="eastAsia" w:ascii="仿宋_GB2312" w:hAnsi="宋体" w:eastAsia="仿宋_GB2312"/>
          <w:b/>
        </w:rPr>
      </w:pPr>
    </w:p>
    <w:p w14:paraId="2738898F">
      <w:pPr>
        <w:pStyle w:val="9"/>
        <w:adjustRightInd w:val="0"/>
        <w:snapToGrid w:val="0"/>
        <w:spacing w:line="360" w:lineRule="auto"/>
        <w:rPr>
          <w:rFonts w:hint="eastAsia" w:ascii="仿宋_GB2312" w:hAnsi="宋体" w:eastAsia="仿宋_GB2312"/>
          <w:b/>
        </w:rPr>
      </w:pPr>
    </w:p>
    <w:p w14:paraId="671D2F45">
      <w:pPr>
        <w:pStyle w:val="9"/>
        <w:adjustRightInd w:val="0"/>
        <w:snapToGrid w:val="0"/>
        <w:spacing w:line="360" w:lineRule="auto"/>
        <w:rPr>
          <w:rFonts w:hint="eastAsia" w:ascii="仿宋_GB2312" w:hAnsi="宋体" w:eastAsia="仿宋_GB2312"/>
          <w:b/>
        </w:rPr>
      </w:pPr>
    </w:p>
    <w:p w14:paraId="28D833E4">
      <w:pPr>
        <w:pStyle w:val="9"/>
        <w:adjustRightInd w:val="0"/>
        <w:snapToGrid w:val="0"/>
        <w:spacing w:line="360" w:lineRule="auto"/>
        <w:rPr>
          <w:rFonts w:hint="eastAsia" w:ascii="仿宋_GB2312" w:hAnsi="宋体" w:eastAsia="仿宋_GB2312"/>
          <w:b/>
        </w:rPr>
      </w:pPr>
    </w:p>
    <w:p w14:paraId="044ADDBE">
      <w:pPr>
        <w:pStyle w:val="9"/>
        <w:adjustRightInd w:val="0"/>
        <w:snapToGrid w:val="0"/>
        <w:spacing w:line="360" w:lineRule="auto"/>
        <w:rPr>
          <w:rFonts w:hint="eastAsia" w:ascii="仿宋_GB2312" w:hAnsi="宋体" w:eastAsia="仿宋_GB2312"/>
          <w:b/>
        </w:rPr>
      </w:pPr>
    </w:p>
    <w:p w14:paraId="0B7C92B1">
      <w:pPr>
        <w:pStyle w:val="9"/>
        <w:adjustRightInd w:val="0"/>
        <w:snapToGrid w:val="0"/>
        <w:spacing w:line="360" w:lineRule="auto"/>
        <w:rPr>
          <w:rFonts w:hint="eastAsia" w:ascii="仿宋_GB2312" w:hAnsi="宋体" w:eastAsia="仿宋_GB2312"/>
          <w:b/>
        </w:rPr>
      </w:pPr>
    </w:p>
    <w:p w14:paraId="62CF6A16">
      <w:pPr>
        <w:pStyle w:val="9"/>
        <w:adjustRightInd w:val="0"/>
        <w:snapToGrid w:val="0"/>
        <w:spacing w:line="360" w:lineRule="auto"/>
        <w:rPr>
          <w:rFonts w:hint="eastAsia" w:ascii="仿宋_GB2312" w:hAnsi="宋体" w:eastAsia="仿宋_GB2312"/>
          <w:b/>
        </w:rPr>
      </w:pPr>
    </w:p>
    <w:p w14:paraId="15C84DA0">
      <w:pPr>
        <w:rPr>
          <w:rFonts w:hint="eastAsia" w:ascii="仿宋" w:hAnsi="仿宋" w:eastAsia="仿宋"/>
          <w:b/>
          <w:sz w:val="24"/>
          <w:szCs w:val="24"/>
        </w:rPr>
      </w:pPr>
      <w:r>
        <w:rPr>
          <w:rFonts w:ascii="仿宋" w:hAnsi="仿宋" w:eastAsia="仿宋"/>
          <w:b/>
          <w:sz w:val="24"/>
          <w:szCs w:val="24"/>
        </w:rPr>
        <w:br w:type="page"/>
      </w:r>
    </w:p>
    <w:p w14:paraId="7C667C4A">
      <w:pPr>
        <w:pStyle w:val="9"/>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5779E5CF">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2C80BD4A">
      <w:pPr>
        <w:adjustRightInd w:val="0"/>
        <w:snapToGrid w:val="0"/>
        <w:spacing w:line="360" w:lineRule="auto"/>
        <w:rPr>
          <w:rFonts w:hint="eastAsia" w:ascii="仿宋_GB2312" w:hAnsi="宋体" w:eastAsia="仿宋_GB2312"/>
          <w:sz w:val="24"/>
          <w:szCs w:val="24"/>
        </w:rPr>
      </w:pPr>
    </w:p>
    <w:p w14:paraId="1C45C12C">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041427D5">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2D325916">
      <w:pPr>
        <w:pStyle w:val="9"/>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16D1B672">
      <w:pPr>
        <w:pStyle w:val="9"/>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85A5A99">
      <w:pPr>
        <w:pStyle w:val="9"/>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1A43161B">
      <w:pPr>
        <w:pStyle w:val="9"/>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5EAD7A6">
      <w:pPr>
        <w:pStyle w:val="9"/>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0549A573">
      <w:pPr>
        <w:adjustRightInd w:val="0"/>
        <w:snapToGrid w:val="0"/>
        <w:spacing w:line="360" w:lineRule="auto"/>
        <w:ind w:right="24"/>
        <w:rPr>
          <w:rFonts w:hint="eastAsia" w:ascii="仿宋" w:hAnsi="仿宋" w:eastAsia="仿宋"/>
          <w:bCs/>
          <w:sz w:val="24"/>
          <w:szCs w:val="24"/>
        </w:rPr>
      </w:pPr>
    </w:p>
    <w:p w14:paraId="5CB37558">
      <w:pPr>
        <w:adjustRightInd w:val="0"/>
        <w:snapToGrid w:val="0"/>
        <w:spacing w:line="360" w:lineRule="auto"/>
        <w:ind w:right="24"/>
        <w:rPr>
          <w:rFonts w:hint="eastAsia" w:ascii="仿宋" w:hAnsi="仿宋" w:eastAsia="仿宋"/>
          <w:bCs/>
          <w:sz w:val="24"/>
          <w:szCs w:val="24"/>
        </w:rPr>
      </w:pPr>
    </w:p>
    <w:p w14:paraId="71379A3A">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4317B3A4">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0C84B3F3">
      <w:pPr>
        <w:pStyle w:val="9"/>
        <w:adjustRightInd w:val="0"/>
        <w:snapToGrid w:val="0"/>
        <w:spacing w:line="360" w:lineRule="auto"/>
        <w:rPr>
          <w:rFonts w:hint="eastAsia" w:ascii="仿宋" w:hAnsi="仿宋" w:eastAsia="仿宋"/>
          <w:sz w:val="24"/>
          <w:szCs w:val="24"/>
        </w:rPr>
      </w:pPr>
    </w:p>
    <w:p w14:paraId="51823D77">
      <w:pPr>
        <w:pStyle w:val="9"/>
        <w:adjustRightInd w:val="0"/>
        <w:snapToGrid w:val="0"/>
        <w:spacing w:line="360" w:lineRule="auto"/>
        <w:rPr>
          <w:rFonts w:hint="eastAsia" w:ascii="仿宋" w:hAnsi="仿宋" w:eastAsia="仿宋"/>
          <w:sz w:val="24"/>
          <w:szCs w:val="24"/>
        </w:rPr>
      </w:pPr>
    </w:p>
    <w:p w14:paraId="54AD123C">
      <w:pPr>
        <w:pStyle w:val="9"/>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40F8C4D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2D072A46">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64584AA1">
      <w:pPr>
        <w:adjustRightInd w:val="0"/>
        <w:snapToGrid w:val="0"/>
        <w:spacing w:line="360" w:lineRule="auto"/>
        <w:ind w:right="24"/>
        <w:rPr>
          <w:rFonts w:hint="eastAsia" w:ascii="仿宋" w:hAnsi="仿宋" w:eastAsia="仿宋"/>
          <w:bCs/>
          <w:sz w:val="24"/>
        </w:rPr>
      </w:pPr>
    </w:p>
    <w:p w14:paraId="3E781ED0">
      <w:pPr>
        <w:adjustRightInd w:val="0"/>
        <w:snapToGrid w:val="0"/>
        <w:spacing w:line="360" w:lineRule="auto"/>
        <w:ind w:right="24"/>
        <w:rPr>
          <w:rFonts w:hint="eastAsia" w:ascii="仿宋_GB2312" w:hAnsi="华文中宋" w:eastAsia="仿宋_GB2312"/>
          <w:bCs/>
          <w:sz w:val="24"/>
        </w:rPr>
      </w:pPr>
    </w:p>
    <w:p w14:paraId="2B117D00">
      <w:pPr>
        <w:adjustRightInd w:val="0"/>
        <w:snapToGrid w:val="0"/>
        <w:spacing w:line="360" w:lineRule="auto"/>
        <w:ind w:right="24"/>
        <w:rPr>
          <w:rFonts w:hint="eastAsia" w:ascii="仿宋_GB2312" w:hAnsi="华文中宋" w:eastAsia="仿宋_GB2312"/>
          <w:bCs/>
          <w:sz w:val="24"/>
        </w:rPr>
      </w:pPr>
    </w:p>
    <w:p w14:paraId="7FBB5C32">
      <w:pPr>
        <w:adjustRightInd w:val="0"/>
        <w:snapToGrid w:val="0"/>
        <w:spacing w:line="360" w:lineRule="auto"/>
        <w:ind w:right="24"/>
        <w:rPr>
          <w:szCs w:val="21"/>
        </w:rPr>
      </w:pPr>
    </w:p>
    <w:p w14:paraId="3C19A5E4">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90E19DD">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4DE349CC">
      <w:pPr>
        <w:snapToGrid w:val="0"/>
        <w:spacing w:line="480" w:lineRule="auto"/>
        <w:rPr>
          <w:rFonts w:hint="eastAsia" w:ascii="仿宋" w:hAnsi="仿宋" w:eastAsia="仿宋"/>
          <w:sz w:val="24"/>
          <w:szCs w:val="24"/>
        </w:rPr>
      </w:pPr>
    </w:p>
    <w:p w14:paraId="3FC6F0C5">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6FAEDC79">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21D06E14">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4C006988">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6AD3920">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24FB72D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56EB246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464C6C6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1DC7212D">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360D911E">
      <w:pPr>
        <w:snapToGrid w:val="0"/>
        <w:spacing w:line="480" w:lineRule="auto"/>
        <w:rPr>
          <w:rFonts w:hint="eastAsia" w:ascii="仿宋" w:hAnsi="仿宋" w:eastAsia="仿宋"/>
          <w:sz w:val="24"/>
          <w:szCs w:val="24"/>
        </w:rPr>
      </w:pPr>
    </w:p>
    <w:p w14:paraId="37D54D66">
      <w:pPr>
        <w:snapToGrid w:val="0"/>
        <w:rPr>
          <w:rFonts w:hint="eastAsia" w:ascii="仿宋" w:hAnsi="仿宋" w:eastAsia="仿宋"/>
          <w:sz w:val="24"/>
          <w:szCs w:val="24"/>
        </w:rPr>
      </w:pPr>
    </w:p>
    <w:p w14:paraId="24CB937A">
      <w:pPr>
        <w:snapToGrid w:val="0"/>
        <w:rPr>
          <w:rFonts w:hint="eastAsia" w:ascii="仿宋" w:hAnsi="仿宋" w:eastAsia="仿宋"/>
          <w:sz w:val="24"/>
          <w:szCs w:val="24"/>
        </w:rPr>
      </w:pPr>
    </w:p>
    <w:p w14:paraId="4C5DC866">
      <w:pPr>
        <w:snapToGrid w:val="0"/>
        <w:rPr>
          <w:rFonts w:hint="eastAsia" w:ascii="仿宋" w:hAnsi="仿宋" w:eastAsia="仿宋"/>
          <w:sz w:val="24"/>
          <w:szCs w:val="24"/>
        </w:rPr>
      </w:pPr>
    </w:p>
    <w:p w14:paraId="64A908A2">
      <w:pPr>
        <w:snapToGrid w:val="0"/>
        <w:rPr>
          <w:rFonts w:hint="eastAsia" w:ascii="仿宋" w:hAnsi="仿宋" w:eastAsia="仿宋"/>
          <w:sz w:val="24"/>
          <w:szCs w:val="24"/>
        </w:rPr>
      </w:pPr>
    </w:p>
    <w:p w14:paraId="64D78257">
      <w:pPr>
        <w:adjustRightInd w:val="0"/>
        <w:snapToGrid w:val="0"/>
        <w:spacing w:line="360" w:lineRule="auto"/>
        <w:rPr>
          <w:rFonts w:hint="eastAsia" w:ascii="仿宋" w:hAnsi="仿宋" w:eastAsia="仿宋"/>
          <w:sz w:val="24"/>
          <w:szCs w:val="24"/>
        </w:rPr>
      </w:pPr>
    </w:p>
    <w:p w14:paraId="6360BA5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40AB0D6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05032903">
      <w:pPr>
        <w:adjustRightInd w:val="0"/>
        <w:snapToGrid w:val="0"/>
        <w:spacing w:before="156" w:beforeLines="50" w:line="360" w:lineRule="auto"/>
        <w:rPr>
          <w:rFonts w:hint="eastAsia" w:ascii="仿宋_GB2312" w:hAnsi="宋体" w:eastAsia="仿宋_GB2312"/>
          <w:sz w:val="24"/>
          <w:szCs w:val="24"/>
        </w:rPr>
      </w:pPr>
    </w:p>
    <w:p w14:paraId="641EF3D9">
      <w:pPr>
        <w:adjustRightInd w:val="0"/>
        <w:snapToGrid w:val="0"/>
        <w:spacing w:before="156" w:beforeLines="50" w:line="360" w:lineRule="auto"/>
        <w:rPr>
          <w:rFonts w:hint="eastAsia" w:ascii="仿宋_GB2312" w:hAnsi="宋体" w:eastAsia="仿宋_GB2312"/>
          <w:sz w:val="24"/>
          <w:szCs w:val="24"/>
        </w:rPr>
      </w:pPr>
    </w:p>
    <w:p w14:paraId="530793CD">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3AD08FA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0BCD3AAC">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853466D">
      <w:pPr>
        <w:adjustRightInd w:val="0"/>
        <w:snapToGrid w:val="0"/>
        <w:spacing w:line="360" w:lineRule="auto"/>
        <w:jc w:val="center"/>
        <w:rPr>
          <w:rFonts w:hint="eastAsia" w:ascii="仿宋" w:hAnsi="仿宋" w:eastAsia="仿宋"/>
          <w:b/>
          <w:sz w:val="24"/>
          <w:szCs w:val="24"/>
        </w:rPr>
      </w:pPr>
    </w:p>
    <w:p w14:paraId="4CC5A5A3">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0587BE7D">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3398D364">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37811DCB">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60040489">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4B47B999">
      <w:pPr>
        <w:adjustRightInd w:val="0"/>
        <w:snapToGrid w:val="0"/>
        <w:spacing w:line="360" w:lineRule="auto"/>
        <w:ind w:right="420"/>
        <w:rPr>
          <w:rFonts w:ascii="仿宋_GB2312" w:eastAsia="仿宋_GB2312"/>
          <w:sz w:val="24"/>
          <w:szCs w:val="24"/>
        </w:rPr>
      </w:pPr>
    </w:p>
    <w:p w14:paraId="6E1A21A4">
      <w:pPr>
        <w:adjustRightInd w:val="0"/>
        <w:snapToGrid w:val="0"/>
        <w:spacing w:line="360" w:lineRule="auto"/>
        <w:ind w:right="420"/>
        <w:rPr>
          <w:rFonts w:ascii="仿宋_GB2312" w:eastAsia="仿宋_GB2312"/>
          <w:sz w:val="24"/>
          <w:szCs w:val="24"/>
        </w:rPr>
      </w:pPr>
    </w:p>
    <w:p w14:paraId="0E5B9CDA">
      <w:pPr>
        <w:adjustRightInd w:val="0"/>
        <w:snapToGrid w:val="0"/>
        <w:spacing w:line="360" w:lineRule="auto"/>
        <w:ind w:right="420"/>
        <w:rPr>
          <w:rFonts w:ascii="仿宋_GB2312" w:eastAsia="仿宋_GB2312"/>
          <w:sz w:val="24"/>
          <w:szCs w:val="24"/>
        </w:rPr>
      </w:pPr>
    </w:p>
    <w:p w14:paraId="4D574745">
      <w:pPr>
        <w:adjustRightInd w:val="0"/>
        <w:snapToGrid w:val="0"/>
        <w:spacing w:line="360" w:lineRule="auto"/>
        <w:ind w:right="420"/>
        <w:rPr>
          <w:rFonts w:ascii="仿宋_GB2312" w:eastAsia="仿宋_GB2312"/>
          <w:sz w:val="24"/>
          <w:szCs w:val="24"/>
        </w:rPr>
      </w:pPr>
    </w:p>
    <w:p w14:paraId="116BBDAF">
      <w:pPr>
        <w:adjustRightInd w:val="0"/>
        <w:snapToGrid w:val="0"/>
        <w:spacing w:line="360" w:lineRule="auto"/>
        <w:ind w:right="420"/>
        <w:rPr>
          <w:rFonts w:ascii="仿宋_GB2312" w:eastAsia="仿宋_GB2312"/>
          <w:sz w:val="24"/>
          <w:szCs w:val="24"/>
        </w:rPr>
      </w:pPr>
    </w:p>
    <w:p w14:paraId="4A4B1467">
      <w:pPr>
        <w:adjustRightInd w:val="0"/>
        <w:snapToGrid w:val="0"/>
        <w:spacing w:line="360" w:lineRule="auto"/>
        <w:ind w:right="420"/>
        <w:rPr>
          <w:rFonts w:ascii="仿宋_GB2312" w:eastAsia="仿宋_GB2312"/>
          <w:sz w:val="24"/>
          <w:szCs w:val="24"/>
        </w:rPr>
      </w:pPr>
    </w:p>
    <w:p w14:paraId="21074B30">
      <w:pPr>
        <w:adjustRightInd w:val="0"/>
        <w:snapToGrid w:val="0"/>
        <w:spacing w:line="360" w:lineRule="auto"/>
        <w:ind w:right="420"/>
        <w:rPr>
          <w:rFonts w:ascii="仿宋_GB2312" w:eastAsia="仿宋_GB2312"/>
          <w:sz w:val="24"/>
          <w:szCs w:val="24"/>
        </w:rPr>
      </w:pPr>
    </w:p>
    <w:p w14:paraId="3E80B878">
      <w:pPr>
        <w:adjustRightInd w:val="0"/>
        <w:snapToGrid w:val="0"/>
        <w:spacing w:line="360" w:lineRule="auto"/>
        <w:ind w:right="420"/>
        <w:rPr>
          <w:rFonts w:ascii="仿宋_GB2312" w:eastAsia="仿宋_GB2312"/>
          <w:sz w:val="24"/>
          <w:szCs w:val="24"/>
        </w:rPr>
      </w:pPr>
    </w:p>
    <w:p w14:paraId="74E4CFB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6DD8FDAE">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4B10A5B9">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1DB7782D">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20309226">
      <w:pPr>
        <w:spacing w:line="360" w:lineRule="exact"/>
        <w:rPr>
          <w:rFonts w:ascii="仿宋_GB2312" w:eastAsia="仿宋_GB2312"/>
          <w:b/>
          <w:sz w:val="24"/>
          <w:szCs w:val="24"/>
        </w:rPr>
      </w:pPr>
    </w:p>
    <w:p w14:paraId="558A4FD8">
      <w:pPr>
        <w:spacing w:line="360" w:lineRule="exact"/>
        <w:rPr>
          <w:rFonts w:ascii="仿宋_GB2312" w:eastAsia="仿宋_GB2312"/>
          <w:b/>
          <w:sz w:val="24"/>
          <w:szCs w:val="24"/>
        </w:rPr>
      </w:pPr>
    </w:p>
    <w:p w14:paraId="2118C4B9">
      <w:pPr>
        <w:pStyle w:val="15"/>
      </w:pPr>
    </w:p>
    <w:p w14:paraId="236AADE1"/>
    <w:p w14:paraId="1CCB41FA"/>
    <w:p w14:paraId="0C542273">
      <w:pPr>
        <w:pStyle w:val="15"/>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3A61D5DE">
      <w:pPr>
        <w:jc w:val="center"/>
        <w:rPr>
          <w:rFonts w:hint="eastAsia" w:ascii="仿宋" w:hAnsi="仿宋" w:eastAsia="仿宋"/>
          <w:b/>
          <w:sz w:val="32"/>
          <w:szCs w:val="32"/>
        </w:rPr>
      </w:pPr>
      <w:r>
        <w:rPr>
          <w:rFonts w:ascii="仿宋" w:hAnsi="仿宋" w:eastAsia="仿宋"/>
          <w:b/>
          <w:sz w:val="32"/>
          <w:szCs w:val="32"/>
        </w:rPr>
        <w:t>报价函</w:t>
      </w:r>
    </w:p>
    <w:p w14:paraId="539E04CF">
      <w:pPr>
        <w:rPr>
          <w:rFonts w:hint="eastAsia" w:ascii="仿宋" w:hAnsi="仿宋" w:eastAsia="仿宋"/>
          <w:sz w:val="24"/>
          <w:szCs w:val="24"/>
        </w:rPr>
      </w:pPr>
      <w:r>
        <w:rPr>
          <w:rFonts w:hint="eastAsia" w:ascii="仿宋" w:hAnsi="仿宋" w:eastAsia="仿宋"/>
          <w:sz w:val="24"/>
          <w:szCs w:val="24"/>
        </w:rPr>
        <w:t xml:space="preserve">                               </w:t>
      </w:r>
    </w:p>
    <w:p w14:paraId="02BE49CD">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616EA7A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我公司仔细阅读了询比文件，清楚文件中关于本项目的相关采购需求。</w:t>
      </w:r>
    </w:p>
    <w:p w14:paraId="049CC405">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w:t>
      </w:r>
    </w:p>
    <w:p w14:paraId="116B68D1">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产教融合中心项目绿建咨询采购控制价为11.6万元，7#学生宿舍项目绿建咨询采购控制价为8万元。</w:t>
      </w:r>
    </w:p>
    <w:p w14:paraId="1904276D">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我司最终报价：</w:t>
      </w:r>
    </w:p>
    <w:p w14:paraId="57D126AF">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轨道交通装备产教融合中心绿色绿建咨询报价：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35C56E7B">
      <w:pPr>
        <w:pStyle w:val="2"/>
        <w:rPr>
          <w:rFonts w:hint="eastAsia" w:ascii="仿宋" w:hAnsi="仿宋" w:eastAsia="仿宋" w:cs="宋体"/>
          <w:sz w:val="24"/>
        </w:rPr>
      </w:pPr>
    </w:p>
    <w:p w14:paraId="67798C5A">
      <w:pPr>
        <w:pStyle w:val="2"/>
        <w:ind w:firstLine="482" w:firstLineChars="200"/>
        <w:rPr>
          <w:rFonts w:eastAsia="仿宋"/>
          <w:b/>
          <w:bCs/>
        </w:rPr>
      </w:pPr>
      <w:r>
        <w:rPr>
          <w:rFonts w:hint="eastAsia" w:ascii="仿宋" w:hAnsi="仿宋" w:eastAsia="仿宋" w:cs="宋体"/>
          <w:b/>
          <w:bCs/>
          <w:sz w:val="24"/>
        </w:rPr>
        <w:t>7#学生宿舍绿建咨询报价</w:t>
      </w:r>
    </w:p>
    <w:p w14:paraId="1E47E52C">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3B4CFE7A">
      <w:pPr>
        <w:spacing w:line="480" w:lineRule="auto"/>
        <w:ind w:firstLine="482" w:firstLineChars="200"/>
        <w:jc w:val="left"/>
        <w:rPr>
          <w:rFonts w:ascii="仿宋" w:hAnsi="仿宋" w:eastAsia="仿宋" w:cs="宋体"/>
          <w:b/>
          <w:bCs/>
          <w:sz w:val="24"/>
          <w:szCs w:val="24"/>
        </w:rPr>
      </w:pPr>
    </w:p>
    <w:p w14:paraId="43686843">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合计总价：</w:t>
      </w:r>
    </w:p>
    <w:p w14:paraId="1774B34D">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5356FB41">
      <w:pPr>
        <w:pStyle w:val="15"/>
        <w:rPr>
          <w:rFonts w:hint="eastAsia" w:ascii="仿宋" w:hAnsi="仿宋" w:eastAsia="仿宋"/>
        </w:rPr>
      </w:pPr>
    </w:p>
    <w:p w14:paraId="4302816E">
      <w:pPr>
        <w:pStyle w:val="15"/>
        <w:ind w:left="0" w:leftChars="0" w:firstLine="0"/>
        <w:rPr>
          <w:rFonts w:hint="eastAsia" w:ascii="仿宋" w:hAnsi="仿宋" w:eastAsia="仿宋"/>
        </w:rPr>
      </w:pPr>
    </w:p>
    <w:p w14:paraId="4AABF01E">
      <w:pPr>
        <w:spacing w:line="360" w:lineRule="auto"/>
        <w:ind w:firstLine="640"/>
        <w:jc w:val="left"/>
        <w:rPr>
          <w:rFonts w:hint="eastAsia" w:ascii="仿宋" w:hAnsi="仿宋" w:eastAsia="仿宋"/>
          <w:sz w:val="24"/>
          <w:szCs w:val="24"/>
        </w:rPr>
      </w:pPr>
    </w:p>
    <w:p w14:paraId="46319048">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1107469C">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2FF" w:usb1="400004FF" w:usb2="00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Calibri Light">
    <w:panose1 w:val="020F03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panose1 w:val="02000000000000000000"/>
    <w:charset w:val="86"/>
    <w:family w:val="script"/>
    <w:pitch w:val="default"/>
    <w:sig w:usb0="A00002BF" w:usb1="184F6CFA" w:usb2="00000012" w:usb3="00000000" w:csb0="00040001" w:csb1="00000000"/>
  </w:font>
  <w:font w:name="方正仿宋_GB2312">
    <w:altName w:val="仿宋"/>
    <w:panose1 w:val="00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022B1A12">
        <w:pPr>
          <w:pStyle w:val="12"/>
          <w:jc w:val="center"/>
        </w:pPr>
        <w:r>
          <w:fldChar w:fldCharType="begin"/>
        </w:r>
        <w:r>
          <w:instrText xml:space="preserve">PAGE   \* MERGEFORMAT</w:instrText>
        </w:r>
        <w:r>
          <w:fldChar w:fldCharType="separate"/>
        </w:r>
        <w:r>
          <w:rPr>
            <w:lang w:val="zh-CN"/>
          </w:rPr>
          <w:t>25</w:t>
        </w:r>
        <w:r>
          <w:fldChar w:fldCharType="end"/>
        </w:r>
      </w:p>
    </w:sdtContent>
  </w:sdt>
  <w:p w14:paraId="5DABAD65">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1E7A8">
    <w:pPr>
      <w:pStyle w:val="12"/>
      <w:framePr w:wrap="around" w:vAnchor="text" w:hAnchor="margin" w:xAlign="center" w:y="1"/>
      <w:rPr>
        <w:rStyle w:val="20"/>
      </w:rPr>
    </w:pPr>
    <w:r>
      <w:fldChar w:fldCharType="begin"/>
    </w:r>
    <w:r>
      <w:rPr>
        <w:rStyle w:val="20"/>
      </w:rPr>
      <w:instrText xml:space="preserve">PAGE  </w:instrText>
    </w:r>
    <w:r>
      <w:fldChar w:fldCharType="end"/>
    </w:r>
  </w:p>
  <w:p w14:paraId="4BEE1145">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3A33B">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3629C">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727A4E"/>
    <w:multiLevelType w:val="singleLevel"/>
    <w:tmpl w:val="77727A4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QxZjkxNzVlYTAzMzc1MmYxNjVkNGQ0NTRhOTY2OGQifQ=="/>
  </w:docVars>
  <w:rsids>
    <w:rsidRoot w:val="00A92BEF"/>
    <w:rsid w:val="00010F62"/>
    <w:rsid w:val="000123DB"/>
    <w:rsid w:val="00027C15"/>
    <w:rsid w:val="0003124B"/>
    <w:rsid w:val="000327D6"/>
    <w:rsid w:val="00035CE3"/>
    <w:rsid w:val="000406C4"/>
    <w:rsid w:val="0005354A"/>
    <w:rsid w:val="0005402B"/>
    <w:rsid w:val="00060368"/>
    <w:rsid w:val="0006730A"/>
    <w:rsid w:val="00072862"/>
    <w:rsid w:val="000978ED"/>
    <w:rsid w:val="00097C0B"/>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3B53"/>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1202"/>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05EB8"/>
    <w:rsid w:val="00814F72"/>
    <w:rsid w:val="008218EF"/>
    <w:rsid w:val="0082339E"/>
    <w:rsid w:val="00830AF1"/>
    <w:rsid w:val="00845BA4"/>
    <w:rsid w:val="00851160"/>
    <w:rsid w:val="0085188B"/>
    <w:rsid w:val="00853102"/>
    <w:rsid w:val="00856396"/>
    <w:rsid w:val="00870EE5"/>
    <w:rsid w:val="00881BB9"/>
    <w:rsid w:val="008A0F71"/>
    <w:rsid w:val="008A5442"/>
    <w:rsid w:val="008B7B0E"/>
    <w:rsid w:val="008C1F95"/>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31C07A5"/>
    <w:rsid w:val="035A3169"/>
    <w:rsid w:val="044E0E32"/>
    <w:rsid w:val="05997E8B"/>
    <w:rsid w:val="066D3445"/>
    <w:rsid w:val="08964B56"/>
    <w:rsid w:val="08C83CB5"/>
    <w:rsid w:val="097D7547"/>
    <w:rsid w:val="09902C2B"/>
    <w:rsid w:val="0A9926DB"/>
    <w:rsid w:val="0C3721EC"/>
    <w:rsid w:val="0CEC11E8"/>
    <w:rsid w:val="0CFD51A3"/>
    <w:rsid w:val="0D5B3587"/>
    <w:rsid w:val="0D7A240F"/>
    <w:rsid w:val="0FB06655"/>
    <w:rsid w:val="10912321"/>
    <w:rsid w:val="10C81F6C"/>
    <w:rsid w:val="11BE5B42"/>
    <w:rsid w:val="13A26E3E"/>
    <w:rsid w:val="13AE369B"/>
    <w:rsid w:val="144F1BCA"/>
    <w:rsid w:val="14FD6A90"/>
    <w:rsid w:val="15455939"/>
    <w:rsid w:val="155662FB"/>
    <w:rsid w:val="15B12877"/>
    <w:rsid w:val="16D36F75"/>
    <w:rsid w:val="16FC64CC"/>
    <w:rsid w:val="172E31C9"/>
    <w:rsid w:val="17C3509D"/>
    <w:rsid w:val="18B727BB"/>
    <w:rsid w:val="19E54DD6"/>
    <w:rsid w:val="1A07140F"/>
    <w:rsid w:val="1A7D2861"/>
    <w:rsid w:val="1BB90E2F"/>
    <w:rsid w:val="1D444728"/>
    <w:rsid w:val="1E4F7829"/>
    <w:rsid w:val="1F381476"/>
    <w:rsid w:val="1F9951FF"/>
    <w:rsid w:val="201D3E7D"/>
    <w:rsid w:val="202D76F6"/>
    <w:rsid w:val="20746BB2"/>
    <w:rsid w:val="21E64000"/>
    <w:rsid w:val="22FB1D2D"/>
    <w:rsid w:val="23E9602A"/>
    <w:rsid w:val="242B03F0"/>
    <w:rsid w:val="24F13006"/>
    <w:rsid w:val="24F353B2"/>
    <w:rsid w:val="26E533CB"/>
    <w:rsid w:val="279C2B9D"/>
    <w:rsid w:val="279D4A87"/>
    <w:rsid w:val="29370594"/>
    <w:rsid w:val="295D104C"/>
    <w:rsid w:val="29B665AC"/>
    <w:rsid w:val="29D15596"/>
    <w:rsid w:val="2A7725E1"/>
    <w:rsid w:val="2B473D61"/>
    <w:rsid w:val="2C996162"/>
    <w:rsid w:val="2CB01DDA"/>
    <w:rsid w:val="2D460049"/>
    <w:rsid w:val="2D4F6EFD"/>
    <w:rsid w:val="3163566D"/>
    <w:rsid w:val="31D8203D"/>
    <w:rsid w:val="31FA2FC3"/>
    <w:rsid w:val="3248523C"/>
    <w:rsid w:val="353327D7"/>
    <w:rsid w:val="354C4502"/>
    <w:rsid w:val="35906130"/>
    <w:rsid w:val="35A3072E"/>
    <w:rsid w:val="35BA60CE"/>
    <w:rsid w:val="38CA49CD"/>
    <w:rsid w:val="39A22AAB"/>
    <w:rsid w:val="39D54C2E"/>
    <w:rsid w:val="3A511D3A"/>
    <w:rsid w:val="3A731769"/>
    <w:rsid w:val="3B3140E6"/>
    <w:rsid w:val="3B8763FC"/>
    <w:rsid w:val="3C0E61D6"/>
    <w:rsid w:val="3D912B45"/>
    <w:rsid w:val="3DC92B7D"/>
    <w:rsid w:val="3E7013C9"/>
    <w:rsid w:val="3F2D1069"/>
    <w:rsid w:val="402C40A3"/>
    <w:rsid w:val="404D79B1"/>
    <w:rsid w:val="407D5B53"/>
    <w:rsid w:val="40CF23D7"/>
    <w:rsid w:val="411058C0"/>
    <w:rsid w:val="413277CA"/>
    <w:rsid w:val="41A31919"/>
    <w:rsid w:val="41C4751D"/>
    <w:rsid w:val="42507548"/>
    <w:rsid w:val="433B1FA6"/>
    <w:rsid w:val="457F75CA"/>
    <w:rsid w:val="471A6376"/>
    <w:rsid w:val="48EC5AF0"/>
    <w:rsid w:val="495E1E55"/>
    <w:rsid w:val="4A6C57DD"/>
    <w:rsid w:val="4A842484"/>
    <w:rsid w:val="4ACE4B79"/>
    <w:rsid w:val="4ADA413D"/>
    <w:rsid w:val="4C520536"/>
    <w:rsid w:val="4C811ECE"/>
    <w:rsid w:val="4C8E75EA"/>
    <w:rsid w:val="4CD64AED"/>
    <w:rsid w:val="4DE27E77"/>
    <w:rsid w:val="4DEA6AA2"/>
    <w:rsid w:val="4DF74D1B"/>
    <w:rsid w:val="505E5526"/>
    <w:rsid w:val="50C025FA"/>
    <w:rsid w:val="51CA3B38"/>
    <w:rsid w:val="5334283E"/>
    <w:rsid w:val="53425821"/>
    <w:rsid w:val="543D7D43"/>
    <w:rsid w:val="54413194"/>
    <w:rsid w:val="554E608A"/>
    <w:rsid w:val="55C478E4"/>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5283605"/>
    <w:rsid w:val="66DC6D4D"/>
    <w:rsid w:val="68B735CD"/>
    <w:rsid w:val="6A400653"/>
    <w:rsid w:val="6A7F45BF"/>
    <w:rsid w:val="6B5A68F5"/>
    <w:rsid w:val="6BBF5D79"/>
    <w:rsid w:val="6BC9041D"/>
    <w:rsid w:val="6DAB7F02"/>
    <w:rsid w:val="6E3E1AC5"/>
    <w:rsid w:val="719E17CE"/>
    <w:rsid w:val="71CD20B4"/>
    <w:rsid w:val="72567DE8"/>
    <w:rsid w:val="72C16AF2"/>
    <w:rsid w:val="72FA6ED8"/>
    <w:rsid w:val="73A76E7D"/>
    <w:rsid w:val="74822CE1"/>
    <w:rsid w:val="74A23383"/>
    <w:rsid w:val="74D60A51"/>
    <w:rsid w:val="75730384"/>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27"/>
    <w:autoRedefine/>
    <w:qFormat/>
    <w:uiPriority w:val="0"/>
    <w:pPr>
      <w:keepNext/>
      <w:keepLines/>
      <w:spacing w:before="480"/>
      <w:jc w:val="center"/>
      <w:outlineLvl w:val="0"/>
    </w:pPr>
    <w:rPr>
      <w:rFonts w:ascii="Cambria" w:hAnsi="Cambria" w:eastAsia="华文中宋"/>
      <w:b/>
      <w:bCs/>
      <w:sz w:val="44"/>
      <w:szCs w:val="28"/>
    </w:rPr>
  </w:style>
  <w:style w:type="paragraph" w:styleId="4">
    <w:name w:val="heading 2"/>
    <w:basedOn w:val="1"/>
    <w:next w:val="1"/>
    <w:link w:val="3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6"/>
    <w:basedOn w:val="1"/>
    <w:next w:val="1"/>
    <w:link w:val="34"/>
    <w:autoRedefine/>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35"/>
    <w:autoRedefine/>
    <w:qFormat/>
    <w:uiPriority w:val="0"/>
    <w:pPr>
      <w:spacing w:after="120"/>
    </w:pPr>
    <w:rPr>
      <w:rFonts w:ascii="Times New Roman" w:hAnsi="Times New Roman"/>
      <w:szCs w:val="24"/>
    </w:rPr>
  </w:style>
  <w:style w:type="paragraph" w:styleId="6">
    <w:name w:val="Normal Indent"/>
    <w:basedOn w:val="1"/>
    <w:autoRedefine/>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7">
    <w:name w:val="Document Map"/>
    <w:basedOn w:val="1"/>
    <w:link w:val="23"/>
    <w:autoRedefine/>
    <w:semiHidden/>
    <w:unhideWhenUsed/>
    <w:qFormat/>
    <w:uiPriority w:val="99"/>
    <w:rPr>
      <w:rFonts w:ascii="宋体"/>
      <w:sz w:val="18"/>
      <w:szCs w:val="18"/>
    </w:rPr>
  </w:style>
  <w:style w:type="paragraph" w:styleId="8">
    <w:name w:val="Body Text Indent"/>
    <w:basedOn w:val="1"/>
    <w:autoRedefine/>
    <w:unhideWhenUsed/>
    <w:qFormat/>
    <w:uiPriority w:val="99"/>
    <w:pPr>
      <w:spacing w:after="120"/>
      <w:ind w:left="420" w:leftChars="200"/>
    </w:pPr>
  </w:style>
  <w:style w:type="paragraph" w:styleId="9">
    <w:name w:val="Plain Text"/>
    <w:basedOn w:val="1"/>
    <w:link w:val="28"/>
    <w:autoRedefine/>
    <w:qFormat/>
    <w:uiPriority w:val="0"/>
    <w:rPr>
      <w:rFonts w:ascii="宋体" w:hAnsi="Courier New"/>
      <w:kern w:val="0"/>
      <w:szCs w:val="20"/>
    </w:rPr>
  </w:style>
  <w:style w:type="paragraph" w:styleId="10">
    <w:name w:val="Date"/>
    <w:basedOn w:val="1"/>
    <w:next w:val="1"/>
    <w:link w:val="25"/>
    <w:autoRedefine/>
    <w:semiHidden/>
    <w:unhideWhenUsed/>
    <w:qFormat/>
    <w:uiPriority w:val="99"/>
    <w:pPr>
      <w:ind w:left="100" w:leftChars="2500"/>
    </w:pPr>
  </w:style>
  <w:style w:type="paragraph" w:styleId="11">
    <w:name w:val="Body Text Indent 2"/>
    <w:basedOn w:val="1"/>
    <w:link w:val="39"/>
    <w:autoRedefine/>
    <w:qFormat/>
    <w:uiPriority w:val="99"/>
    <w:pPr>
      <w:spacing w:after="120" w:line="480" w:lineRule="auto"/>
      <w:ind w:left="420" w:leftChars="200"/>
    </w:pPr>
    <w:rPr>
      <w:kern w:val="0"/>
      <w:sz w:val="24"/>
    </w:rPr>
  </w:style>
  <w:style w:type="paragraph" w:styleId="12">
    <w:name w:val="footer"/>
    <w:basedOn w:val="1"/>
    <w:link w:val="22"/>
    <w:autoRedefine/>
    <w:unhideWhenUsed/>
    <w:qFormat/>
    <w:uiPriority w:val="99"/>
    <w:pPr>
      <w:tabs>
        <w:tab w:val="center" w:pos="4153"/>
        <w:tab w:val="right" w:pos="8306"/>
      </w:tabs>
      <w:snapToGrid w:val="0"/>
      <w:jc w:val="left"/>
    </w:pPr>
    <w:rPr>
      <w:sz w:val="18"/>
      <w:szCs w:val="18"/>
    </w:rPr>
  </w:style>
  <w:style w:type="paragraph" w:styleId="13">
    <w:name w:val="header"/>
    <w:basedOn w:val="1"/>
    <w:link w:val="21"/>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rPr>
  </w:style>
  <w:style w:type="character" w:styleId="20">
    <w:name w:val="page number"/>
    <w:basedOn w:val="18"/>
    <w:qFormat/>
    <w:uiPriority w:val="0"/>
  </w:style>
  <w:style w:type="character" w:customStyle="1" w:styleId="21">
    <w:name w:val="页眉 字符"/>
    <w:basedOn w:val="18"/>
    <w:link w:val="13"/>
    <w:qFormat/>
    <w:uiPriority w:val="0"/>
    <w:rPr>
      <w:rFonts w:ascii="Calibri" w:hAnsi="Calibri" w:eastAsia="宋体" w:cs="Times New Roman"/>
      <w:sz w:val="18"/>
      <w:szCs w:val="18"/>
    </w:rPr>
  </w:style>
  <w:style w:type="character" w:customStyle="1" w:styleId="22">
    <w:name w:val="页脚 字符"/>
    <w:basedOn w:val="18"/>
    <w:link w:val="12"/>
    <w:qFormat/>
    <w:uiPriority w:val="99"/>
    <w:rPr>
      <w:rFonts w:ascii="Calibri" w:hAnsi="Calibri" w:eastAsia="宋体" w:cs="Times New Roman"/>
      <w:sz w:val="18"/>
      <w:szCs w:val="18"/>
    </w:rPr>
  </w:style>
  <w:style w:type="character" w:customStyle="1" w:styleId="23">
    <w:name w:val="文档结构图 字符"/>
    <w:basedOn w:val="18"/>
    <w:link w:val="7"/>
    <w:semiHidden/>
    <w:qFormat/>
    <w:uiPriority w:val="99"/>
    <w:rPr>
      <w:rFonts w:ascii="宋体" w:hAnsi="Calibri" w:eastAsia="宋体" w:cs="Times New Roman"/>
      <w:sz w:val="18"/>
      <w:szCs w:val="18"/>
    </w:rPr>
  </w:style>
  <w:style w:type="paragraph" w:customStyle="1" w:styleId="24">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5">
    <w:name w:val="日期 字符"/>
    <w:basedOn w:val="18"/>
    <w:link w:val="10"/>
    <w:semiHidden/>
    <w:qFormat/>
    <w:uiPriority w:val="99"/>
    <w:rPr>
      <w:rFonts w:ascii="Calibri" w:hAnsi="Calibri" w:eastAsia="宋体" w:cs="Times New Roman"/>
    </w:rPr>
  </w:style>
  <w:style w:type="paragraph" w:customStyle="1" w:styleId="26">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7">
    <w:name w:val="标题 1 字符"/>
    <w:basedOn w:val="18"/>
    <w:link w:val="3"/>
    <w:qFormat/>
    <w:uiPriority w:val="0"/>
    <w:rPr>
      <w:rFonts w:ascii="Cambria" w:hAnsi="Cambria" w:eastAsia="华文中宋" w:cs="Times New Roman"/>
      <w:b/>
      <w:bCs/>
      <w:sz w:val="44"/>
      <w:szCs w:val="28"/>
    </w:rPr>
  </w:style>
  <w:style w:type="character" w:customStyle="1" w:styleId="28">
    <w:name w:val="纯文本 字符"/>
    <w:link w:val="9"/>
    <w:qFormat/>
    <w:locked/>
    <w:uiPriority w:val="0"/>
    <w:rPr>
      <w:rFonts w:ascii="宋体" w:hAnsi="Courier New"/>
      <w:sz w:val="21"/>
    </w:rPr>
  </w:style>
  <w:style w:type="character" w:customStyle="1" w:styleId="29">
    <w:name w:val="纯文本 Char"/>
    <w:basedOn w:val="18"/>
    <w:semiHidden/>
    <w:qFormat/>
    <w:uiPriority w:val="99"/>
    <w:rPr>
      <w:rFonts w:ascii="宋体" w:hAnsi="Courier New" w:cs="Courier New"/>
      <w:kern w:val="2"/>
      <w:sz w:val="21"/>
      <w:szCs w:val="21"/>
    </w:rPr>
  </w:style>
  <w:style w:type="character" w:customStyle="1" w:styleId="30">
    <w:name w:val="标题 2 字符"/>
    <w:basedOn w:val="18"/>
    <w:link w:val="4"/>
    <w:semiHidden/>
    <w:qFormat/>
    <w:uiPriority w:val="9"/>
    <w:rPr>
      <w:rFonts w:asciiTheme="majorHAnsi" w:hAnsiTheme="majorHAnsi" w:eastAsiaTheme="majorEastAsia" w:cstheme="majorBidi"/>
      <w:b/>
      <w:bCs/>
      <w:kern w:val="2"/>
      <w:sz w:val="32"/>
      <w:szCs w:val="32"/>
    </w:rPr>
  </w:style>
  <w:style w:type="paragraph" w:customStyle="1" w:styleId="31">
    <w:name w:val="Table Paragraph"/>
    <w:basedOn w:val="1"/>
    <w:autoRedefine/>
    <w:qFormat/>
    <w:uiPriority w:val="1"/>
  </w:style>
  <w:style w:type="paragraph" w:customStyle="1" w:styleId="32">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3">
    <w:name w:val="Char1 Char Char Char Char Char Char Char"/>
    <w:basedOn w:val="1"/>
    <w:qFormat/>
    <w:uiPriority w:val="0"/>
    <w:rPr>
      <w:rFonts w:ascii="Tahoma" w:hAnsi="Tahoma"/>
      <w:sz w:val="24"/>
      <w:szCs w:val="20"/>
    </w:rPr>
  </w:style>
  <w:style w:type="character" w:customStyle="1" w:styleId="34">
    <w:name w:val="标题 6 字符"/>
    <w:basedOn w:val="18"/>
    <w:link w:val="5"/>
    <w:qFormat/>
    <w:uiPriority w:val="9"/>
    <w:rPr>
      <w:rFonts w:asciiTheme="majorHAnsi" w:hAnsiTheme="majorHAnsi" w:eastAsiaTheme="majorEastAsia" w:cstheme="majorBidi"/>
      <w:b/>
      <w:bCs/>
      <w:kern w:val="2"/>
      <w:sz w:val="24"/>
      <w:szCs w:val="24"/>
    </w:rPr>
  </w:style>
  <w:style w:type="character" w:customStyle="1" w:styleId="35">
    <w:name w:val="正文文本 字符"/>
    <w:basedOn w:val="18"/>
    <w:link w:val="2"/>
    <w:qFormat/>
    <w:uiPriority w:val="0"/>
    <w:rPr>
      <w:kern w:val="2"/>
      <w:sz w:val="21"/>
      <w:szCs w:val="24"/>
    </w:rPr>
  </w:style>
  <w:style w:type="paragraph" w:styleId="36">
    <w:name w:val="List Paragraph"/>
    <w:basedOn w:val="1"/>
    <w:qFormat/>
    <w:uiPriority w:val="34"/>
    <w:pPr>
      <w:ind w:firstLine="420" w:firstLineChars="200"/>
    </w:pPr>
    <w:rPr>
      <w:rFonts w:ascii="Times New Roman" w:hAnsi="Times New Roman"/>
      <w:szCs w:val="24"/>
    </w:rPr>
  </w:style>
  <w:style w:type="paragraph" w:customStyle="1" w:styleId="37">
    <w:name w:val="样式 宋体1"/>
    <w:basedOn w:val="1"/>
    <w:qFormat/>
    <w:uiPriority w:val="0"/>
    <w:pPr>
      <w:ind w:firstLine="420" w:firstLineChars="200"/>
      <w:jc w:val="left"/>
    </w:pPr>
    <w:rPr>
      <w:rFonts w:ascii="宋体" w:hAnsi="宋体" w:eastAsia="等线" w:cs="宋体"/>
      <w:szCs w:val="20"/>
    </w:rPr>
  </w:style>
  <w:style w:type="paragraph" w:customStyle="1" w:styleId="38">
    <w:name w:val="Normal_1"/>
    <w:autoRedefine/>
    <w:qFormat/>
    <w:uiPriority w:val="0"/>
    <w:rPr>
      <w:rFonts w:ascii="Calibri" w:hAnsi="Calibri" w:eastAsia="宋体" w:cs="Times New Roman"/>
      <w:sz w:val="24"/>
      <w:szCs w:val="24"/>
      <w:lang w:val="en-US" w:eastAsia="zh-CN" w:bidi="ar-SA"/>
    </w:rPr>
  </w:style>
  <w:style w:type="character" w:customStyle="1" w:styleId="39">
    <w:name w:val="正文文本缩进 2 字符"/>
    <w:link w:val="11"/>
    <w:qFormat/>
    <w:uiPriority w:val="99"/>
    <w:rPr>
      <w:rFonts w:ascii="Calibri" w:hAnsi="Calibri"/>
      <w:sz w:val="24"/>
      <w:szCs w:val="22"/>
    </w:rPr>
  </w:style>
  <w:style w:type="paragraph" w:customStyle="1" w:styleId="40">
    <w:name w:val="01 文件标题"/>
    <w:basedOn w:val="1"/>
    <w:next w:val="1"/>
    <w:qFormat/>
    <w:uiPriority w:val="0"/>
    <w:pPr>
      <w:spacing w:line="560" w:lineRule="exact"/>
      <w:jc w:val="center"/>
    </w:pPr>
    <w:rPr>
      <w:rFonts w:ascii="方正小标宋简体" w:eastAsia="方正小标宋简体"/>
      <w:sz w:val="44"/>
    </w:rPr>
  </w:style>
  <w:style w:type="paragraph" w:customStyle="1" w:styleId="41">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2">
    <w:name w:val="04 二级标题"/>
    <w:basedOn w:val="4"/>
    <w:qFormat/>
    <w:uiPriority w:val="0"/>
    <w:pPr>
      <w:spacing w:before="0" w:after="0" w:line="560" w:lineRule="exact"/>
      <w:ind w:firstLine="200" w:firstLineChars="200"/>
    </w:pPr>
    <w:rPr>
      <w:rFonts w:ascii="楷体_GB2312" w:hAnsi="Times New Roman" w:eastAsia="楷体_GB2312"/>
      <w:b w:val="0"/>
    </w:rPr>
  </w:style>
  <w:style w:type="paragraph" w:customStyle="1" w:styleId="43">
    <w:name w:val="首行缩进"/>
    <w:basedOn w:val="1"/>
    <w:qFormat/>
    <w:uiPriority w:val="0"/>
    <w:pPr>
      <w:ind w:firstLine="720"/>
      <w:jc w:val="left"/>
    </w:pPr>
    <w:rPr>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3930</Words>
  <Characters>4053</Characters>
  <Lines>35</Lines>
  <Paragraphs>10</Paragraphs>
  <TotalTime>12</TotalTime>
  <ScaleCrop>false</ScaleCrop>
  <LinksUpToDate>false</LinksUpToDate>
  <CharactersWithSpaces>4752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Administrator</cp:lastModifiedBy>
  <cp:lastPrinted>2020-08-24T02:17:00Z</cp:lastPrinted>
  <dcterms:modified xsi:type="dcterms:W3CDTF">2025-04-10T02:40:33Z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C6363D87985D440BAB5BEEC317D1972F_13</vt:lpwstr>
  </property>
  <property fmtid="{D5CDD505-2E9C-101B-9397-08002B2CF9AE}" pid="4" name="KSOTemplateDocerSaveRecord">
    <vt:lpwstr>eyJoZGlkIjoiOWZkNjA4ZDZkYTk2ZTMxNzgwZWU2MGRjMWVkYjY2YTkiLCJ1c2VySWQiOiI0MjY4MzUxNTUifQ==</vt:lpwstr>
  </property>
</Properties>
</file>