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39"/>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kern w:val="0"/>
          <w:sz w:val="32"/>
          <w:szCs w:val="32"/>
        </w:rPr>
        <w:t>资产清查项目</w:t>
      </w:r>
    </w:p>
    <w:p w14:paraId="3286CA34">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二0二四</w:t>
      </w:r>
      <w:r>
        <w:rPr>
          <w:rFonts w:ascii="黑体" w:hAnsi="黑体" w:eastAsia="黑体"/>
          <w:sz w:val="32"/>
          <w:szCs w:val="32"/>
        </w:rPr>
        <w:t>年</w:t>
      </w:r>
      <w:r>
        <w:rPr>
          <w:rFonts w:hint="eastAsia" w:ascii="黑体" w:hAnsi="黑体" w:eastAsia="黑体"/>
          <w:sz w:val="32"/>
          <w:szCs w:val="32"/>
        </w:rPr>
        <w:t>十二</w:t>
      </w:r>
      <w:r>
        <w:rPr>
          <w:rFonts w:ascii="黑体" w:hAnsi="黑体" w:eastAsia="黑体"/>
          <w:sz w:val="32"/>
          <w:szCs w:val="32"/>
        </w:rPr>
        <w:t>月</w:t>
      </w:r>
    </w:p>
    <w:p w14:paraId="3FD890A2">
      <w:pPr>
        <w:pStyle w:val="15"/>
      </w:pPr>
    </w:p>
    <w:p w14:paraId="40E4DFFA">
      <w:pPr>
        <w:pStyle w:val="15"/>
        <w:rPr>
          <w:szCs w:val="22"/>
        </w:rPr>
      </w:pPr>
    </w:p>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rPr>
        <w:t>湖南铁道职业技术学院资产清查项目询比</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0FA957A0">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rPr>
        <w:t>资产清查项目需进行采购，现采用发布公告方式，邀请符合资格条件的供应商参与采购活动。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31662_WPSOffice_Level2"/>
      <w:bookmarkStart w:id="1" w:name="_Toc17794_WPSOffice_Level2"/>
      <w:bookmarkStart w:id="2" w:name="_Toc3564"/>
      <w:bookmarkStart w:id="3" w:name="_Toc4659"/>
      <w:bookmarkStart w:id="4" w:name="_Toc26475"/>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w:t>
      </w:r>
      <w:r>
        <w:rPr>
          <w:rFonts w:hint="eastAsia" w:ascii="仿宋" w:hAnsi="仿宋" w:eastAsia="仿宋"/>
          <w:sz w:val="24"/>
          <w:szCs w:val="24"/>
          <w:lang w:val="en-US" w:eastAsia="zh-CN"/>
        </w:rPr>
        <w:t>.</w:t>
      </w:r>
      <w:r>
        <w:rPr>
          <w:rFonts w:hint="eastAsia" w:ascii="仿宋" w:hAnsi="仿宋" w:eastAsia="仿宋"/>
          <w:sz w:val="24"/>
          <w:szCs w:val="24"/>
        </w:rPr>
        <w:t>项目名称：资产清查项目</w:t>
      </w:r>
    </w:p>
    <w:p w14:paraId="44784280">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2</w:t>
      </w:r>
      <w:r>
        <w:rPr>
          <w:rFonts w:hint="eastAsia" w:ascii="仿宋" w:hAnsi="仿宋" w:eastAsia="仿宋"/>
          <w:sz w:val="24"/>
          <w:szCs w:val="24"/>
          <w:lang w:val="en-US" w:eastAsia="zh-CN"/>
        </w:rPr>
        <w:t>.</w:t>
      </w:r>
      <w:r>
        <w:rPr>
          <w:rFonts w:hint="eastAsia" w:ascii="仿宋" w:hAnsi="仿宋" w:eastAsia="仿宋"/>
          <w:sz w:val="24"/>
          <w:szCs w:val="24"/>
        </w:rPr>
        <w:t>项目概况:对</w:t>
      </w:r>
      <w:r>
        <w:rPr>
          <w:rFonts w:hint="eastAsia" w:ascii="仿宋" w:hAnsi="仿宋" w:eastAsia="仿宋"/>
          <w:sz w:val="24"/>
          <w:szCs w:val="24"/>
          <w:lang w:val="en-US" w:eastAsia="zh-CN"/>
        </w:rPr>
        <w:t>学校</w:t>
      </w:r>
      <w:r>
        <w:rPr>
          <w:rFonts w:hint="eastAsia" w:ascii="仿宋" w:hAnsi="仿宋" w:eastAsia="仿宋"/>
          <w:sz w:val="24"/>
          <w:szCs w:val="24"/>
        </w:rPr>
        <w:t>固定资产和无形资产</w:t>
      </w:r>
      <w:r>
        <w:rPr>
          <w:rFonts w:hint="eastAsia" w:ascii="仿宋" w:hAnsi="仿宋" w:eastAsia="仿宋"/>
          <w:sz w:val="24"/>
          <w:szCs w:val="24"/>
          <w:lang w:eastAsia="zh-CN"/>
        </w:rPr>
        <w:t>（</w:t>
      </w:r>
      <w:r>
        <w:rPr>
          <w:rFonts w:hint="eastAsia" w:ascii="仿宋" w:hAnsi="仿宋" w:eastAsia="仿宋"/>
          <w:sz w:val="24"/>
          <w:szCs w:val="24"/>
          <w:lang w:val="en-US" w:eastAsia="zh-CN"/>
        </w:rPr>
        <w:t>约6.5万件左右</w:t>
      </w:r>
      <w:r>
        <w:rPr>
          <w:rFonts w:hint="eastAsia" w:ascii="仿宋" w:hAnsi="仿宋" w:eastAsia="仿宋"/>
          <w:sz w:val="24"/>
          <w:szCs w:val="24"/>
          <w:lang w:eastAsia="zh-CN"/>
        </w:rPr>
        <w:t>）</w:t>
      </w:r>
      <w:r>
        <w:rPr>
          <w:rFonts w:hint="eastAsia" w:ascii="仿宋" w:hAnsi="仿宋" w:eastAsia="仿宋"/>
          <w:sz w:val="24"/>
          <w:szCs w:val="24"/>
        </w:rPr>
        <w:t>情况进行全面清理和核查，真实、完整、准确地反映学校的资产实物状况和账面情况。</w:t>
      </w:r>
    </w:p>
    <w:p w14:paraId="5BF0E80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w:t>
      </w:r>
      <w:r>
        <w:rPr>
          <w:rFonts w:hint="eastAsia" w:ascii="仿宋" w:hAnsi="仿宋" w:eastAsia="仿宋"/>
          <w:sz w:val="24"/>
          <w:szCs w:val="24"/>
          <w:lang w:val="en-US" w:eastAsia="zh-CN"/>
        </w:rPr>
        <w:t>.</w:t>
      </w:r>
      <w:r>
        <w:rPr>
          <w:rFonts w:hint="eastAsia" w:ascii="仿宋" w:hAnsi="仿宋" w:eastAsia="仿宋"/>
          <w:sz w:val="24"/>
          <w:szCs w:val="24"/>
        </w:rPr>
        <w:t>服务内容：本次资产清查项目服务内容包括实物盘点、账务处理、系统数据更新、粘贴标签等，具体内容详见采购文件</w:t>
      </w:r>
      <w:r>
        <w:rPr>
          <w:rFonts w:hint="eastAsia" w:ascii="仿宋" w:hAnsi="仿宋" w:eastAsia="仿宋"/>
          <w:sz w:val="24"/>
          <w:szCs w:val="24"/>
          <w:lang w:eastAsia="zh-CN"/>
        </w:rPr>
        <w:t>（</w:t>
      </w:r>
      <w:r>
        <w:rPr>
          <w:rFonts w:hint="eastAsia" w:ascii="仿宋" w:hAnsi="仿宋" w:eastAsia="仿宋"/>
          <w:sz w:val="24"/>
          <w:szCs w:val="24"/>
          <w:lang w:val="en-US" w:eastAsia="zh-CN"/>
        </w:rPr>
        <w:t>见附件）</w:t>
      </w:r>
      <w:bookmarkStart w:id="9" w:name="_GoBack"/>
      <w:bookmarkEnd w:id="9"/>
      <w:r>
        <w:rPr>
          <w:rFonts w:hint="eastAsia" w:ascii="仿宋" w:hAnsi="仿宋" w:eastAsia="仿宋"/>
          <w:sz w:val="24"/>
          <w:szCs w:val="24"/>
        </w:rPr>
        <w:t>。</w:t>
      </w:r>
    </w:p>
    <w:p w14:paraId="71947C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lang w:val="en-US" w:eastAsia="zh-CN"/>
        </w:rPr>
        <w:t>.</w:t>
      </w:r>
      <w:r>
        <w:rPr>
          <w:rFonts w:hint="eastAsia" w:ascii="仿宋" w:hAnsi="仿宋" w:eastAsia="仿宋"/>
          <w:sz w:val="24"/>
          <w:szCs w:val="24"/>
        </w:rPr>
        <w:t>采购预算：19.5</w:t>
      </w:r>
      <w:r>
        <w:rPr>
          <w:rFonts w:ascii="仿宋" w:hAnsi="仿宋" w:eastAsia="仿宋"/>
          <w:sz w:val="24"/>
          <w:szCs w:val="24"/>
        </w:rPr>
        <w:t>万元</w:t>
      </w:r>
    </w:p>
    <w:p w14:paraId="453272DD">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072F082D">
      <w:pPr>
        <w:pStyle w:val="1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rPr>
        <w:t>2、特定资格条件：</w:t>
      </w:r>
      <w:r>
        <w:rPr>
          <w:rFonts w:hint="eastAsia" w:ascii="仿宋" w:hAnsi="仿宋" w:eastAsia="仿宋"/>
          <w:sz w:val="24"/>
          <w:szCs w:val="24"/>
          <w:lang w:val="en-US" w:eastAsia="zh-CN"/>
        </w:rPr>
        <w:t>无</w:t>
      </w:r>
    </w:p>
    <w:p w14:paraId="4B673CBE">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3、不接受联合体投标</w:t>
      </w:r>
    </w:p>
    <w:p w14:paraId="773A98C1">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lang w:val="en-US" w:eastAsia="zh-CN"/>
        </w:rPr>
        <w:t>三</w:t>
      </w:r>
      <w:r>
        <w:rPr>
          <w:rFonts w:hint="eastAsia" w:ascii="仿宋" w:hAnsi="仿宋" w:eastAsia="仿宋"/>
          <w:b/>
          <w:bCs/>
          <w:sz w:val="24"/>
          <w:szCs w:val="24"/>
        </w:rPr>
        <w:t>、响应文件提交的截止时间、开启时间及地点</w:t>
      </w:r>
      <w:bookmarkEnd w:id="5"/>
    </w:p>
    <w:p w14:paraId="054E6273">
      <w:pPr>
        <w:pStyle w:val="1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sz w:val="24"/>
          <w:szCs w:val="24"/>
        </w:rPr>
        <w:t>1．首次响应文件的提交截止时间：</w:t>
      </w:r>
      <w:r>
        <w:rPr>
          <w:rFonts w:hint="eastAsia" w:ascii="仿宋" w:hAnsi="仿宋" w:eastAsia="仿宋"/>
          <w:color w:val="auto"/>
          <w:sz w:val="24"/>
          <w:szCs w:val="24"/>
        </w:rPr>
        <w:t>2024年12月</w:t>
      </w:r>
      <w:r>
        <w:rPr>
          <w:rFonts w:hint="eastAsia" w:ascii="仿宋" w:hAnsi="仿宋" w:eastAsia="仿宋"/>
          <w:color w:val="auto"/>
          <w:sz w:val="24"/>
          <w:szCs w:val="24"/>
          <w:lang w:val="en-US" w:eastAsia="zh-CN"/>
        </w:rPr>
        <w:t>19</w:t>
      </w:r>
      <w:r>
        <w:rPr>
          <w:rFonts w:hint="eastAsia" w:ascii="仿宋" w:hAnsi="仿宋" w:eastAsia="仿宋"/>
          <w:color w:val="auto"/>
          <w:sz w:val="24"/>
          <w:szCs w:val="24"/>
        </w:rPr>
        <w:t>日</w:t>
      </w:r>
      <w:r>
        <w:rPr>
          <w:rFonts w:hint="eastAsia" w:ascii="仿宋" w:hAnsi="仿宋" w:eastAsia="仿宋"/>
          <w:color w:val="auto"/>
          <w:sz w:val="24"/>
          <w:szCs w:val="24"/>
          <w:lang w:val="en-US" w:eastAsia="zh-CN"/>
        </w:rPr>
        <w:t>10</w:t>
      </w:r>
      <w:r>
        <w:rPr>
          <w:rFonts w:hint="eastAsia" w:ascii="仿宋" w:hAnsi="仿宋" w:eastAsia="仿宋"/>
          <w:color w:val="auto"/>
          <w:sz w:val="24"/>
          <w:szCs w:val="24"/>
        </w:rPr>
        <w:t>:00时</w:t>
      </w:r>
    </w:p>
    <w:p w14:paraId="5FCFB0A5">
      <w:pPr>
        <w:pStyle w:val="1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2．首次响应文件的开启时间：2024年12月</w:t>
      </w:r>
      <w:r>
        <w:rPr>
          <w:rFonts w:hint="eastAsia" w:ascii="仿宋" w:hAnsi="仿宋" w:eastAsia="仿宋"/>
          <w:color w:val="auto"/>
          <w:sz w:val="24"/>
          <w:szCs w:val="24"/>
          <w:lang w:val="en-US" w:eastAsia="zh-CN"/>
        </w:rPr>
        <w:t>19</w:t>
      </w:r>
      <w:r>
        <w:rPr>
          <w:rFonts w:hint="eastAsia" w:ascii="仿宋" w:hAnsi="仿宋" w:eastAsia="仿宋"/>
          <w:color w:val="auto"/>
          <w:sz w:val="24"/>
          <w:szCs w:val="24"/>
        </w:rPr>
        <w:t>日</w:t>
      </w:r>
      <w:r>
        <w:rPr>
          <w:rFonts w:hint="eastAsia" w:ascii="仿宋" w:hAnsi="仿宋" w:eastAsia="仿宋"/>
          <w:color w:val="auto"/>
          <w:sz w:val="24"/>
          <w:szCs w:val="24"/>
          <w:lang w:val="en-US" w:eastAsia="zh-CN"/>
        </w:rPr>
        <w:t>10</w:t>
      </w:r>
      <w:r>
        <w:rPr>
          <w:rFonts w:hint="eastAsia" w:ascii="仿宋" w:hAnsi="仿宋" w:eastAsia="仿宋"/>
          <w:color w:val="auto"/>
          <w:sz w:val="24"/>
          <w:szCs w:val="24"/>
        </w:rPr>
        <w:t>:00时</w:t>
      </w:r>
    </w:p>
    <w:p w14:paraId="63DB6ACB">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highlight w:val="none"/>
        </w:rPr>
      </w:pPr>
      <w:bookmarkStart w:id="6" w:name="_Toc58335832"/>
      <w:r>
        <w:rPr>
          <w:rFonts w:hint="eastAsia" w:ascii="仿宋" w:hAnsi="仿宋" w:eastAsia="仿宋" w:cs="宋体"/>
          <w:bCs w:val="0"/>
          <w:kern w:val="0"/>
          <w:sz w:val="24"/>
          <w:szCs w:val="24"/>
          <w:highlight w:val="none"/>
          <w:lang w:val="en-US" w:eastAsia="zh-CN"/>
        </w:rPr>
        <w:t>四</w:t>
      </w:r>
      <w:r>
        <w:rPr>
          <w:rFonts w:hint="eastAsia" w:ascii="仿宋" w:hAnsi="仿宋" w:eastAsia="仿宋" w:cs="宋体"/>
          <w:bCs w:val="0"/>
          <w:kern w:val="0"/>
          <w:sz w:val="24"/>
          <w:szCs w:val="24"/>
          <w:highlight w:val="none"/>
        </w:rPr>
        <w:t>、公告期限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highlight w:val="none"/>
        </w:rPr>
      </w:pPr>
      <w:r>
        <w:rPr>
          <w:rFonts w:hint="eastAsia" w:ascii="仿宋" w:hAnsi="仿宋" w:eastAsia="仿宋" w:cstheme="minorEastAsia"/>
          <w:sz w:val="24"/>
          <w:szCs w:val="24"/>
          <w:highlight w:val="none"/>
        </w:rPr>
        <w:t>1．本招标公告在湖南铁道职业技术学院官网（www.</w:t>
      </w:r>
      <w:r>
        <w:rPr>
          <w:rFonts w:ascii="仿宋" w:hAnsi="仿宋" w:eastAsia="仿宋" w:cstheme="minorEastAsia"/>
          <w:sz w:val="24"/>
          <w:szCs w:val="24"/>
          <w:highlight w:val="none"/>
        </w:rPr>
        <w:t>hnrpc.com</w:t>
      </w:r>
      <w:r>
        <w:rPr>
          <w:rFonts w:hint="eastAsia" w:ascii="仿宋" w:hAnsi="仿宋" w:eastAsia="仿宋" w:cstheme="minorEastAsia"/>
          <w:sz w:val="24"/>
          <w:szCs w:val="24"/>
          <w:highlight w:val="none"/>
        </w:rPr>
        <w:t>）发布。公告期限从本招标公告发布之日起</w:t>
      </w:r>
      <w:r>
        <w:rPr>
          <w:rFonts w:hint="eastAsia" w:ascii="仿宋" w:hAnsi="仿宋" w:eastAsia="仿宋" w:cstheme="minorEastAsia"/>
          <w:sz w:val="24"/>
          <w:szCs w:val="24"/>
          <w:highlight w:val="none"/>
          <w:lang w:val="en-US" w:eastAsia="zh-CN"/>
        </w:rPr>
        <w:t>3</w:t>
      </w:r>
      <w:r>
        <w:rPr>
          <w:rFonts w:hint="eastAsia" w:ascii="仿宋" w:hAnsi="仿宋" w:eastAsia="仿宋" w:cstheme="minorEastAsia"/>
          <w:sz w:val="24"/>
          <w:szCs w:val="24"/>
          <w:highlight w:val="none"/>
        </w:rPr>
        <w:t>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lang w:val="en-US" w:eastAsia="zh-CN"/>
        </w:rPr>
        <w:t>五</w:t>
      </w:r>
      <w:r>
        <w:rPr>
          <w:rFonts w:hint="eastAsia" w:ascii="仿宋" w:hAnsi="仿宋" w:eastAsia="仿宋" w:cs="宋体"/>
          <w:bCs w:val="0"/>
          <w:kern w:val="0"/>
          <w:sz w:val="24"/>
          <w:szCs w:val="24"/>
        </w:rPr>
        <w:t>、疑问及质疑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lang w:val="en-US" w:eastAsia="zh-CN"/>
        </w:rPr>
        <w:t>六</w:t>
      </w:r>
      <w:r>
        <w:rPr>
          <w:rFonts w:hint="eastAsia" w:ascii="仿宋" w:hAnsi="仿宋" w:eastAsia="仿宋" w:cs="宋体"/>
          <w:bCs w:val="0"/>
          <w:kern w:val="0"/>
          <w:sz w:val="24"/>
          <w:szCs w:val="24"/>
        </w:rPr>
        <w:t>、采购项目联系人姓名和电话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default" w:ascii="仿宋" w:hAnsi="仿宋" w:eastAsia="仿宋" w:cstheme="minorEastAsia"/>
          <w:sz w:val="24"/>
          <w:szCs w:val="24"/>
          <w:highlight w:val="none"/>
          <w:lang w:val="en-US" w:eastAsia="zh-CN"/>
        </w:rPr>
      </w:pPr>
      <w:r>
        <w:rPr>
          <w:rFonts w:hint="eastAsia" w:ascii="仿宋" w:hAnsi="仿宋" w:eastAsia="仿宋" w:cstheme="minorEastAsia"/>
          <w:sz w:val="24"/>
          <w:szCs w:val="24"/>
        </w:rPr>
        <w:t>联系人姓名：</w:t>
      </w:r>
      <w:r>
        <w:rPr>
          <w:rFonts w:hint="eastAsia" w:ascii="仿宋" w:hAnsi="仿宋" w:eastAsia="仿宋" w:cstheme="minorEastAsia"/>
          <w:sz w:val="24"/>
          <w:szCs w:val="24"/>
          <w:highlight w:val="none"/>
          <w:lang w:val="en-US" w:eastAsia="zh-CN"/>
        </w:rPr>
        <w:t>康</w:t>
      </w:r>
      <w:r>
        <w:rPr>
          <w:rFonts w:hint="eastAsia" w:ascii="仿宋" w:hAnsi="仿宋" w:eastAsia="仿宋" w:cstheme="minorEastAsia"/>
          <w:sz w:val="24"/>
          <w:szCs w:val="24"/>
          <w:highlight w:val="none"/>
        </w:rPr>
        <w:t>老师</w:t>
      </w:r>
      <w:r>
        <w:rPr>
          <w:rFonts w:hint="eastAsia" w:ascii="仿宋" w:hAnsi="仿宋" w:eastAsia="仿宋" w:cstheme="minorEastAsia"/>
          <w:sz w:val="24"/>
          <w:szCs w:val="24"/>
          <w:highlight w:val="none"/>
          <w:lang w:val="en-US" w:eastAsia="zh-CN"/>
        </w:rPr>
        <w:t xml:space="preserve">  张老师</w:t>
      </w:r>
    </w:p>
    <w:p w14:paraId="3B375338">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电 话：</w:t>
      </w:r>
      <w:r>
        <w:rPr>
          <w:rFonts w:ascii="仿宋" w:hAnsi="仿宋" w:eastAsia="仿宋" w:cstheme="minorEastAsia"/>
          <w:sz w:val="24"/>
          <w:szCs w:val="24"/>
        </w:rPr>
        <w:t>22783844</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22F3A15E">
      <w:pPr>
        <w:pStyle w:val="15"/>
      </w:pPr>
    </w:p>
    <w:p w14:paraId="42402AF4"/>
    <w:p w14:paraId="06CBF053">
      <w:pPr>
        <w:pStyle w:val="15"/>
      </w:pPr>
    </w:p>
    <w:p w14:paraId="0617B9A7"/>
    <w:p w14:paraId="4FFDF357">
      <w:pPr>
        <w:pStyle w:val="15"/>
      </w:pPr>
    </w:p>
    <w:p w14:paraId="5EE97DA2">
      <w:pPr>
        <w:pStyle w:val="15"/>
        <w:ind w:left="0" w:leftChars="0" w:firstLine="0"/>
        <w:rPr>
          <w:szCs w:val="22"/>
        </w:rPr>
      </w:pPr>
    </w:p>
    <w:p w14:paraId="102C28AC">
      <w:pPr>
        <w:rPr>
          <w:szCs w:val="22"/>
        </w:rPr>
      </w:pPr>
    </w:p>
    <w:p w14:paraId="167C6777">
      <w:pPr>
        <w:pStyle w:val="7"/>
        <w:rPr>
          <w:szCs w:val="22"/>
        </w:rPr>
      </w:pPr>
    </w:p>
    <w:p w14:paraId="43A9A7CF">
      <w:pPr>
        <w:rPr>
          <w:szCs w:val="22"/>
        </w:rPr>
      </w:pPr>
    </w:p>
    <w:p w14:paraId="13F8E109">
      <w:pPr>
        <w:pStyle w:val="7"/>
        <w:rPr>
          <w:szCs w:val="22"/>
        </w:rPr>
      </w:pPr>
    </w:p>
    <w:p w14:paraId="5EC8A2E1">
      <w:pPr>
        <w:rPr>
          <w:szCs w:val="22"/>
        </w:rPr>
      </w:pPr>
    </w:p>
    <w:p w14:paraId="34F8B3C7">
      <w:pPr>
        <w:pStyle w:val="7"/>
        <w:rPr>
          <w:szCs w:val="22"/>
        </w:rPr>
      </w:pPr>
    </w:p>
    <w:p w14:paraId="2A3004E7"/>
    <w:p w14:paraId="333CFB95"/>
    <w:p w14:paraId="7B46CF16">
      <w:pPr>
        <w:pStyle w:val="15"/>
      </w:pPr>
    </w:p>
    <w:p w14:paraId="4726678E"/>
    <w:p w14:paraId="360ECAAB"/>
    <w:p w14:paraId="611302C1">
      <w:pPr>
        <w:pStyle w:val="15"/>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1．项目名称：资产清查项目</w:t>
      </w:r>
    </w:p>
    <w:p w14:paraId="5A3630E4">
      <w:pPr>
        <w:pStyle w:val="40"/>
        <w:adjustRightInd w:val="0"/>
        <w:snapToGrid w:val="0"/>
        <w:spacing w:line="360" w:lineRule="auto"/>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2．服务期限：项目人员须在岗工作时间不少于90天，120天内完成全校资产清查的所有工作内容（寒假除外）。</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669469F7">
      <w:pPr>
        <w:adjustRightInd w:val="0"/>
        <w:snapToGrid w:val="0"/>
        <w:spacing w:line="520" w:lineRule="exact"/>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以2024年12月31日为资产清查的基准日，对学校各部门及单位占有、使用的全部国有资产进行清查，包括固定资产和无形资产，总数量大约6.5万余件，总资产4.8亿左右，其中学校固定资产包括除图书、土地房屋以外的通用设备、专用设备、家具用具、文物及陈列品等，无形资产主要包括学校持有的专利权、著作权、非专利技术等。</w:t>
      </w:r>
    </w:p>
    <w:p w14:paraId="543DD5C0">
      <w:pPr>
        <w:adjustRightInd w:val="0"/>
        <w:snapToGrid w:val="0"/>
        <w:spacing w:line="520" w:lineRule="exact"/>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本项目工作内容包括资产清查实施方案的制定，对资产报表数与系统中的资产卡片进行全面核对；对清查基准日的所有资产进行盘点；将系统中资产卡片生成的盘点单与清查基准日对所有资产进行实物盘点的盘点表进行匹配；对资产管理系统进行数据更新；粘贴标签；收集资产清查损益证据和出具资产清查报告</w:t>
      </w:r>
      <w:r>
        <w:rPr>
          <w:rFonts w:ascii="仿宋" w:hAnsi="仿宋" w:eastAsia="仿宋" w:cs="仿宋"/>
          <w:color w:val="333333"/>
          <w:kern w:val="0"/>
          <w:sz w:val="24"/>
          <w:szCs w:val="24"/>
        </w:rPr>
        <w:t>。</w:t>
      </w:r>
      <w:r>
        <w:rPr>
          <w:rFonts w:hint="eastAsia" w:ascii="仿宋" w:hAnsi="仿宋" w:eastAsia="仿宋" w:cs="仿宋"/>
          <w:color w:val="333333"/>
          <w:kern w:val="0"/>
          <w:sz w:val="24"/>
          <w:szCs w:val="24"/>
        </w:rPr>
        <w:t>具体要求如下：</w:t>
      </w:r>
    </w:p>
    <w:p w14:paraId="69AB917A">
      <w:pPr>
        <w:pStyle w:val="40"/>
        <w:adjustRightInd w:val="0"/>
        <w:snapToGrid w:val="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1.对学校清查范围内的所有资产进行全面的清理、核对和查实；</w:t>
      </w:r>
    </w:p>
    <w:p w14:paraId="4AD327CE">
      <w:pPr>
        <w:pStyle w:val="40"/>
        <w:adjustRightInd w:val="0"/>
        <w:snapToGrid w:val="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2.对所有资产进行实地盘点，落实资产名称、数量、存放地点、保管人、资产使用情况以及资产在用、盘盈、盘亏、毁损和报废等情况并进行拍照；</w:t>
      </w:r>
    </w:p>
    <w:p w14:paraId="20762618">
      <w:pPr>
        <w:pStyle w:val="40"/>
        <w:adjustRightInd w:val="0"/>
        <w:snapToGrid w:val="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3.对实地盘点情况进行整理，将实物与盘点表、账面明细进行匹配，将盘点情况、资产账进行核对；</w:t>
      </w:r>
    </w:p>
    <w:p w14:paraId="17B7042E">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4.对资产盘盈、盘亏、毁损、报废以及不规范入账等情况进行相关证据资料的整理与核实，分析具体原因，提出合理具体的处置措施和方案；</w:t>
      </w:r>
    </w:p>
    <w:p w14:paraId="36F7CD8F">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5.根据清点核实后的实际资产情况，在资产管理系统中进行数据更新，明确资产名称、存放地点、使用人等信息，上传实物照片，实现资产和标签一对一索引。</w:t>
      </w:r>
    </w:p>
    <w:p w14:paraId="03577C77">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6.打印标签并粘贴到实物上、出具资产清查报告。</w:t>
      </w:r>
    </w:p>
    <w:p w14:paraId="130BDE4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6E77CA2A">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1.工作实施方案</w:t>
      </w:r>
    </w:p>
    <w:p w14:paraId="5195889E">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项目正式实施前，中标方需提前到校进行全面的调研评估，根据调研结果出具详细的工作范围（含基准日）、分工安排、工作进度、实施方案、人员管理制度、数据保密与备份方案、信息安全保障措施、《固定资产清查情况分析报告》模板等，形成详尽、可行、高效的《资产清查工作方案》并提交清查工作启动说明等，并与学校达成一致，否则学校有权拒绝工作的启动，中标方有责任对工作方案进行整改和修订，直至满足工作要求。</w:t>
      </w:r>
    </w:p>
    <w:p w14:paraId="75BD0619">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2.人员要求</w:t>
      </w:r>
    </w:p>
    <w:p w14:paraId="6B44D0A6">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根据单位规模和资产情况，本项目总参与人数应不少于10人。</w:t>
      </w:r>
    </w:p>
    <w:p w14:paraId="500E844D">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3.工作时间要求</w:t>
      </w:r>
    </w:p>
    <w:p w14:paraId="65E4FB33">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项目人员须在岗工作时间不少于90天，120天内完成全校资产清查的所有工作（寒假期间除外），并出具资产清查报告。</w:t>
      </w:r>
    </w:p>
    <w:p w14:paraId="1242807C">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4.数据标准要求</w:t>
      </w:r>
    </w:p>
    <w:p w14:paraId="72A17872">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整理资产数据时字段、内容、资产分类方法应符合湖南省财政厅行政事业单位固定资产管理办法的要求，同时遵循学校资产管理系统的数据标准，并根据数据标准更新学校资产管理系统的基础数据和资产数据。</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6F218170">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1.项目人员应客观、真实地记录资产状况，实地盘点过程中接受甲方不定期监督和检查。</w:t>
      </w:r>
    </w:p>
    <w:p w14:paraId="35662E38">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2.在本项目实施过程中，各个阶段的成果和文档资料需交付给甲方。</w:t>
      </w:r>
    </w:p>
    <w:p w14:paraId="67AA8602">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3.资产系统的数据调整和更新需符合甲方要求。</w:t>
      </w:r>
    </w:p>
    <w:p w14:paraId="2891F700">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4.清查工作完成后甲方按一定比例进行抽查验收。</w:t>
      </w:r>
    </w:p>
    <w:p w14:paraId="5BC10E2E">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5.资产清查报告应为有资质的会计师事务所出具。</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本项目招标上限价为19.5万元</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报价为一次性报价。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07208C7E">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合同签订后，项目完成经甲方</w:t>
      </w:r>
      <w:r>
        <w:rPr>
          <w:rFonts w:ascii="仿宋" w:hAnsi="仿宋" w:eastAsia="仿宋" w:cstheme="minorEastAsia"/>
          <w:sz w:val="24"/>
          <w:szCs w:val="24"/>
        </w:rPr>
        <w:t>验收合格</w:t>
      </w:r>
      <w:r>
        <w:rPr>
          <w:rFonts w:hint="eastAsia" w:ascii="仿宋" w:hAnsi="仿宋" w:eastAsia="仿宋" w:cstheme="minorEastAsia"/>
          <w:sz w:val="24"/>
          <w:szCs w:val="24"/>
        </w:rPr>
        <w:t>后</w:t>
      </w:r>
      <w:r>
        <w:rPr>
          <w:rFonts w:ascii="仿宋" w:hAnsi="仿宋" w:eastAsia="仿宋" w:cstheme="minorEastAsia"/>
          <w:sz w:val="24"/>
          <w:szCs w:val="24"/>
        </w:rPr>
        <w:t>支付合同总金额的</w:t>
      </w:r>
      <w:r>
        <w:rPr>
          <w:rFonts w:hint="eastAsia" w:ascii="仿宋" w:hAnsi="仿宋" w:eastAsia="仿宋" w:cstheme="minorEastAsia"/>
          <w:sz w:val="24"/>
          <w:szCs w:val="24"/>
        </w:rPr>
        <w:t>100</w:t>
      </w:r>
      <w:r>
        <w:rPr>
          <w:rFonts w:ascii="仿宋" w:hAnsi="仿宋" w:eastAsia="仿宋" w:cstheme="minorEastAsia"/>
          <w:sz w:val="24"/>
          <w:szCs w:val="24"/>
        </w:rPr>
        <w:t>%。</w:t>
      </w:r>
      <w:r>
        <w:rPr>
          <w:rFonts w:hint="eastAsia" w:ascii="仿宋" w:hAnsi="仿宋" w:eastAsia="仿宋" w:cstheme="minorEastAsia"/>
          <w:sz w:val="24"/>
          <w:szCs w:val="24"/>
        </w:rPr>
        <w:t>具体以签订的合同为准。</w:t>
      </w:r>
    </w:p>
    <w:p w14:paraId="124CDEC5">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八、其他说明：</w:t>
      </w:r>
    </w:p>
    <w:p w14:paraId="311C4EA4">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1</w:t>
      </w:r>
      <w:r>
        <w:rPr>
          <w:rFonts w:hint="eastAsia" w:ascii="仿宋" w:hAnsi="仿宋" w:eastAsia="仿宋" w:cstheme="minorEastAsia"/>
          <w:b/>
          <w:sz w:val="24"/>
          <w:szCs w:val="24"/>
          <w:lang w:val="en-US" w:eastAsia="zh-CN"/>
        </w:rPr>
        <w:t>.</w:t>
      </w:r>
      <w:r>
        <w:rPr>
          <w:rFonts w:hint="eastAsia" w:ascii="仿宋" w:hAnsi="仿宋" w:eastAsia="仿宋" w:cstheme="minorEastAsia"/>
          <w:b/>
          <w:sz w:val="24"/>
          <w:szCs w:val="24"/>
        </w:rPr>
        <w:t>参与投标的单位</w:t>
      </w:r>
      <w:r>
        <w:rPr>
          <w:rFonts w:hint="eastAsia" w:ascii="仿宋" w:hAnsi="仿宋" w:eastAsia="仿宋" w:cstheme="minorEastAsia"/>
          <w:b/>
          <w:sz w:val="24"/>
          <w:szCs w:val="24"/>
          <w:lang w:val="en-US" w:eastAsia="zh-CN"/>
        </w:rPr>
        <w:t>中标后</w:t>
      </w:r>
      <w:r>
        <w:rPr>
          <w:rFonts w:hint="eastAsia" w:ascii="仿宋" w:hAnsi="仿宋" w:eastAsia="仿宋" w:cstheme="minorEastAsia"/>
          <w:b/>
          <w:sz w:val="24"/>
          <w:szCs w:val="24"/>
        </w:rPr>
        <w:t>须</w:t>
      </w:r>
      <w:r>
        <w:rPr>
          <w:rFonts w:hint="eastAsia" w:ascii="仿宋" w:hAnsi="仿宋" w:eastAsia="仿宋" w:cstheme="minorEastAsia"/>
          <w:b/>
          <w:sz w:val="24"/>
          <w:szCs w:val="24"/>
          <w:lang w:val="en-US" w:eastAsia="zh-CN"/>
        </w:rPr>
        <w:t>是</w:t>
      </w:r>
      <w:r>
        <w:rPr>
          <w:rFonts w:hint="eastAsia" w:ascii="仿宋" w:hAnsi="仿宋" w:eastAsia="仿宋" w:cstheme="minorEastAsia"/>
          <w:b/>
          <w:sz w:val="24"/>
          <w:szCs w:val="24"/>
        </w:rPr>
        <w:t>湖南省政府采购电子卖场的合格供应商。</w:t>
      </w:r>
    </w:p>
    <w:p w14:paraId="64E45FCA">
      <w:pPr>
        <w:snapToGrid w:val="0"/>
        <w:spacing w:line="360" w:lineRule="auto"/>
        <w:ind w:firstLine="482" w:firstLineChars="200"/>
        <w:jc w:val="left"/>
        <w:rPr>
          <w:rFonts w:hint="default" w:ascii="仿宋" w:hAnsi="仿宋" w:eastAsia="仿宋" w:cstheme="minorEastAsia"/>
          <w:b/>
          <w:color w:val="auto"/>
          <w:sz w:val="24"/>
          <w:szCs w:val="24"/>
          <w:lang w:val="en-US" w:eastAsia="zh-CN"/>
        </w:rPr>
      </w:pPr>
      <w:r>
        <w:rPr>
          <w:rFonts w:hint="eastAsia" w:ascii="仿宋" w:hAnsi="仿宋" w:eastAsia="仿宋" w:cstheme="minorEastAsia"/>
          <w:b/>
          <w:sz w:val="24"/>
          <w:szCs w:val="24"/>
          <w:lang w:val="en-US" w:eastAsia="zh-CN"/>
        </w:rPr>
        <w:t>2</w:t>
      </w:r>
      <w:r>
        <w:rPr>
          <w:rFonts w:hint="eastAsia" w:ascii="仿宋" w:hAnsi="仿宋" w:eastAsia="仿宋" w:cstheme="minorEastAsia"/>
          <w:b/>
          <w:color w:val="auto"/>
          <w:sz w:val="24"/>
          <w:szCs w:val="24"/>
          <w:lang w:val="en-US" w:eastAsia="zh-CN"/>
        </w:rPr>
        <w:t>.为确保本单位的资产数据的安全，投标单位需提交数据保密承诺书并加盖投标人公章。</w:t>
      </w:r>
    </w:p>
    <w:p w14:paraId="6870C465">
      <w:pPr>
        <w:pStyle w:val="15"/>
        <w:ind w:left="0" w:leftChars="0" w:firstLine="0"/>
        <w:jc w:val="center"/>
        <w:rPr>
          <w:rFonts w:hint="eastAsia" w:ascii="仿宋" w:hAnsi="仿宋" w:eastAsia="仿宋"/>
          <w:b/>
          <w:sz w:val="36"/>
          <w:szCs w:val="36"/>
        </w:rPr>
      </w:pPr>
    </w:p>
    <w:p w14:paraId="223FEA38">
      <w:pPr>
        <w:pStyle w:val="15"/>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6842793B">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2A57729E">
      <w:pPr>
        <w:pStyle w:val="15"/>
        <w:ind w:left="0" w:leftChars="0" w:firstLine="0"/>
      </w:pPr>
    </w:p>
    <w:p w14:paraId="056FE710">
      <w:pPr>
        <w:pStyle w:val="15"/>
        <w:spacing w:before="0" w:beforeAutospacing="0" w:after="0" w:line="240" w:lineRule="atLeast"/>
        <w:ind w:left="0" w:leftChars="0" w:firstLine="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79D1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59AFEDA7">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0C748504">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4F2F7146">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46B85A0E">
            <w:pPr>
              <w:jc w:val="center"/>
              <w:rPr>
                <w:rFonts w:hint="eastAsia" w:ascii="仿宋" w:hAnsi="仿宋" w:eastAsia="仿宋"/>
                <w:b/>
                <w:sz w:val="24"/>
                <w:szCs w:val="24"/>
              </w:rPr>
            </w:pPr>
            <w:r>
              <w:rPr>
                <w:rFonts w:hint="eastAsia" w:ascii="仿宋" w:hAnsi="仿宋" w:eastAsia="仿宋"/>
                <w:b/>
                <w:sz w:val="24"/>
                <w:szCs w:val="24"/>
              </w:rPr>
              <w:t>评分标准</w:t>
            </w:r>
          </w:p>
        </w:tc>
      </w:tr>
      <w:tr w14:paraId="4A69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62BC2181">
            <w:pPr>
              <w:jc w:val="center"/>
              <w:rPr>
                <w:rFonts w:hint="eastAsia" w:ascii="仿宋" w:hAnsi="仿宋" w:eastAsia="仿宋"/>
                <w:b/>
                <w:kern w:val="0"/>
                <w:sz w:val="24"/>
                <w:szCs w:val="24"/>
              </w:rPr>
            </w:pPr>
            <w:r>
              <w:rPr>
                <w:rFonts w:hint="eastAsia" w:ascii="仿宋" w:hAnsi="仿宋" w:eastAsia="仿宋"/>
                <w:sz w:val="24"/>
                <w:szCs w:val="24"/>
              </w:rPr>
              <w:t>1</w:t>
            </w:r>
          </w:p>
        </w:tc>
        <w:tc>
          <w:tcPr>
            <w:tcW w:w="1308" w:type="dxa"/>
            <w:vAlign w:val="center"/>
          </w:tcPr>
          <w:p w14:paraId="7D8E7FFA">
            <w:pPr>
              <w:jc w:val="center"/>
              <w:rPr>
                <w:rFonts w:hint="eastAsia" w:ascii="仿宋" w:hAnsi="仿宋" w:eastAsia="仿宋"/>
                <w:b/>
                <w:kern w:val="0"/>
                <w:sz w:val="24"/>
                <w:szCs w:val="24"/>
              </w:rPr>
            </w:pPr>
            <w:r>
              <w:rPr>
                <w:rFonts w:hint="eastAsia" w:ascii="仿宋" w:hAnsi="仿宋" w:eastAsia="仿宋"/>
                <w:kern w:val="0"/>
                <w:sz w:val="24"/>
                <w:szCs w:val="24"/>
              </w:rPr>
              <w:t>报价</w:t>
            </w:r>
          </w:p>
        </w:tc>
        <w:tc>
          <w:tcPr>
            <w:tcW w:w="709" w:type="dxa"/>
            <w:vAlign w:val="center"/>
          </w:tcPr>
          <w:p w14:paraId="3AB271F7">
            <w:pPr>
              <w:jc w:val="center"/>
              <w:rPr>
                <w:rFonts w:hint="default" w:ascii="仿宋" w:hAnsi="仿宋" w:eastAsia="仿宋"/>
                <w:kern w:val="0"/>
                <w:sz w:val="24"/>
                <w:szCs w:val="24"/>
                <w:lang w:val="en-US" w:eastAsia="zh-CN"/>
              </w:rPr>
            </w:pPr>
            <w:r>
              <w:rPr>
                <w:rFonts w:hint="eastAsia" w:ascii="仿宋" w:hAnsi="仿宋" w:eastAsia="仿宋"/>
                <w:kern w:val="0"/>
                <w:sz w:val="24"/>
                <w:szCs w:val="24"/>
                <w:lang w:val="en-US" w:eastAsia="zh-CN"/>
              </w:rPr>
              <w:t>30</w:t>
            </w:r>
          </w:p>
        </w:tc>
        <w:tc>
          <w:tcPr>
            <w:tcW w:w="6237" w:type="dxa"/>
            <w:vAlign w:val="center"/>
          </w:tcPr>
          <w:p w14:paraId="5ED2E53D">
            <w:pPr>
              <w:jc w:val="left"/>
              <w:rPr>
                <w:rFonts w:hint="eastAsia" w:ascii="仿宋" w:hAnsi="仿宋" w:eastAsia="仿宋"/>
                <w:b/>
                <w:color w:val="auto"/>
                <w:sz w:val="24"/>
                <w:szCs w:val="24"/>
              </w:rPr>
            </w:pPr>
            <w:r>
              <w:rPr>
                <w:rFonts w:hint="eastAsia" w:ascii="仿宋" w:hAnsi="仿宋" w:eastAsia="仿宋" w:cs="宋体"/>
                <w:color w:val="auto"/>
                <w:sz w:val="24"/>
                <w:szCs w:val="24"/>
              </w:rPr>
              <w:t>以经评委会一致认定满足招标文件要求且投标价格最低的投标报价为评标基准价，其价格得分计</w:t>
            </w:r>
            <w:r>
              <w:rPr>
                <w:rFonts w:hint="eastAsia" w:ascii="仿宋" w:hAnsi="仿宋" w:eastAsia="仿宋" w:cs="宋体"/>
                <w:color w:val="auto"/>
                <w:sz w:val="24"/>
                <w:szCs w:val="24"/>
                <w:lang w:val="en-US" w:eastAsia="zh-CN"/>
              </w:rPr>
              <w:t>30</w:t>
            </w:r>
            <w:r>
              <w:rPr>
                <w:rFonts w:hint="eastAsia" w:ascii="仿宋" w:hAnsi="仿宋" w:eastAsia="仿宋" w:cs="宋体"/>
                <w:color w:val="auto"/>
                <w:sz w:val="24"/>
                <w:szCs w:val="24"/>
              </w:rPr>
              <w:t>分。其他投标人的价格得分统一按公式计算：报价得分=（评标基准价/投标报价）×价格权重。</w:t>
            </w:r>
          </w:p>
        </w:tc>
      </w:tr>
      <w:tr w14:paraId="14C3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6389F210">
            <w:pPr>
              <w:jc w:val="left"/>
              <w:rPr>
                <w:rFonts w:hint="eastAsia"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w:t>
            </w:r>
          </w:p>
        </w:tc>
        <w:tc>
          <w:tcPr>
            <w:tcW w:w="1308" w:type="dxa"/>
            <w:vAlign w:val="center"/>
          </w:tcPr>
          <w:p w14:paraId="0B4E691E">
            <w:pPr>
              <w:jc w:val="center"/>
              <w:rPr>
                <w:rFonts w:hint="eastAsia" w:ascii="仿宋" w:hAnsi="仿宋" w:eastAsia="仿宋" w:cs="宋体"/>
                <w:color w:val="auto"/>
                <w:sz w:val="24"/>
                <w:szCs w:val="24"/>
              </w:rPr>
            </w:pPr>
            <w:r>
              <w:rPr>
                <w:rFonts w:hint="eastAsia" w:ascii="仿宋" w:hAnsi="仿宋" w:eastAsia="仿宋" w:cs="宋体"/>
                <w:color w:val="auto"/>
                <w:sz w:val="24"/>
                <w:szCs w:val="24"/>
              </w:rPr>
              <w:t>服务团队能力</w:t>
            </w:r>
          </w:p>
        </w:tc>
        <w:tc>
          <w:tcPr>
            <w:tcW w:w="709" w:type="dxa"/>
            <w:vAlign w:val="center"/>
          </w:tcPr>
          <w:p w14:paraId="1B87B594">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10</w:t>
            </w:r>
          </w:p>
        </w:tc>
        <w:tc>
          <w:tcPr>
            <w:tcW w:w="6237" w:type="dxa"/>
            <w:vAlign w:val="center"/>
          </w:tcPr>
          <w:p w14:paraId="330B03CC">
            <w:pPr>
              <w:jc w:val="left"/>
              <w:rPr>
                <w:rFonts w:hint="eastAsia" w:ascii="仿宋" w:hAnsi="仿宋" w:eastAsia="仿宋" w:cs="宋体"/>
                <w:color w:val="auto"/>
                <w:sz w:val="24"/>
                <w:szCs w:val="24"/>
              </w:rPr>
            </w:pPr>
            <w:r>
              <w:rPr>
                <w:rFonts w:hint="eastAsia" w:ascii="仿宋" w:hAnsi="仿宋" w:eastAsia="仿宋" w:cs="宋体"/>
                <w:color w:val="auto"/>
                <w:sz w:val="24"/>
                <w:szCs w:val="24"/>
                <w:lang w:eastAsia="zh-CN"/>
              </w:rPr>
              <w:t>（</w:t>
            </w:r>
            <w:r>
              <w:rPr>
                <w:rFonts w:hint="eastAsia" w:ascii="仿宋" w:hAnsi="仿宋" w:eastAsia="仿宋" w:cs="宋体"/>
                <w:color w:val="auto"/>
                <w:sz w:val="24"/>
                <w:szCs w:val="24"/>
                <w:lang w:val="en-US" w:eastAsia="zh-CN"/>
              </w:rPr>
              <w:t>1</w:t>
            </w:r>
            <w:r>
              <w:rPr>
                <w:rFonts w:hint="eastAsia" w:ascii="仿宋" w:hAnsi="仿宋" w:eastAsia="仿宋" w:cs="宋体"/>
                <w:color w:val="auto"/>
                <w:sz w:val="24"/>
                <w:szCs w:val="24"/>
                <w:lang w:eastAsia="zh-CN"/>
              </w:rPr>
              <w:t>）</w:t>
            </w:r>
            <w:r>
              <w:rPr>
                <w:rFonts w:hint="eastAsia" w:ascii="仿宋" w:hAnsi="仿宋" w:eastAsia="仿宋" w:cs="宋体"/>
                <w:color w:val="auto"/>
                <w:sz w:val="24"/>
                <w:szCs w:val="24"/>
              </w:rPr>
              <w:t>服务团队中的人员具备中华人民共和国人力资源和社会保障部、工业和信息化部颁发的高级信息系统项目管理师证书的，每提供1人得</w:t>
            </w:r>
            <w:r>
              <w:rPr>
                <w:rFonts w:hint="eastAsia" w:ascii="仿宋" w:hAnsi="仿宋" w:eastAsia="仿宋" w:cs="宋体"/>
                <w:color w:val="auto"/>
                <w:sz w:val="24"/>
                <w:szCs w:val="24"/>
                <w:lang w:val="en-US" w:eastAsia="zh-CN"/>
              </w:rPr>
              <w:t>2</w:t>
            </w:r>
            <w:r>
              <w:rPr>
                <w:rFonts w:hint="eastAsia" w:ascii="仿宋" w:hAnsi="仿宋" w:eastAsia="仿宋" w:cs="宋体"/>
                <w:color w:val="auto"/>
                <w:sz w:val="24"/>
                <w:szCs w:val="24"/>
              </w:rPr>
              <w:t>分，最高得</w:t>
            </w:r>
            <w:r>
              <w:rPr>
                <w:rFonts w:hint="eastAsia" w:ascii="仿宋" w:hAnsi="仿宋" w:eastAsia="仿宋" w:cs="宋体"/>
                <w:color w:val="auto"/>
                <w:sz w:val="24"/>
                <w:szCs w:val="24"/>
                <w:lang w:val="en-US" w:eastAsia="zh-CN"/>
              </w:rPr>
              <w:t>4</w:t>
            </w:r>
            <w:r>
              <w:rPr>
                <w:rFonts w:hint="eastAsia" w:ascii="仿宋" w:hAnsi="仿宋" w:eastAsia="仿宋" w:cs="宋体"/>
                <w:color w:val="auto"/>
                <w:sz w:val="24"/>
                <w:szCs w:val="24"/>
              </w:rPr>
              <w:t>分。</w:t>
            </w:r>
          </w:p>
          <w:p w14:paraId="489D84F9">
            <w:pPr>
              <w:jc w:val="left"/>
              <w:rPr>
                <w:rFonts w:hint="eastAsia" w:ascii="仿宋" w:hAnsi="仿宋" w:eastAsia="仿宋" w:cs="宋体"/>
                <w:color w:val="auto"/>
                <w:sz w:val="24"/>
                <w:szCs w:val="24"/>
              </w:rPr>
            </w:pPr>
            <w:r>
              <w:rPr>
                <w:rFonts w:hint="eastAsia" w:ascii="仿宋" w:hAnsi="仿宋" w:eastAsia="仿宋" w:cs="宋体"/>
                <w:color w:val="auto"/>
                <w:sz w:val="24"/>
                <w:szCs w:val="24"/>
              </w:rPr>
              <w:t>（</w:t>
            </w:r>
            <w:r>
              <w:rPr>
                <w:rFonts w:hint="eastAsia" w:ascii="仿宋" w:hAnsi="仿宋" w:eastAsia="仿宋" w:cs="宋体"/>
                <w:color w:val="auto"/>
                <w:sz w:val="24"/>
                <w:szCs w:val="24"/>
                <w:lang w:val="en-US"/>
              </w:rPr>
              <w:t>2）</w:t>
            </w:r>
            <w:r>
              <w:rPr>
                <w:rFonts w:hint="eastAsia" w:ascii="仿宋" w:hAnsi="仿宋" w:eastAsia="仿宋" w:cs="宋体"/>
                <w:color w:val="auto"/>
                <w:sz w:val="24"/>
                <w:szCs w:val="24"/>
              </w:rPr>
              <w:t>服务团队中的人员具备中级会计师证书的，每提供1人得</w:t>
            </w:r>
            <w:r>
              <w:rPr>
                <w:rFonts w:hint="eastAsia" w:ascii="仿宋" w:hAnsi="仿宋" w:eastAsia="仿宋" w:cs="宋体"/>
                <w:color w:val="auto"/>
                <w:sz w:val="24"/>
                <w:szCs w:val="24"/>
                <w:lang w:val="en-US" w:eastAsia="zh-CN"/>
              </w:rPr>
              <w:t>2</w:t>
            </w:r>
            <w:r>
              <w:rPr>
                <w:rFonts w:hint="eastAsia" w:ascii="仿宋" w:hAnsi="仿宋" w:eastAsia="仿宋" w:cs="宋体"/>
                <w:color w:val="auto"/>
                <w:sz w:val="24"/>
                <w:szCs w:val="24"/>
              </w:rPr>
              <w:t>分，最高得</w:t>
            </w:r>
            <w:r>
              <w:rPr>
                <w:rFonts w:hint="eastAsia" w:ascii="仿宋" w:hAnsi="仿宋" w:eastAsia="仿宋" w:cs="宋体"/>
                <w:color w:val="auto"/>
                <w:sz w:val="24"/>
                <w:szCs w:val="24"/>
                <w:lang w:val="en-US" w:eastAsia="zh-CN"/>
              </w:rPr>
              <w:t>6</w:t>
            </w:r>
            <w:r>
              <w:rPr>
                <w:rFonts w:hint="eastAsia" w:ascii="仿宋" w:hAnsi="仿宋" w:eastAsia="仿宋" w:cs="宋体"/>
                <w:color w:val="auto"/>
                <w:sz w:val="24"/>
                <w:szCs w:val="24"/>
              </w:rPr>
              <w:t>分。</w:t>
            </w:r>
          </w:p>
          <w:p w14:paraId="5E031275">
            <w:pPr>
              <w:jc w:val="left"/>
              <w:rPr>
                <w:rFonts w:hint="eastAsia" w:ascii="仿宋" w:hAnsi="仿宋" w:eastAsia="仿宋" w:cs="宋体"/>
                <w:b/>
                <w:bCs/>
                <w:color w:val="auto"/>
                <w:sz w:val="24"/>
                <w:szCs w:val="24"/>
              </w:rPr>
            </w:pPr>
            <w:r>
              <w:rPr>
                <w:rFonts w:hint="eastAsia" w:ascii="仿宋" w:hAnsi="仿宋" w:eastAsia="仿宋" w:cs="宋体"/>
                <w:b/>
                <w:bCs/>
                <w:color w:val="auto"/>
                <w:sz w:val="24"/>
                <w:szCs w:val="24"/>
              </w:rPr>
              <w:t>本项满分</w:t>
            </w:r>
            <w:r>
              <w:rPr>
                <w:rFonts w:hint="eastAsia" w:ascii="仿宋" w:hAnsi="仿宋" w:eastAsia="仿宋" w:cs="宋体"/>
                <w:b/>
                <w:bCs/>
                <w:color w:val="auto"/>
                <w:sz w:val="24"/>
                <w:szCs w:val="24"/>
                <w:lang w:val="en-US" w:eastAsia="zh-CN"/>
              </w:rPr>
              <w:t>10</w:t>
            </w:r>
            <w:r>
              <w:rPr>
                <w:rFonts w:hint="eastAsia" w:ascii="仿宋" w:hAnsi="仿宋" w:eastAsia="仿宋" w:cs="宋体"/>
                <w:b/>
                <w:bCs/>
                <w:color w:val="auto"/>
                <w:sz w:val="24"/>
                <w:szCs w:val="24"/>
              </w:rPr>
              <w:t>分。</w:t>
            </w:r>
          </w:p>
          <w:p w14:paraId="4EC7629E">
            <w:pPr>
              <w:jc w:val="left"/>
              <w:rPr>
                <w:rFonts w:hint="eastAsia" w:ascii="仿宋" w:hAnsi="仿宋" w:eastAsia="仿宋" w:cs="宋体"/>
                <w:color w:val="auto"/>
                <w:sz w:val="24"/>
                <w:szCs w:val="24"/>
              </w:rPr>
            </w:pPr>
            <w:r>
              <w:rPr>
                <w:rFonts w:hint="eastAsia" w:ascii="仿宋" w:hAnsi="仿宋" w:eastAsia="仿宋" w:cs="宋体"/>
                <w:b/>
                <w:bCs/>
                <w:color w:val="auto"/>
                <w:sz w:val="24"/>
                <w:szCs w:val="24"/>
              </w:rPr>
              <w:t>【评审依据】：1）响应文件中提供以上人员证书扫描件和供应商为其缴纳的近三个月（不含磋商当月）的社保证明扫描件并加盖供应商公章，未提供或提供的证明材料不齐全的不得分。2）服务团队中人员证书不得复用，否则不予加分。</w:t>
            </w:r>
          </w:p>
        </w:tc>
      </w:tr>
      <w:tr w14:paraId="5B54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0" w:type="auto"/>
            <w:vAlign w:val="center"/>
          </w:tcPr>
          <w:p w14:paraId="5040FC1A">
            <w:pPr>
              <w:jc w:val="left"/>
              <w:rPr>
                <w:rFonts w:hint="eastAsia"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3</w:t>
            </w:r>
          </w:p>
        </w:tc>
        <w:tc>
          <w:tcPr>
            <w:tcW w:w="1308" w:type="dxa"/>
            <w:vAlign w:val="center"/>
          </w:tcPr>
          <w:p w14:paraId="4CB097CA">
            <w:pPr>
              <w:jc w:val="center"/>
              <w:rPr>
                <w:rFonts w:hint="eastAsia"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项目整体实施方案</w:t>
            </w:r>
          </w:p>
        </w:tc>
        <w:tc>
          <w:tcPr>
            <w:tcW w:w="709" w:type="dxa"/>
            <w:vAlign w:val="center"/>
          </w:tcPr>
          <w:p w14:paraId="5F6B02FB">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24</w:t>
            </w:r>
          </w:p>
        </w:tc>
        <w:tc>
          <w:tcPr>
            <w:tcW w:w="6237" w:type="dxa"/>
            <w:vAlign w:val="center"/>
          </w:tcPr>
          <w:p w14:paraId="650F45E3">
            <w:pPr>
              <w:jc w:val="left"/>
              <w:rPr>
                <w:rFonts w:hint="eastAsia"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供应商根据本项目实施特点及技术要求，结合项目所在地现有情况制定实施方案，方案至少应包括：①技术保障措施；②人员组织保障措施；③进度保障措施；④质量保障措施；⑤应急处置保障措施；⑥售后保障服务。</w:t>
            </w:r>
          </w:p>
          <w:p w14:paraId="2E208DEA">
            <w:pPr>
              <w:jc w:val="left"/>
              <w:rPr>
                <w:rFonts w:hint="eastAsia"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评审小组根据方案的完整性、合理性及操作性等进行评价，以上①~⑥条方案内容全面、科学合理的每条得4分；方案较完整、能满足基本保障要求的每条得2分；方案有缺失、操作性一般的得1分；其他不得分。</w:t>
            </w:r>
          </w:p>
          <w:p w14:paraId="15F8F90C">
            <w:pPr>
              <w:jc w:val="left"/>
              <w:rPr>
                <w:rFonts w:hint="eastAsia" w:ascii="仿宋" w:hAnsi="仿宋" w:eastAsia="仿宋" w:cs="宋体"/>
                <w:b/>
                <w:bCs/>
                <w:color w:val="auto"/>
                <w:sz w:val="24"/>
                <w:szCs w:val="24"/>
                <w:lang w:val="en-US" w:eastAsia="zh-CN"/>
              </w:rPr>
            </w:pPr>
            <w:r>
              <w:rPr>
                <w:rFonts w:hint="eastAsia" w:ascii="仿宋" w:hAnsi="仿宋" w:eastAsia="仿宋" w:cs="宋体"/>
                <w:b/>
                <w:bCs/>
                <w:color w:val="auto"/>
                <w:sz w:val="24"/>
                <w:szCs w:val="24"/>
                <w:lang w:val="en-US" w:eastAsia="zh-CN"/>
              </w:rPr>
              <w:t>本项满分24分。</w:t>
            </w:r>
          </w:p>
          <w:p w14:paraId="185C22BE">
            <w:pPr>
              <w:jc w:val="left"/>
              <w:rPr>
                <w:rFonts w:hint="eastAsia" w:ascii="仿宋" w:hAnsi="仿宋" w:eastAsia="仿宋" w:cs="宋体"/>
                <w:color w:val="auto"/>
                <w:sz w:val="24"/>
                <w:szCs w:val="24"/>
                <w:lang w:val="en-US" w:eastAsia="zh-CN"/>
              </w:rPr>
            </w:pPr>
            <w:r>
              <w:rPr>
                <w:rFonts w:hint="eastAsia" w:ascii="仿宋" w:hAnsi="仿宋" w:eastAsia="仿宋" w:cs="宋体"/>
                <w:b/>
                <w:bCs/>
                <w:color w:val="auto"/>
                <w:sz w:val="24"/>
                <w:szCs w:val="24"/>
                <w:lang w:val="en-US" w:eastAsia="zh-CN"/>
              </w:rPr>
              <w:t>【评审依据】：响应文件中提供项目整体实施方案，未提供不得分。</w:t>
            </w:r>
          </w:p>
        </w:tc>
      </w:tr>
      <w:tr w14:paraId="2E70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0" w:type="auto"/>
            <w:vAlign w:val="center"/>
          </w:tcPr>
          <w:p w14:paraId="55734A43">
            <w:pPr>
              <w:jc w:val="left"/>
              <w:rPr>
                <w:rFonts w:hint="eastAsia"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4</w:t>
            </w:r>
          </w:p>
        </w:tc>
        <w:tc>
          <w:tcPr>
            <w:tcW w:w="1308" w:type="dxa"/>
            <w:vAlign w:val="center"/>
          </w:tcPr>
          <w:p w14:paraId="329C7FA8">
            <w:pPr>
              <w:jc w:val="center"/>
              <w:rPr>
                <w:rFonts w:hint="eastAsia"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图例设计</w:t>
            </w:r>
          </w:p>
        </w:tc>
        <w:tc>
          <w:tcPr>
            <w:tcW w:w="709" w:type="dxa"/>
            <w:vAlign w:val="center"/>
          </w:tcPr>
          <w:p w14:paraId="19462B79">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6</w:t>
            </w:r>
          </w:p>
        </w:tc>
        <w:tc>
          <w:tcPr>
            <w:tcW w:w="6237" w:type="dxa"/>
            <w:vAlign w:val="center"/>
          </w:tcPr>
          <w:p w14:paraId="3D8681CB">
            <w:pPr>
              <w:jc w:val="left"/>
              <w:rPr>
                <w:rFonts w:hint="eastAsia"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评审小组根据各响应文件中提供的“标签张贴标准规范”、“家具类标签张贴图例”及“设备类标签张贴图例”进行对比。图例设计针对性、可操作性强，完全满足项目实际需求的得6分；图例设计针对性、可操作性较强，满足项目实际需求的得3分；图例设计针对性、可操作性一般，满足项目实际需求的得1分。</w:t>
            </w:r>
          </w:p>
          <w:p w14:paraId="464CE894">
            <w:pPr>
              <w:jc w:val="left"/>
              <w:rPr>
                <w:rFonts w:hint="eastAsia" w:ascii="仿宋" w:hAnsi="仿宋" w:eastAsia="仿宋" w:cs="宋体"/>
                <w:color w:val="auto"/>
                <w:sz w:val="24"/>
                <w:szCs w:val="24"/>
                <w:lang w:val="en-US" w:eastAsia="zh-CN"/>
              </w:rPr>
            </w:pPr>
            <w:r>
              <w:rPr>
                <w:rFonts w:hint="eastAsia" w:ascii="仿宋" w:hAnsi="仿宋" w:eastAsia="仿宋" w:cs="宋体"/>
                <w:b/>
                <w:bCs/>
                <w:color w:val="auto"/>
                <w:sz w:val="24"/>
                <w:szCs w:val="24"/>
                <w:lang w:val="en-US" w:eastAsia="zh-CN"/>
              </w:rPr>
              <w:t>【评审依据】：响应文件中提供图例设计，未提供不得分。</w:t>
            </w:r>
          </w:p>
        </w:tc>
      </w:tr>
      <w:tr w14:paraId="5517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258C8DA">
            <w:pPr>
              <w:jc w:val="left"/>
              <w:rPr>
                <w:rFonts w:hint="eastAsia"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5</w:t>
            </w:r>
          </w:p>
        </w:tc>
        <w:tc>
          <w:tcPr>
            <w:tcW w:w="1308" w:type="dxa"/>
            <w:vAlign w:val="center"/>
          </w:tcPr>
          <w:p w14:paraId="12982FC6">
            <w:pPr>
              <w:jc w:val="center"/>
              <w:rPr>
                <w:rFonts w:hint="eastAsia"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履约能力</w:t>
            </w:r>
          </w:p>
        </w:tc>
        <w:tc>
          <w:tcPr>
            <w:tcW w:w="709" w:type="dxa"/>
            <w:vAlign w:val="center"/>
          </w:tcPr>
          <w:p w14:paraId="01FC025E">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20</w:t>
            </w:r>
          </w:p>
        </w:tc>
        <w:tc>
          <w:tcPr>
            <w:tcW w:w="6237" w:type="dxa"/>
            <w:vAlign w:val="center"/>
          </w:tcPr>
          <w:p w14:paraId="6E9592EE">
            <w:pPr>
              <w:jc w:val="left"/>
              <w:rPr>
                <w:rFonts w:hint="eastAsia"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供应商提供自2021年12月至本项目响应文件递交截止时间（以合同签订日期为准）具有类似资产数据治理（资产清查）服务项目实施案例的,每提供一个加5分。</w:t>
            </w:r>
          </w:p>
          <w:p w14:paraId="17D98F83">
            <w:pPr>
              <w:jc w:val="left"/>
              <w:rPr>
                <w:rFonts w:hint="eastAsia" w:ascii="仿宋" w:hAnsi="仿宋" w:eastAsia="仿宋" w:cs="宋体"/>
                <w:b/>
                <w:bCs/>
                <w:color w:val="auto"/>
                <w:sz w:val="24"/>
                <w:szCs w:val="24"/>
                <w:lang w:val="en-US" w:eastAsia="zh-CN"/>
              </w:rPr>
            </w:pPr>
            <w:r>
              <w:rPr>
                <w:rFonts w:hint="eastAsia" w:ascii="仿宋" w:hAnsi="仿宋" w:eastAsia="仿宋" w:cs="宋体"/>
                <w:b/>
                <w:bCs/>
                <w:color w:val="auto"/>
                <w:sz w:val="24"/>
                <w:szCs w:val="24"/>
                <w:lang w:val="en-US" w:eastAsia="zh-CN"/>
              </w:rPr>
              <w:t>本项满分20分。</w:t>
            </w:r>
          </w:p>
          <w:p w14:paraId="21D192DF">
            <w:pPr>
              <w:jc w:val="left"/>
              <w:rPr>
                <w:rFonts w:hint="eastAsia" w:ascii="仿宋" w:hAnsi="仿宋" w:eastAsia="仿宋" w:cs="宋体"/>
                <w:color w:val="auto"/>
                <w:sz w:val="24"/>
                <w:szCs w:val="24"/>
                <w:lang w:val="en-US" w:eastAsia="zh-CN"/>
              </w:rPr>
            </w:pPr>
            <w:r>
              <w:rPr>
                <w:rFonts w:hint="eastAsia" w:ascii="仿宋" w:hAnsi="仿宋" w:eastAsia="仿宋" w:cs="宋体"/>
                <w:b/>
                <w:bCs/>
                <w:color w:val="auto"/>
                <w:sz w:val="24"/>
                <w:szCs w:val="24"/>
                <w:lang w:val="en-US" w:eastAsia="zh-CN"/>
              </w:rPr>
              <w:t>【评审依据】：响应文件中提供合同复印件并加盖供应商公章。（合同复印件需提供合同首页、标的或内容所在页、签字盖章页）</w:t>
            </w:r>
          </w:p>
        </w:tc>
      </w:tr>
      <w:tr w14:paraId="631F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3CA71C8">
            <w:pPr>
              <w:jc w:val="left"/>
              <w:rPr>
                <w:rFonts w:hint="eastAsia"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6</w:t>
            </w:r>
          </w:p>
        </w:tc>
        <w:tc>
          <w:tcPr>
            <w:tcW w:w="1308" w:type="dxa"/>
            <w:vAlign w:val="center"/>
          </w:tcPr>
          <w:p w14:paraId="343B1904">
            <w:pPr>
              <w:jc w:val="center"/>
              <w:rPr>
                <w:rFonts w:hint="eastAsia"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企业综合实力</w:t>
            </w:r>
          </w:p>
        </w:tc>
        <w:tc>
          <w:tcPr>
            <w:tcW w:w="709" w:type="dxa"/>
            <w:vAlign w:val="center"/>
          </w:tcPr>
          <w:p w14:paraId="147D11AC">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10</w:t>
            </w:r>
          </w:p>
        </w:tc>
        <w:tc>
          <w:tcPr>
            <w:tcW w:w="6237" w:type="dxa"/>
            <w:vAlign w:val="center"/>
          </w:tcPr>
          <w:p w14:paraId="15CF0620">
            <w:pPr>
              <w:jc w:val="left"/>
              <w:rPr>
                <w:rFonts w:hint="eastAsia"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供应商提供ISO45001职业健康安全管理体系认证、ISO14001环境管理体系认证、ISO20000信息技术服务管理体系认证、ISO27001信息安全管理体系认证、ISO9001质量管理体系认证，提供以上证书一项的得2分。</w:t>
            </w:r>
          </w:p>
          <w:p w14:paraId="6203061F">
            <w:pPr>
              <w:jc w:val="left"/>
              <w:rPr>
                <w:rFonts w:hint="eastAsia" w:ascii="仿宋" w:hAnsi="仿宋" w:eastAsia="仿宋" w:cs="宋体"/>
                <w:color w:val="auto"/>
                <w:sz w:val="24"/>
                <w:szCs w:val="24"/>
                <w:lang w:val="en-US" w:eastAsia="zh-CN"/>
              </w:rPr>
            </w:pPr>
            <w:r>
              <w:rPr>
                <w:rFonts w:hint="eastAsia" w:ascii="仿宋" w:hAnsi="仿宋" w:eastAsia="仿宋" w:cs="宋体"/>
                <w:b/>
                <w:bCs/>
                <w:color w:val="auto"/>
                <w:sz w:val="24"/>
                <w:szCs w:val="24"/>
                <w:lang w:val="en-US" w:eastAsia="zh-CN"/>
              </w:rPr>
              <w:t>本项满分10分。</w:t>
            </w:r>
          </w:p>
        </w:tc>
      </w:tr>
    </w:tbl>
    <w:p w14:paraId="2927E818">
      <w:pPr>
        <w:rPr>
          <w:rFonts w:hint="eastAsia"/>
        </w:rPr>
      </w:pPr>
    </w:p>
    <w:p w14:paraId="2CE8C035">
      <w:pPr>
        <w:rPr>
          <w:rFonts w:hint="eastAsia"/>
        </w:rPr>
      </w:pPr>
    </w:p>
    <w:p w14:paraId="450018AE">
      <w:pPr>
        <w:rPr>
          <w:rFonts w:hint="eastAsia"/>
        </w:rPr>
      </w:pPr>
    </w:p>
    <w:p w14:paraId="5077E8EB">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5"/>
        <w:spacing w:before="0" w:beforeAutospacing="0" w:after="0" w:line="360" w:lineRule="auto"/>
        <w:ind w:left="0" w:leftChars="0" w:firstLine="482" w:firstLineChars="200"/>
        <w:jc w:val="left"/>
        <w:rPr>
          <w:rFonts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131AB0E8">
      <w:pPr>
        <w:pStyle w:val="15"/>
        <w:spacing w:before="0" w:beforeAutospacing="0" w:after="0" w:line="360" w:lineRule="auto"/>
        <w:ind w:left="0" w:leftChars="0" w:firstLine="482" w:firstLineChars="200"/>
        <w:jc w:val="left"/>
        <w:rPr>
          <w:rFonts w:hint="default" w:ascii="仿宋" w:hAnsi="仿宋" w:eastAsia="仿宋"/>
          <w:b w:val="0"/>
          <w:bCs/>
          <w:color w:val="auto"/>
          <w:sz w:val="24"/>
          <w:szCs w:val="24"/>
          <w:lang w:val="en-US" w:eastAsia="zh-CN"/>
        </w:rPr>
      </w:pPr>
      <w:r>
        <w:rPr>
          <w:rFonts w:hint="eastAsia" w:ascii="仿宋" w:hAnsi="仿宋" w:eastAsia="仿宋"/>
          <w:b/>
          <w:sz w:val="24"/>
          <w:szCs w:val="24"/>
          <w:lang w:val="en-US" w:eastAsia="zh-CN"/>
        </w:rPr>
        <w:t>四、数据保密承诺书：</w:t>
      </w:r>
      <w:r>
        <w:rPr>
          <w:rFonts w:hint="eastAsia" w:ascii="仿宋" w:hAnsi="仿宋" w:eastAsia="仿宋"/>
          <w:b w:val="0"/>
          <w:bCs/>
          <w:color w:val="auto"/>
          <w:sz w:val="24"/>
          <w:szCs w:val="24"/>
          <w:lang w:val="en-US" w:eastAsia="zh-CN"/>
        </w:rPr>
        <w:t>格式自拟，</w:t>
      </w:r>
      <w:r>
        <w:rPr>
          <w:rFonts w:hint="eastAsia" w:ascii="仿宋" w:hAnsi="仿宋" w:eastAsia="仿宋"/>
          <w:b w:val="0"/>
          <w:bCs/>
          <w:sz w:val="24"/>
          <w:szCs w:val="24"/>
          <w:lang w:val="en-US" w:eastAsia="zh-CN"/>
        </w:rPr>
        <w:t>并加盖公章</w:t>
      </w:r>
    </w:p>
    <w:p w14:paraId="083C3535"/>
    <w:p w14:paraId="26A326CD">
      <w:pPr>
        <w:pStyle w:val="15"/>
        <w:ind w:left="0" w:leftChars="0" w:firstLine="0" w:firstLineChars="0"/>
      </w:pPr>
    </w:p>
    <w:p w14:paraId="4DFEE8F5">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0"/>
        <w:adjustRightInd w:val="0"/>
        <w:snapToGrid w:val="0"/>
        <w:spacing w:line="360" w:lineRule="auto"/>
        <w:rPr>
          <w:rFonts w:hint="eastAsia" w:ascii="仿宋_GB2312" w:hAnsi="宋体" w:eastAsia="仿宋_GB2312"/>
          <w:b/>
        </w:rPr>
      </w:pPr>
    </w:p>
    <w:p w14:paraId="495F3925">
      <w:pPr>
        <w:pStyle w:val="10"/>
        <w:adjustRightInd w:val="0"/>
        <w:snapToGrid w:val="0"/>
        <w:spacing w:line="360" w:lineRule="auto"/>
        <w:rPr>
          <w:rFonts w:hint="eastAsia" w:ascii="仿宋_GB2312" w:hAnsi="宋体" w:eastAsia="仿宋_GB2312"/>
          <w:b/>
        </w:rPr>
      </w:pPr>
    </w:p>
    <w:p w14:paraId="002BFB56">
      <w:pPr>
        <w:pStyle w:val="10"/>
        <w:adjustRightInd w:val="0"/>
        <w:snapToGrid w:val="0"/>
        <w:spacing w:line="360" w:lineRule="auto"/>
        <w:rPr>
          <w:rFonts w:hint="eastAsia" w:ascii="仿宋_GB2312" w:hAnsi="宋体" w:eastAsia="仿宋_GB2312"/>
          <w:b/>
        </w:rPr>
      </w:pPr>
    </w:p>
    <w:p w14:paraId="3BA2FD4C">
      <w:pPr>
        <w:pStyle w:val="10"/>
        <w:adjustRightInd w:val="0"/>
        <w:snapToGrid w:val="0"/>
        <w:spacing w:line="360" w:lineRule="auto"/>
        <w:rPr>
          <w:rFonts w:hint="eastAsia" w:ascii="仿宋_GB2312" w:hAnsi="宋体" w:eastAsia="仿宋_GB2312"/>
          <w:b/>
        </w:rPr>
      </w:pPr>
    </w:p>
    <w:p w14:paraId="5C02B142">
      <w:pPr>
        <w:pStyle w:val="10"/>
        <w:adjustRightInd w:val="0"/>
        <w:snapToGrid w:val="0"/>
        <w:spacing w:line="360" w:lineRule="auto"/>
        <w:rPr>
          <w:rFonts w:hint="eastAsia" w:ascii="仿宋_GB2312" w:hAnsi="宋体" w:eastAsia="仿宋_GB2312"/>
          <w:b/>
        </w:rPr>
      </w:pPr>
    </w:p>
    <w:p w14:paraId="625771E2">
      <w:pPr>
        <w:pStyle w:val="10"/>
        <w:adjustRightInd w:val="0"/>
        <w:snapToGrid w:val="0"/>
        <w:spacing w:line="360" w:lineRule="auto"/>
        <w:rPr>
          <w:rFonts w:hint="eastAsia" w:ascii="仿宋_GB2312" w:hAnsi="宋体" w:eastAsia="仿宋_GB2312"/>
          <w:b/>
        </w:rPr>
      </w:pPr>
    </w:p>
    <w:p w14:paraId="4396E67A">
      <w:pPr>
        <w:pStyle w:val="10"/>
        <w:adjustRightInd w:val="0"/>
        <w:snapToGrid w:val="0"/>
        <w:spacing w:line="360" w:lineRule="auto"/>
        <w:rPr>
          <w:rFonts w:hint="eastAsia" w:ascii="仿宋_GB2312" w:hAnsi="宋体" w:eastAsia="仿宋_GB2312"/>
          <w:b/>
        </w:rPr>
      </w:pPr>
    </w:p>
    <w:p w14:paraId="33EE1F5B">
      <w:pPr>
        <w:pStyle w:val="10"/>
        <w:adjustRightInd w:val="0"/>
        <w:snapToGrid w:val="0"/>
        <w:spacing w:line="360" w:lineRule="auto"/>
        <w:rPr>
          <w:rFonts w:hint="eastAsia" w:ascii="仿宋_GB2312" w:hAnsi="宋体" w:eastAsia="仿宋_GB2312"/>
          <w:b/>
        </w:rPr>
      </w:pPr>
    </w:p>
    <w:p w14:paraId="6BA60C6A">
      <w:pPr>
        <w:pStyle w:val="10"/>
        <w:adjustRightInd w:val="0"/>
        <w:snapToGrid w:val="0"/>
        <w:spacing w:line="360" w:lineRule="auto"/>
        <w:rPr>
          <w:rFonts w:hint="eastAsia" w:ascii="仿宋_GB2312" w:hAnsi="宋体" w:eastAsia="仿宋_GB2312"/>
          <w:b/>
        </w:rPr>
      </w:pPr>
    </w:p>
    <w:p w14:paraId="2CCC1DC8">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资产清查项目(</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0"/>
        <w:adjustRightInd w:val="0"/>
        <w:snapToGrid w:val="0"/>
        <w:spacing w:line="360" w:lineRule="auto"/>
        <w:rPr>
          <w:rFonts w:hint="eastAsia" w:ascii="仿宋" w:hAnsi="仿宋" w:eastAsia="仿宋"/>
          <w:sz w:val="24"/>
          <w:szCs w:val="24"/>
        </w:rPr>
      </w:pPr>
    </w:p>
    <w:p w14:paraId="5B8CF27D">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5"/>
      </w:pPr>
    </w:p>
    <w:p w14:paraId="10CB8852"/>
    <w:p w14:paraId="7F870902"/>
    <w:p w14:paraId="78DBABB8">
      <w:pPr>
        <w:pStyle w:val="15"/>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资产清查项目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5"/>
        <w:rPr>
          <w:rFonts w:hint="eastAsia" w:ascii="仿宋" w:hAnsi="仿宋" w:eastAsia="仿宋"/>
        </w:rPr>
      </w:pPr>
    </w:p>
    <w:p w14:paraId="5550980C">
      <w:pPr>
        <w:pStyle w:val="15"/>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docPartObj>
        <w:docPartGallery w:val="autotext"/>
      </w:docPartObj>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19"/>
      </w:rPr>
    </w:pPr>
    <w:r>
      <w:fldChar w:fldCharType="begin"/>
    </w:r>
    <w:r>
      <w:rPr>
        <w:rStyle w:val="19"/>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3163566D"/>
    <w:rsid w:val="31D8203D"/>
    <w:rsid w:val="31FA2FC3"/>
    <w:rsid w:val="3248523C"/>
    <w:rsid w:val="353327D7"/>
    <w:rsid w:val="35A3072E"/>
    <w:rsid w:val="35BA60CE"/>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A400653"/>
    <w:rsid w:val="6A7F45BF"/>
    <w:rsid w:val="6B5A68F5"/>
    <w:rsid w:val="6BBF5D79"/>
    <w:rsid w:val="6BC9041D"/>
    <w:rsid w:val="6DAB7F02"/>
    <w:rsid w:val="719E17CE"/>
    <w:rsid w:val="71CD20B4"/>
    <w:rsid w:val="72567DE8"/>
    <w:rsid w:val="72C16AF2"/>
    <w:rsid w:val="72FA6ED8"/>
    <w:rsid w:val="73A76E7D"/>
    <w:rsid w:val="74A23383"/>
    <w:rsid w:val="75730384"/>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2"/>
    <w:semiHidden/>
    <w:unhideWhenUsed/>
    <w:qFormat/>
    <w:uiPriority w:val="99"/>
    <w:rPr>
      <w:rFonts w:ascii="宋体"/>
      <w:sz w:val="18"/>
      <w:szCs w:val="18"/>
    </w:rPr>
  </w:style>
  <w:style w:type="paragraph" w:styleId="7">
    <w:name w:val="Body Text"/>
    <w:basedOn w:val="1"/>
    <w:next w:val="1"/>
    <w:link w:val="34"/>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8"/>
    <w:qFormat/>
    <w:uiPriority w:val="99"/>
    <w:pPr>
      <w:spacing w:after="120" w:line="480" w:lineRule="auto"/>
      <w:ind w:left="420" w:leftChars="200"/>
    </w:pPr>
    <w:rPr>
      <w:kern w:val="0"/>
      <w:sz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footer"/>
    <w:basedOn w:val="1"/>
    <w:link w:val="21"/>
    <w:unhideWhenUsed/>
    <w:qFormat/>
    <w:uiPriority w:val="99"/>
    <w:pPr>
      <w:tabs>
        <w:tab w:val="center" w:pos="4153"/>
        <w:tab w:val="right" w:pos="8306"/>
      </w:tabs>
      <w:snapToGrid w:val="0"/>
      <w:jc w:val="left"/>
    </w:pPr>
    <w:rPr>
      <w:sz w:val="18"/>
      <w:szCs w:val="18"/>
    </w:rPr>
  </w:style>
  <w:style w:type="paragraph" w:styleId="13">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next w:val="1"/>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3"/>
    <w:qFormat/>
    <w:uiPriority w:val="0"/>
    <w:rPr>
      <w:rFonts w:ascii="Calibri" w:hAnsi="Calibri" w:eastAsia="宋体" w:cs="Times New Roman"/>
      <w:sz w:val="18"/>
      <w:szCs w:val="18"/>
    </w:rPr>
  </w:style>
  <w:style w:type="character" w:customStyle="1" w:styleId="21">
    <w:name w:val="页脚 字符"/>
    <w:basedOn w:val="18"/>
    <w:link w:val="12"/>
    <w:qFormat/>
    <w:uiPriority w:val="99"/>
    <w:rPr>
      <w:rFonts w:ascii="Calibri" w:hAnsi="Calibri" w:eastAsia="宋体" w:cs="Times New Roman"/>
      <w:sz w:val="18"/>
      <w:szCs w:val="18"/>
    </w:rPr>
  </w:style>
  <w:style w:type="character" w:customStyle="1" w:styleId="22">
    <w:name w:val="文档结构图 字符"/>
    <w:basedOn w:val="18"/>
    <w:link w:val="6"/>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7"/>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9"/>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4679</Words>
  <Characters>4838</Characters>
  <Lines>37</Lines>
  <Paragraphs>10</Paragraphs>
  <TotalTime>27</TotalTime>
  <ScaleCrop>false</ScaleCrop>
  <LinksUpToDate>false</LinksUpToDate>
  <CharactersWithSpaces>5421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2020-07-22T02:56:00Z</dcterms:created>
  <dc:creator>china</dc:creator>
  <cp:lastModifiedBy>张莉</cp:lastModifiedBy>
  <cp:lastPrinted>2020-08-24T02:17:00Z</cp:lastPrinted>
  <dcterms:modified xsi:type="dcterms:W3CDTF">2024-12-14T07:02:18Z</dcterms:modified>
  <cp:revision>259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40292E957483450BAB2F45BE89F1ED32</vt:lpwstr>
  </property>
</Properties>
</file>