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1"/>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1"/>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1"/>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1"/>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1"/>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1"/>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43"/>
        <w:ind w:firstLine="320" w:firstLineChars="100"/>
        <w:jc w:val="both"/>
        <w:rPr>
          <w:rFonts w:hint="default" w:ascii="黑体" w:hAnsi="黑体" w:eastAsia="黑体"/>
          <w:kern w:val="0"/>
          <w:sz w:val="32"/>
          <w:szCs w:val="32"/>
          <w:lang w:val="en-US"/>
        </w:rPr>
      </w:pPr>
      <w:r>
        <w:rPr>
          <w:rFonts w:ascii="黑体" w:hAnsi="黑体" w:eastAsia="黑体"/>
          <w:sz w:val="32"/>
          <w:szCs w:val="32"/>
        </w:rPr>
        <w:t>采购项目名称：</w:t>
      </w:r>
      <w:r>
        <w:rPr>
          <w:rFonts w:hint="eastAsia" w:ascii="黑体" w:hAnsi="黑体" w:eastAsia="黑体" w:cs="Times New Roman"/>
          <w:kern w:val="0"/>
          <w:sz w:val="32"/>
          <w:szCs w:val="32"/>
          <w:lang w:val="en-US" w:eastAsia="zh-CN" w:bidi="ar-SA"/>
        </w:rPr>
        <w:t>国际交流官方宣传片定制拍摄服务项目</w:t>
      </w:r>
    </w:p>
    <w:p w14:paraId="3286CA34">
      <w:pPr>
        <w:pStyle w:val="11"/>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1"/>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1"/>
        <w:adjustRightInd w:val="0"/>
        <w:snapToGrid w:val="0"/>
        <w:spacing w:line="440" w:lineRule="exact"/>
        <w:jc w:val="center"/>
        <w:rPr>
          <w:rFonts w:hint="eastAsia" w:ascii="黑体" w:hAnsi="黑体" w:eastAsia="黑体"/>
          <w:b/>
          <w:sz w:val="32"/>
        </w:rPr>
      </w:pPr>
    </w:p>
    <w:p w14:paraId="12277452">
      <w:pPr>
        <w:pStyle w:val="11"/>
        <w:adjustRightInd w:val="0"/>
        <w:snapToGrid w:val="0"/>
        <w:spacing w:line="440" w:lineRule="exact"/>
        <w:jc w:val="center"/>
        <w:rPr>
          <w:rFonts w:hint="eastAsia" w:ascii="黑体" w:hAnsi="黑体" w:eastAsia="黑体"/>
          <w:b/>
          <w:sz w:val="32"/>
        </w:rPr>
      </w:pPr>
    </w:p>
    <w:p w14:paraId="263E19F8">
      <w:pPr>
        <w:pStyle w:val="11"/>
        <w:adjustRightInd w:val="0"/>
        <w:snapToGrid w:val="0"/>
        <w:spacing w:line="440" w:lineRule="exact"/>
        <w:jc w:val="center"/>
        <w:rPr>
          <w:rFonts w:hint="eastAsia" w:ascii="黑体" w:hAnsi="黑体" w:eastAsia="黑体"/>
          <w:b/>
          <w:sz w:val="32"/>
        </w:rPr>
      </w:pPr>
    </w:p>
    <w:p w14:paraId="00E611DA">
      <w:pPr>
        <w:pStyle w:val="11"/>
        <w:adjustRightInd w:val="0"/>
        <w:snapToGrid w:val="0"/>
        <w:spacing w:line="440" w:lineRule="exact"/>
        <w:jc w:val="center"/>
        <w:rPr>
          <w:rFonts w:hint="eastAsia" w:ascii="黑体" w:hAnsi="黑体" w:eastAsia="黑体"/>
          <w:b/>
          <w:sz w:val="32"/>
        </w:rPr>
      </w:pPr>
    </w:p>
    <w:p w14:paraId="5BD02E6F">
      <w:pPr>
        <w:pStyle w:val="11"/>
        <w:adjustRightInd w:val="0"/>
        <w:snapToGrid w:val="0"/>
        <w:spacing w:line="440" w:lineRule="exact"/>
        <w:jc w:val="center"/>
        <w:rPr>
          <w:rFonts w:hint="eastAsia" w:ascii="黑体" w:hAnsi="黑体" w:eastAsia="黑体"/>
          <w:b/>
          <w:sz w:val="32"/>
        </w:rPr>
      </w:pPr>
    </w:p>
    <w:p w14:paraId="51D3F09C">
      <w:pPr>
        <w:pStyle w:val="11"/>
        <w:adjustRightInd w:val="0"/>
        <w:snapToGrid w:val="0"/>
        <w:spacing w:line="440" w:lineRule="exact"/>
        <w:jc w:val="center"/>
        <w:rPr>
          <w:rFonts w:hint="eastAsia" w:ascii="黑体" w:hAnsi="黑体" w:eastAsia="黑体"/>
          <w:b/>
          <w:sz w:val="32"/>
        </w:rPr>
      </w:pPr>
    </w:p>
    <w:p w14:paraId="33437265">
      <w:pPr>
        <w:pStyle w:val="11"/>
        <w:adjustRightInd w:val="0"/>
        <w:snapToGrid w:val="0"/>
        <w:spacing w:line="440" w:lineRule="exact"/>
        <w:jc w:val="center"/>
        <w:rPr>
          <w:rFonts w:hint="eastAsia" w:ascii="黑体" w:hAnsi="黑体" w:eastAsia="黑体"/>
          <w:b/>
          <w:sz w:val="32"/>
        </w:rPr>
      </w:pPr>
    </w:p>
    <w:p w14:paraId="646F9A24">
      <w:pPr>
        <w:pStyle w:val="11"/>
        <w:adjustRightInd w:val="0"/>
        <w:snapToGrid w:val="0"/>
        <w:spacing w:line="440" w:lineRule="exact"/>
        <w:jc w:val="center"/>
        <w:rPr>
          <w:rFonts w:hint="eastAsia" w:ascii="黑体" w:hAnsi="黑体" w:eastAsia="黑体"/>
          <w:b/>
          <w:sz w:val="32"/>
        </w:rPr>
      </w:pPr>
    </w:p>
    <w:p w14:paraId="3BDBB089">
      <w:pPr>
        <w:pStyle w:val="11"/>
        <w:adjustRightInd w:val="0"/>
        <w:snapToGrid w:val="0"/>
        <w:spacing w:line="440" w:lineRule="exact"/>
        <w:jc w:val="center"/>
        <w:rPr>
          <w:rFonts w:hint="eastAsia" w:ascii="黑体" w:hAnsi="黑体" w:eastAsia="黑体"/>
          <w:b/>
          <w:sz w:val="32"/>
        </w:rPr>
      </w:pPr>
    </w:p>
    <w:p w14:paraId="287A2B02">
      <w:pPr>
        <w:spacing w:line="360" w:lineRule="auto"/>
        <w:jc w:val="center"/>
        <w:rPr>
          <w:rFonts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七</w:t>
      </w:r>
      <w:r>
        <w:rPr>
          <w:rFonts w:ascii="黑体" w:hAnsi="黑体" w:eastAsia="黑体"/>
          <w:sz w:val="32"/>
          <w:szCs w:val="32"/>
        </w:rPr>
        <w:t>月</w:t>
      </w:r>
    </w:p>
    <w:p w14:paraId="3DB7A102">
      <w:pPr>
        <w:pStyle w:val="19"/>
        <w:rPr>
          <w:rFonts w:hint="eastAsia"/>
        </w:rPr>
      </w:pPr>
    </w:p>
    <w:p w14:paraId="3FD890A2">
      <w:pPr>
        <w:pStyle w:val="19"/>
      </w:pPr>
    </w:p>
    <w:p w14:paraId="40E4DFFA">
      <w:pPr>
        <w:pStyle w:val="19"/>
        <w:rPr>
          <w:szCs w:val="22"/>
        </w:rPr>
      </w:pPr>
    </w:p>
    <w:p w14:paraId="765FDA29">
      <w:pPr>
        <w:jc w:val="center"/>
        <w:outlineLvl w:val="0"/>
        <w:rPr>
          <w:rFonts w:hint="eastAsia" w:ascii="黑体" w:hAnsi="黑体" w:eastAsia="黑体"/>
          <w:b/>
          <w:sz w:val="36"/>
          <w:szCs w:val="36"/>
        </w:rPr>
      </w:pPr>
      <w:r>
        <w:rPr>
          <w:rFonts w:hint="eastAsia" w:ascii="黑体" w:hAnsi="黑体" w:eastAsia="黑体"/>
          <w:b/>
          <w:sz w:val="36"/>
          <w:szCs w:val="36"/>
        </w:rPr>
        <w:t>湖南铁道职业技术学院</w:t>
      </w:r>
    </w:p>
    <w:p w14:paraId="6EAB8857">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lang w:val="en-US" w:eastAsia="zh-CN"/>
        </w:rPr>
        <w:t>国际交流官方宣传片定制拍摄服务</w:t>
      </w:r>
      <w:r>
        <w:rPr>
          <w:rFonts w:hint="eastAsia" w:ascii="黑体" w:hAnsi="黑体" w:eastAsia="黑体"/>
          <w:b/>
          <w:sz w:val="36"/>
          <w:szCs w:val="36"/>
        </w:rPr>
        <w:t>项目询比</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0FA957A0">
      <w:pPr>
        <w:pStyle w:val="19"/>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w:t>
      </w:r>
      <w:r>
        <w:rPr>
          <w:rFonts w:hint="eastAsia" w:ascii="仿宋" w:hAnsi="仿宋" w:eastAsia="仿宋"/>
          <w:sz w:val="24"/>
          <w:szCs w:val="24"/>
          <w:lang w:val="en-US" w:eastAsia="zh-CN"/>
        </w:rPr>
        <w:t>业技术学院国际交流官方宣传片定制拍摄服务项目需</w:t>
      </w:r>
      <w:r>
        <w:rPr>
          <w:rFonts w:hint="eastAsia" w:ascii="仿宋" w:hAnsi="仿宋" w:eastAsia="仿宋"/>
          <w:sz w:val="24"/>
          <w:szCs w:val="24"/>
        </w:rPr>
        <w:t>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17794_WPSOffice_Level2"/>
      <w:bookmarkStart w:id="1" w:name="_Toc4659"/>
      <w:bookmarkStart w:id="2" w:name="_Toc31662_WPSOffice_Level2"/>
      <w:bookmarkStart w:id="3" w:name="_Toc3564"/>
      <w:bookmarkStart w:id="4" w:name="_Toc26475"/>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hint="eastAsia" w:ascii="仿宋" w:hAnsi="仿宋" w:eastAsia="仿宋"/>
          <w:sz w:val="24"/>
          <w:szCs w:val="24"/>
          <w:u w:val="none"/>
          <w:lang w:val="en-US" w:eastAsia="zh-CN"/>
        </w:rPr>
        <w:t>国际交流官方宣传片定制拍摄服务</w:t>
      </w:r>
      <w:r>
        <w:rPr>
          <w:rFonts w:hint="eastAsia" w:ascii="仿宋" w:hAnsi="仿宋" w:eastAsia="仿宋"/>
          <w:sz w:val="24"/>
          <w:szCs w:val="24"/>
          <w:u w:val="none"/>
        </w:rPr>
        <w:t>项目</w:t>
      </w:r>
    </w:p>
    <w:p w14:paraId="2B3B3C37">
      <w:pPr>
        <w:pStyle w:val="19"/>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rPr>
        <w:t xml:space="preserve">2.项目概况: </w:t>
      </w:r>
      <w:r>
        <w:rPr>
          <w:rFonts w:hint="eastAsia" w:ascii="仿宋" w:hAnsi="仿宋" w:eastAsia="仿宋"/>
          <w:sz w:val="24"/>
          <w:szCs w:val="24"/>
          <w:u w:val="none"/>
          <w:lang w:val="en-US" w:eastAsia="zh-CN"/>
        </w:rPr>
        <w:t>本项目为湖南铁道职业技术学院国际交流官方宣传片定制拍摄及后期制作服务采购项目。项目依托专业影视拍摄、创意策划、后期剪辑包装、IP 设计、PPT 设计等全流程服务，全方位展示学校办学特色、师资力量、人才培养模式、校企合作成果、国际化办学及对外交流成果等核心内容，打造高品质视听内容与配套宣传物料，成果将用于学校日常品牌宣传、新媒体平台推广、招生宣传推介、上级主管部门调研汇报、省市领导来访观摩介绍等多场景，立体讲好学校国际化办学故事，助力学校国际化工作高质量开展。</w:t>
      </w:r>
    </w:p>
    <w:p w14:paraId="5DFCEC88">
      <w:pPr>
        <w:pStyle w:val="19"/>
        <w:snapToGrid w:val="0"/>
        <w:spacing w:before="0" w:beforeAutospacing="0" w:after="0" w:line="360" w:lineRule="auto"/>
        <w:ind w:left="0" w:leftChars="0" w:firstLine="480" w:firstLineChars="200"/>
        <w:jc w:val="left"/>
        <w:rPr>
          <w:rFonts w:hint="eastAsia" w:ascii="仿宋" w:hAnsi="仿宋" w:eastAsia="仿宋"/>
          <w:sz w:val="24"/>
          <w:szCs w:val="24"/>
          <w:u w:val="none"/>
          <w:lang w:val="en-US" w:eastAsia="zh-CN"/>
        </w:rPr>
      </w:pPr>
      <w:r>
        <w:rPr>
          <w:rFonts w:hint="eastAsia" w:ascii="仿宋" w:hAnsi="仿宋" w:eastAsia="仿宋"/>
          <w:sz w:val="24"/>
          <w:szCs w:val="24"/>
          <w:u w:val="none"/>
          <w:lang w:val="en-US" w:eastAsia="zh-CN"/>
        </w:rPr>
        <w:t>3.服务内容：</w:t>
      </w:r>
    </w:p>
    <w:p w14:paraId="5B111B15">
      <w:pPr>
        <w:pStyle w:val="19"/>
        <w:snapToGrid w:val="0"/>
        <w:spacing w:before="0" w:beforeAutospacing="0" w:after="0" w:line="360" w:lineRule="auto"/>
        <w:ind w:left="0" w:leftChars="0" w:firstLine="480" w:firstLineChars="200"/>
        <w:jc w:val="left"/>
        <w:rPr>
          <w:rFonts w:hint="eastAsia" w:ascii="仿宋" w:hAnsi="仿宋" w:eastAsia="仿宋"/>
          <w:sz w:val="24"/>
          <w:szCs w:val="24"/>
          <w:u w:val="none"/>
          <w:lang w:val="en-US" w:eastAsia="zh-CN"/>
        </w:rPr>
      </w:pPr>
      <w:r>
        <w:rPr>
          <w:rFonts w:hint="eastAsia" w:ascii="仿宋" w:hAnsi="仿宋" w:eastAsia="仿宋"/>
          <w:sz w:val="24"/>
          <w:szCs w:val="24"/>
          <w:u w:val="none"/>
          <w:lang w:val="en-US" w:eastAsia="zh-CN"/>
        </w:rPr>
        <w:t xml:space="preserve"> 1.系列宣传视频拍摄制作 共计制作 3 条宣传视频，均按广播级及以上影视制作标准执行，采用 4K 超高清规格完成全流程制作：</w:t>
      </w:r>
    </w:p>
    <w:p w14:paraId="6F59EA15">
      <w:pPr>
        <w:pStyle w:val="19"/>
        <w:snapToGrid w:val="0"/>
        <w:spacing w:before="0" w:beforeAutospacing="0" w:after="0" w:line="360" w:lineRule="auto"/>
        <w:ind w:left="0" w:leftChars="0" w:firstLine="480" w:firstLineChars="200"/>
        <w:jc w:val="left"/>
        <w:rPr>
          <w:rFonts w:hint="eastAsia" w:ascii="仿宋" w:hAnsi="仿宋" w:eastAsia="仿宋"/>
          <w:sz w:val="24"/>
          <w:szCs w:val="24"/>
          <w:u w:val="none"/>
          <w:lang w:val="en-US" w:eastAsia="zh-CN"/>
        </w:rPr>
      </w:pPr>
      <w:r>
        <w:rPr>
          <w:rFonts w:hint="eastAsia" w:ascii="仿宋" w:hAnsi="仿宋" w:eastAsia="仿宋"/>
          <w:sz w:val="24"/>
          <w:szCs w:val="24"/>
          <w:u w:val="none"/>
          <w:lang w:val="en-US" w:eastAsia="zh-CN"/>
        </w:rPr>
        <w:t>专题主片 1 条：时长 8-10 分钟，系统呈现学校国际化办学特色、核心优势、师资力量、办学成果等综合内容，配套中文、英语、俄语、西班牙语 4 个语言配音版本。</w:t>
      </w:r>
    </w:p>
    <w:p w14:paraId="5DEFB708">
      <w:pPr>
        <w:pStyle w:val="19"/>
        <w:snapToGrid w:val="0"/>
        <w:spacing w:before="0" w:beforeAutospacing="0" w:after="0" w:line="360" w:lineRule="auto"/>
        <w:ind w:left="0" w:leftChars="0" w:firstLine="480" w:firstLineChars="200"/>
        <w:jc w:val="left"/>
        <w:rPr>
          <w:rFonts w:hint="eastAsia" w:ascii="仿宋" w:hAnsi="仿宋" w:eastAsia="仿宋"/>
          <w:sz w:val="24"/>
          <w:szCs w:val="24"/>
          <w:u w:val="none"/>
          <w:lang w:val="en-US" w:eastAsia="zh-CN"/>
        </w:rPr>
      </w:pPr>
      <w:r>
        <w:rPr>
          <w:rFonts w:hint="eastAsia" w:ascii="仿宋" w:hAnsi="仿宋" w:eastAsia="仿宋"/>
          <w:sz w:val="24"/>
          <w:szCs w:val="24"/>
          <w:u w:val="none"/>
          <w:lang w:val="en-US" w:eastAsia="zh-CN"/>
        </w:rPr>
        <w:t>人文短视频 2 条，单条时长 3-5 分钟： ① 留学生故事篇：以留学生人文故事为切入点，展现其在华学习生活、跨文化交流体验与成长感悟； ② 校园活动篇：围绕校园文化活动，呈现国际化校园氛围与中外师生互动风采。 两条短视频均配套中文、英语、俄语、西班牙语 4 个语言配音版本。 视频制作涵盖前期专业电影级拍摄、后期剪辑与特效创作、达芬奇专业调色、录音棚配音与多轨音频混音等完整工序。</w:t>
      </w:r>
    </w:p>
    <w:p w14:paraId="51E0231A">
      <w:pPr>
        <w:pStyle w:val="19"/>
        <w:snapToGrid w:val="0"/>
        <w:spacing w:before="0" w:beforeAutospacing="0" w:after="0" w:line="360" w:lineRule="auto"/>
        <w:ind w:left="0" w:leftChars="0" w:firstLine="480" w:firstLineChars="200"/>
        <w:jc w:val="left"/>
        <w:rPr>
          <w:rFonts w:hint="eastAsia" w:ascii="仿宋" w:hAnsi="仿宋" w:eastAsia="仿宋"/>
          <w:sz w:val="24"/>
          <w:szCs w:val="24"/>
          <w:u w:val="none"/>
          <w:lang w:val="en-US" w:eastAsia="zh-CN"/>
        </w:rPr>
      </w:pPr>
      <w:r>
        <w:rPr>
          <w:rFonts w:hint="eastAsia" w:ascii="仿宋" w:hAnsi="仿宋" w:eastAsia="仿宋"/>
          <w:sz w:val="24"/>
          <w:szCs w:val="24"/>
          <w:u w:val="none"/>
          <w:lang w:val="en-US" w:eastAsia="zh-CN"/>
        </w:rPr>
        <w:t>视觉设计与配套物料制作：</w:t>
      </w:r>
    </w:p>
    <w:p w14:paraId="25CCA91E">
      <w:pPr>
        <w:pStyle w:val="19"/>
        <w:snapToGrid w:val="0"/>
        <w:spacing w:before="0" w:beforeAutospacing="0" w:after="0" w:line="360" w:lineRule="auto"/>
        <w:ind w:left="0" w:leftChars="0" w:firstLine="480" w:firstLineChars="200"/>
        <w:jc w:val="left"/>
        <w:rPr>
          <w:rFonts w:hint="eastAsia" w:ascii="仿宋" w:hAnsi="仿宋" w:eastAsia="仿宋"/>
          <w:sz w:val="24"/>
          <w:szCs w:val="24"/>
          <w:u w:val="none"/>
          <w:lang w:val="en-US" w:eastAsia="zh-CN"/>
        </w:rPr>
      </w:pPr>
      <w:r>
        <w:rPr>
          <w:rFonts w:hint="eastAsia" w:ascii="仿宋" w:hAnsi="仿宋" w:eastAsia="仿宋"/>
          <w:sz w:val="24"/>
          <w:szCs w:val="24"/>
          <w:u w:val="none"/>
          <w:lang w:val="en-US" w:eastAsia="zh-CN"/>
        </w:rPr>
        <w:t>国际学院专属形象 IP 设计：含原创 IP 形象、三视图、色彩规范、应用场景示例等完整延展应用规范，保障后续宣传物料视觉统一性。</w:t>
      </w:r>
    </w:p>
    <w:p w14:paraId="57E4E37F">
      <w:pPr>
        <w:pStyle w:val="19"/>
        <w:snapToGrid w:val="0"/>
        <w:spacing w:before="0" w:beforeAutospacing="0" w:after="0" w:line="360" w:lineRule="auto"/>
        <w:ind w:left="0" w:leftChars="0" w:firstLine="480" w:firstLineChars="200"/>
        <w:jc w:val="left"/>
        <w:rPr>
          <w:rFonts w:hint="eastAsia" w:ascii="仿宋" w:hAnsi="仿宋" w:eastAsia="仿宋"/>
          <w:sz w:val="24"/>
          <w:szCs w:val="24"/>
          <w:u w:val="none"/>
          <w:lang w:val="en-US" w:eastAsia="zh-CN"/>
        </w:rPr>
      </w:pPr>
      <w:r>
        <w:rPr>
          <w:rFonts w:hint="eastAsia" w:ascii="仿宋" w:hAnsi="仿宋" w:eastAsia="仿宋"/>
          <w:sz w:val="24"/>
          <w:szCs w:val="24"/>
          <w:u w:val="none"/>
          <w:lang w:val="en-US" w:eastAsia="zh-CN"/>
        </w:rPr>
        <w:t>宣传汇报 PPT 设计：基于主视频核心内容与数据，制作适配政务汇报、领导调研场景的高规格演示文稿，包含版式设计、图表美化、专业视觉排版。</w:t>
      </w:r>
    </w:p>
    <w:p w14:paraId="34F84D5E">
      <w:pPr>
        <w:pStyle w:val="19"/>
        <w:snapToGrid w:val="0"/>
        <w:spacing w:before="0" w:beforeAutospacing="0" w:after="0" w:line="360" w:lineRule="auto"/>
        <w:ind w:left="0" w:leftChars="0" w:firstLine="480" w:firstLineChars="200"/>
        <w:jc w:val="left"/>
        <w:rPr>
          <w:rFonts w:hint="eastAsia" w:ascii="仿宋" w:hAnsi="仿宋" w:eastAsia="仿宋"/>
          <w:sz w:val="24"/>
          <w:szCs w:val="24"/>
          <w:u w:val="none"/>
          <w:lang w:val="en-US" w:eastAsia="zh-CN"/>
        </w:rPr>
      </w:pPr>
      <w:r>
        <w:rPr>
          <w:rFonts w:hint="eastAsia" w:ascii="仿宋" w:hAnsi="仿宋" w:eastAsia="仿宋"/>
          <w:sz w:val="24"/>
          <w:szCs w:val="24"/>
          <w:u w:val="none"/>
          <w:lang w:val="en-US" w:eastAsia="zh-CN"/>
        </w:rPr>
        <w:t>文创产品设计：围绕 IP 形象延展设计 6 类原创文创作品（含帆布袋、文具、杯子等品类）。</w:t>
      </w:r>
    </w:p>
    <w:p w14:paraId="1F638E8A">
      <w:pPr>
        <w:pStyle w:val="19"/>
        <w:snapToGrid w:val="0"/>
        <w:spacing w:before="0" w:beforeAutospacing="0" w:after="0" w:line="360" w:lineRule="auto"/>
        <w:ind w:left="0" w:leftChars="0" w:firstLine="480" w:firstLineChars="200"/>
        <w:jc w:val="left"/>
        <w:rPr>
          <w:rFonts w:hint="eastAsia" w:ascii="仿宋" w:hAnsi="仿宋" w:eastAsia="仿宋"/>
          <w:sz w:val="24"/>
          <w:szCs w:val="24"/>
          <w:u w:val="none"/>
          <w:lang w:val="en-US" w:eastAsia="zh-CN"/>
        </w:rPr>
      </w:pPr>
      <w:r>
        <w:rPr>
          <w:rFonts w:hint="eastAsia" w:ascii="仿宋" w:hAnsi="仿宋" w:eastAsia="仿宋"/>
          <w:sz w:val="24"/>
          <w:szCs w:val="24"/>
          <w:u w:val="none"/>
          <w:lang w:val="en-US" w:eastAsia="zh-CN"/>
        </w:rPr>
        <w:t>宣传册设计：基于 PPT 内容延展制作高规格宣传册，适配对内对外日常宣传需求。</w:t>
      </w:r>
    </w:p>
    <w:p w14:paraId="5BF0E805">
      <w:pPr>
        <w:pStyle w:val="19"/>
        <w:snapToGrid w:val="0"/>
        <w:spacing w:before="0" w:beforeAutospacing="0" w:after="0" w:line="360" w:lineRule="auto"/>
        <w:ind w:left="0" w:leftChars="0" w:firstLine="480" w:firstLineChars="200"/>
        <w:jc w:val="left"/>
        <w:rPr>
          <w:rFonts w:hint="eastAsia" w:ascii="仿宋" w:hAnsi="仿宋" w:eastAsia="仿宋"/>
          <w:sz w:val="24"/>
          <w:szCs w:val="24"/>
          <w:u w:val="none"/>
          <w:lang w:val="en-US" w:eastAsia="zh-CN"/>
        </w:rPr>
      </w:pPr>
      <w:r>
        <w:rPr>
          <w:rFonts w:hint="eastAsia" w:ascii="仿宋" w:hAnsi="仿宋" w:eastAsia="仿宋"/>
          <w:sz w:val="24"/>
          <w:szCs w:val="24"/>
          <w:u w:val="none"/>
          <w:lang w:val="en-US" w:eastAsia="zh-CN"/>
        </w:rPr>
        <w:t>本项目涉及的所有摄影摄像器材、人员劳务、各类设计制作及交通差旅等全部相关费用，均由供应商自行承担。</w:t>
      </w:r>
    </w:p>
    <w:p w14:paraId="71947C1A">
      <w:pPr>
        <w:pStyle w:val="19"/>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u w:val="none"/>
          <w:lang w:val="en-US" w:eastAsia="zh-CN"/>
        </w:rPr>
        <w:t>16</w:t>
      </w:r>
      <w:r>
        <w:rPr>
          <w:rFonts w:ascii="仿宋" w:hAnsi="仿宋" w:eastAsia="仿宋"/>
          <w:sz w:val="24"/>
          <w:szCs w:val="24"/>
          <w:u w:val="none"/>
        </w:rPr>
        <w:t>万元</w:t>
      </w:r>
    </w:p>
    <w:p w14:paraId="453272DD">
      <w:pPr>
        <w:pStyle w:val="19"/>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072F082D">
      <w:pPr>
        <w:pStyle w:val="1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2、特定资格条件：无</w:t>
      </w:r>
    </w:p>
    <w:p w14:paraId="4B673CBE">
      <w:pPr>
        <w:pStyle w:val="1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3、不接受联合体投标</w:t>
      </w:r>
    </w:p>
    <w:p w14:paraId="773A98C1">
      <w:pPr>
        <w:pStyle w:val="19"/>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054E6273">
      <w:pPr>
        <w:pStyle w:val="19"/>
        <w:snapToGrid w:val="0"/>
        <w:spacing w:before="0" w:beforeAutospacing="0" w:after="0" w:line="360" w:lineRule="auto"/>
        <w:ind w:left="0" w:leftChars="0" w:firstLine="480" w:firstLineChars="200"/>
        <w:jc w:val="left"/>
        <w:rPr>
          <w:rFonts w:hint="default" w:ascii="仿宋" w:hAnsi="仿宋" w:eastAsia="仿宋"/>
          <w:sz w:val="24"/>
          <w:szCs w:val="24"/>
          <w:highlight w:val="none"/>
          <w:lang w:val="en-US" w:eastAsia="zh-CN"/>
        </w:rPr>
      </w:pPr>
      <w:r>
        <w:rPr>
          <w:rFonts w:hint="eastAsia" w:ascii="仿宋" w:hAnsi="仿宋" w:eastAsia="仿宋"/>
          <w:sz w:val="24"/>
          <w:szCs w:val="24"/>
          <w:highlight w:val="none"/>
        </w:rPr>
        <w:t>1．首次响应文件的提交截止时间：202</w:t>
      </w:r>
      <w:r>
        <w:rPr>
          <w:rFonts w:hint="eastAsia" w:ascii="仿宋" w:hAnsi="仿宋" w:eastAsia="仿宋"/>
          <w:sz w:val="24"/>
          <w:szCs w:val="24"/>
          <w:highlight w:val="none"/>
          <w:lang w:val="en-US" w:eastAsia="zh-CN"/>
        </w:rPr>
        <w:t>6</w:t>
      </w:r>
      <w:r>
        <w:rPr>
          <w:rFonts w:hint="eastAsia" w:ascii="仿宋" w:hAnsi="仿宋" w:eastAsia="仿宋"/>
          <w:sz w:val="24"/>
          <w:szCs w:val="24"/>
          <w:highlight w:val="none"/>
        </w:rPr>
        <w:t>年</w:t>
      </w:r>
      <w:r>
        <w:rPr>
          <w:rFonts w:hint="eastAsia" w:ascii="仿宋" w:hAnsi="仿宋" w:eastAsia="仿宋"/>
          <w:sz w:val="24"/>
          <w:szCs w:val="24"/>
          <w:highlight w:val="none"/>
          <w:lang w:val="en-US" w:eastAsia="zh-CN"/>
        </w:rPr>
        <w:t>8</w:t>
      </w:r>
      <w:r>
        <w:rPr>
          <w:rFonts w:hint="eastAsia" w:ascii="仿宋" w:hAnsi="仿宋" w:eastAsia="仿宋"/>
          <w:sz w:val="24"/>
          <w:szCs w:val="24"/>
          <w:highlight w:val="none"/>
        </w:rPr>
        <w:t>月</w:t>
      </w:r>
      <w:r>
        <w:rPr>
          <w:rFonts w:hint="eastAsia" w:ascii="仿宋" w:hAnsi="仿宋" w:eastAsia="仿宋"/>
          <w:sz w:val="24"/>
          <w:szCs w:val="24"/>
          <w:highlight w:val="none"/>
          <w:lang w:val="en-US" w:eastAsia="zh-CN"/>
        </w:rPr>
        <w:t>6</w:t>
      </w:r>
      <w:r>
        <w:rPr>
          <w:rFonts w:hint="eastAsia" w:ascii="仿宋" w:hAnsi="仿宋" w:eastAsia="仿宋"/>
          <w:sz w:val="24"/>
          <w:szCs w:val="24"/>
          <w:highlight w:val="none"/>
        </w:rPr>
        <w:t>日</w:t>
      </w:r>
      <w:r>
        <w:rPr>
          <w:rFonts w:hint="eastAsia" w:ascii="仿宋" w:hAnsi="仿宋" w:eastAsia="仿宋"/>
          <w:sz w:val="24"/>
          <w:szCs w:val="24"/>
          <w:highlight w:val="none"/>
          <w:lang w:val="en-US" w:eastAsia="zh-CN"/>
        </w:rPr>
        <w:t>9</w:t>
      </w:r>
      <w:r>
        <w:rPr>
          <w:rFonts w:hint="eastAsia" w:ascii="仿宋" w:hAnsi="仿宋" w:eastAsia="仿宋"/>
          <w:sz w:val="24"/>
          <w:szCs w:val="24"/>
          <w:highlight w:val="none"/>
        </w:rPr>
        <w:t>时</w:t>
      </w:r>
      <w:r>
        <w:rPr>
          <w:rFonts w:hint="eastAsia" w:ascii="仿宋" w:hAnsi="仿宋" w:eastAsia="仿宋"/>
          <w:sz w:val="24"/>
          <w:szCs w:val="24"/>
          <w:highlight w:val="none"/>
          <w:lang w:val="en-US" w:eastAsia="zh-CN"/>
        </w:rPr>
        <w:t>30分</w:t>
      </w:r>
    </w:p>
    <w:p w14:paraId="5FCFB0A5">
      <w:pPr>
        <w:pStyle w:val="19"/>
        <w:snapToGrid w:val="0"/>
        <w:spacing w:before="0" w:beforeAutospacing="0" w:after="0" w:line="360" w:lineRule="auto"/>
        <w:ind w:left="0" w:leftChars="0" w:firstLine="480" w:firstLineChars="200"/>
        <w:jc w:val="left"/>
        <w:rPr>
          <w:rFonts w:hint="eastAsia" w:ascii="仿宋" w:hAnsi="仿宋" w:eastAsia="仿宋"/>
          <w:sz w:val="24"/>
          <w:szCs w:val="24"/>
          <w:highlight w:val="none"/>
        </w:rPr>
      </w:pPr>
      <w:r>
        <w:rPr>
          <w:rFonts w:hint="eastAsia" w:ascii="仿宋" w:hAnsi="仿宋" w:eastAsia="仿宋"/>
          <w:sz w:val="24"/>
          <w:szCs w:val="24"/>
          <w:highlight w:val="none"/>
        </w:rPr>
        <w:t>2．首次响应文件的开启时间：202</w:t>
      </w:r>
      <w:r>
        <w:rPr>
          <w:rFonts w:hint="eastAsia" w:ascii="仿宋" w:hAnsi="仿宋" w:eastAsia="仿宋"/>
          <w:sz w:val="24"/>
          <w:szCs w:val="24"/>
          <w:highlight w:val="none"/>
          <w:lang w:val="en-US" w:eastAsia="zh-CN"/>
        </w:rPr>
        <w:t>6</w:t>
      </w:r>
      <w:r>
        <w:rPr>
          <w:rFonts w:hint="eastAsia" w:ascii="仿宋" w:hAnsi="仿宋" w:eastAsia="仿宋"/>
          <w:sz w:val="24"/>
          <w:szCs w:val="24"/>
          <w:highlight w:val="none"/>
        </w:rPr>
        <w:t>年</w:t>
      </w:r>
      <w:r>
        <w:rPr>
          <w:rFonts w:hint="eastAsia" w:ascii="仿宋" w:hAnsi="仿宋" w:eastAsia="仿宋"/>
          <w:sz w:val="24"/>
          <w:szCs w:val="24"/>
          <w:highlight w:val="none"/>
          <w:lang w:val="en-US" w:eastAsia="zh-CN"/>
        </w:rPr>
        <w:t>8</w:t>
      </w:r>
      <w:r>
        <w:rPr>
          <w:rFonts w:hint="eastAsia" w:ascii="仿宋" w:hAnsi="仿宋" w:eastAsia="仿宋"/>
          <w:sz w:val="24"/>
          <w:szCs w:val="24"/>
          <w:highlight w:val="none"/>
        </w:rPr>
        <w:t>月</w:t>
      </w:r>
      <w:r>
        <w:rPr>
          <w:rFonts w:hint="eastAsia" w:ascii="仿宋" w:hAnsi="仿宋" w:eastAsia="仿宋"/>
          <w:sz w:val="24"/>
          <w:szCs w:val="24"/>
          <w:highlight w:val="none"/>
          <w:lang w:val="en-US" w:eastAsia="zh-CN"/>
        </w:rPr>
        <w:t>6</w:t>
      </w:r>
      <w:r>
        <w:rPr>
          <w:rFonts w:hint="eastAsia" w:ascii="仿宋" w:hAnsi="仿宋" w:eastAsia="仿宋"/>
          <w:sz w:val="24"/>
          <w:szCs w:val="24"/>
          <w:highlight w:val="none"/>
        </w:rPr>
        <w:t>日</w:t>
      </w:r>
      <w:r>
        <w:rPr>
          <w:rFonts w:hint="eastAsia" w:ascii="仿宋" w:hAnsi="仿宋" w:eastAsia="仿宋"/>
          <w:sz w:val="24"/>
          <w:szCs w:val="24"/>
          <w:highlight w:val="none"/>
          <w:lang w:val="en-US" w:eastAsia="zh-CN"/>
        </w:rPr>
        <w:t>9</w:t>
      </w:r>
      <w:r>
        <w:rPr>
          <w:rFonts w:hint="eastAsia" w:ascii="仿宋" w:hAnsi="仿宋" w:eastAsia="仿宋"/>
          <w:sz w:val="24"/>
          <w:szCs w:val="24"/>
          <w:highlight w:val="none"/>
        </w:rPr>
        <w:t>时</w:t>
      </w:r>
      <w:r>
        <w:rPr>
          <w:rFonts w:hint="eastAsia" w:ascii="仿宋" w:hAnsi="仿宋" w:eastAsia="仿宋"/>
          <w:sz w:val="24"/>
          <w:szCs w:val="24"/>
          <w:highlight w:val="none"/>
          <w:lang w:val="en-US" w:eastAsia="zh-CN"/>
        </w:rPr>
        <w:t>30分</w:t>
      </w:r>
    </w:p>
    <w:p w14:paraId="63DB6ACB">
      <w:pPr>
        <w:pStyle w:val="1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联系人姓名：</w:t>
      </w:r>
      <w:r>
        <w:rPr>
          <w:rFonts w:hint="eastAsia" w:ascii="仿宋" w:hAnsi="仿宋" w:eastAsia="仿宋" w:cstheme="minorEastAsia"/>
          <w:sz w:val="24"/>
          <w:szCs w:val="24"/>
          <w:lang w:eastAsia="zh-CN"/>
        </w:rPr>
        <w:t>黄幼蕊</w:t>
      </w:r>
    </w:p>
    <w:p w14:paraId="3B375338">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电 话：</w:t>
      </w:r>
      <w:r>
        <w:rPr>
          <w:rFonts w:hint="eastAsia" w:ascii="仿宋" w:hAnsi="仿宋" w:eastAsia="仿宋" w:cstheme="minorEastAsia"/>
          <w:sz w:val="24"/>
          <w:szCs w:val="24"/>
          <w:lang w:val="en-US" w:eastAsia="zh-CN"/>
        </w:rPr>
        <w:t>0731-22783836</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0D76474D">
      <w:pPr>
        <w:ind w:firstLine="480" w:firstLineChars="200"/>
        <w:rPr>
          <w:rFonts w:hint="default" w:ascii="仿宋" w:hAnsi="仿宋" w:eastAsia="仿宋" w:cstheme="minorEastAsia"/>
          <w:sz w:val="24"/>
          <w:szCs w:val="24"/>
          <w:lang w:val="en-US" w:eastAsia="zh-CN"/>
        </w:rPr>
      </w:pPr>
      <w:r>
        <w:rPr>
          <w:rFonts w:hint="eastAsia" w:ascii="仿宋" w:hAnsi="仿宋" w:eastAsia="仿宋" w:cstheme="minorEastAsia"/>
          <w:sz w:val="24"/>
          <w:szCs w:val="24"/>
        </w:rPr>
        <w:t>地 址：株洲市</w:t>
      </w:r>
      <w:r>
        <w:rPr>
          <w:rFonts w:hint="eastAsia" w:ascii="仿宋" w:hAnsi="仿宋" w:eastAsia="仿宋" w:cstheme="minorEastAsia"/>
          <w:sz w:val="24"/>
          <w:szCs w:val="24"/>
          <w:lang w:val="en-US" w:eastAsia="zh-CN"/>
        </w:rPr>
        <w:t>石峰区智慧路1号</w:t>
      </w:r>
    </w:p>
    <w:p w14:paraId="6B67E677">
      <w:pPr>
        <w:ind w:firstLine="480" w:firstLineChars="200"/>
        <w:rPr>
          <w:rFonts w:hint="eastAsia" w:ascii="仿宋" w:hAnsi="仿宋" w:eastAsia="仿宋" w:cstheme="minorEastAsia"/>
          <w:sz w:val="24"/>
          <w:szCs w:val="24"/>
        </w:rPr>
      </w:pPr>
    </w:p>
    <w:p w14:paraId="22F3A15E">
      <w:pPr>
        <w:pStyle w:val="19"/>
      </w:pPr>
    </w:p>
    <w:p w14:paraId="42402AF4"/>
    <w:p w14:paraId="06CBF053">
      <w:pPr>
        <w:pStyle w:val="19"/>
      </w:pPr>
    </w:p>
    <w:p w14:paraId="0617B9A7"/>
    <w:p w14:paraId="4FFDF357">
      <w:pPr>
        <w:pStyle w:val="19"/>
      </w:pPr>
    </w:p>
    <w:p w14:paraId="5EE97DA2">
      <w:pPr>
        <w:pStyle w:val="19"/>
        <w:ind w:left="0" w:leftChars="0" w:firstLine="0"/>
        <w:rPr>
          <w:szCs w:val="22"/>
        </w:rPr>
      </w:pPr>
    </w:p>
    <w:p w14:paraId="102C28AC"/>
    <w:p w14:paraId="167C6777">
      <w:pPr>
        <w:pStyle w:val="8"/>
        <w:rPr>
          <w:szCs w:val="22"/>
        </w:rPr>
      </w:pPr>
    </w:p>
    <w:p w14:paraId="43A9A7CF"/>
    <w:p w14:paraId="13F8E109">
      <w:pPr>
        <w:pStyle w:val="8"/>
        <w:rPr>
          <w:szCs w:val="22"/>
        </w:rPr>
      </w:pPr>
    </w:p>
    <w:p w14:paraId="5EC8A2E1"/>
    <w:p w14:paraId="34F8B3C7">
      <w:pPr>
        <w:pStyle w:val="8"/>
        <w:rPr>
          <w:szCs w:val="22"/>
        </w:rPr>
      </w:pPr>
    </w:p>
    <w:p w14:paraId="2A3004E7"/>
    <w:p w14:paraId="333CFB95"/>
    <w:p w14:paraId="7B46CF16">
      <w:pPr>
        <w:pStyle w:val="19"/>
      </w:pPr>
    </w:p>
    <w:p w14:paraId="4726678E"/>
    <w:p w14:paraId="5DDB6D3B"/>
    <w:p w14:paraId="6FA6260A"/>
    <w:p w14:paraId="2F8CDF42">
      <w:pPr>
        <w:rPr>
          <w:rFonts w:hint="eastAsia"/>
        </w:rPr>
      </w:pPr>
    </w:p>
    <w:p w14:paraId="360ECAAB"/>
    <w:p w14:paraId="611302C1">
      <w:pPr>
        <w:pStyle w:val="19"/>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w:t>
      </w:r>
      <w:r>
        <w:rPr>
          <w:rFonts w:hint="eastAsia" w:ascii="仿宋" w:hAnsi="仿宋" w:eastAsia="仿宋" w:cs="仿宋"/>
          <w:color w:val="333333"/>
          <w:kern w:val="0"/>
          <w:sz w:val="24"/>
          <w:szCs w:val="24"/>
          <w:u w:val="single"/>
          <w:lang w:val="en-US" w:eastAsia="zh-CN"/>
        </w:rPr>
        <w:t>国际交流官方宣传片定制拍摄服务</w:t>
      </w:r>
      <w:r>
        <w:rPr>
          <w:rFonts w:hint="eastAsia" w:ascii="仿宋" w:hAnsi="仿宋" w:eastAsia="仿宋" w:cs="仿宋"/>
          <w:color w:val="333333"/>
          <w:kern w:val="0"/>
          <w:sz w:val="24"/>
          <w:szCs w:val="24"/>
        </w:rPr>
        <w:t>项目</w:t>
      </w:r>
    </w:p>
    <w:p w14:paraId="044688CF">
      <w:pPr>
        <w:spacing w:before="156" w:beforeLines="50"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lang w:val="en-US" w:eastAsia="zh-CN" w:bidi="ar-SA"/>
        </w:rPr>
        <w:t>本项目服务期限从签订合同日至2026年12月。提供为期一年的免费售后服务。在此期间，供应商须配合采购人对成片进行细微调整与优化。</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67FC0749">
      <w:pPr>
        <w:pStyle w:val="44"/>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lang w:val="en-US" w:eastAsia="zh-CN"/>
        </w:rPr>
        <w:t>本项目服务涵盖系列宣传视频拍摄制作、视觉形象设计与配套物料设计两大板块，项目涉及的所有摄影摄像器材、人员劳务、设计制作、交通差旅等全部费用均由供应商自行承担。</w:t>
      </w:r>
    </w:p>
    <w:p w14:paraId="4441CE65">
      <w:pPr>
        <w:pStyle w:val="44"/>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（一）系列宣传视频拍摄制作</w:t>
      </w:r>
    </w:p>
    <w:p w14:paraId="29EB940B">
      <w:pPr>
        <w:pStyle w:val="44"/>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lang w:val="en-US" w:eastAsia="zh-CN"/>
        </w:rPr>
        <w:t>共计制作3条宣传视频，全流程按广播级及以上影视制作标准执行：</w:t>
      </w:r>
    </w:p>
    <w:p w14:paraId="74D2342F">
      <w:pPr>
        <w:pStyle w:val="44"/>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lang w:val="en-US" w:eastAsia="zh-CN"/>
        </w:rPr>
        <w:t>1.</w:t>
      </w:r>
      <w:r>
        <w:rPr>
          <w:rFonts w:hint="eastAsia" w:ascii="仿宋" w:hAnsi="仿宋" w:eastAsia="仿宋" w:cs="仿宋"/>
          <w:color w:val="333333"/>
          <w:kern w:val="0"/>
          <w:sz w:val="24"/>
          <w:szCs w:val="24"/>
        </w:rPr>
        <w:t>专题主片</w:t>
      </w:r>
      <w:r>
        <w:rPr>
          <w:rFonts w:hint="eastAsia" w:ascii="仿宋" w:hAnsi="仿宋" w:eastAsia="仿宋" w:cs="仿宋"/>
          <w:color w:val="333333"/>
          <w:kern w:val="0"/>
          <w:sz w:val="24"/>
          <w:szCs w:val="24"/>
          <w:lang w:val="en-US" w:eastAsia="zh-CN"/>
        </w:rPr>
        <w:t>1</w:t>
      </w:r>
      <w:r>
        <w:rPr>
          <w:rFonts w:hint="eastAsia" w:ascii="仿宋" w:hAnsi="仿宋" w:eastAsia="仿宋" w:cs="仿宋"/>
          <w:color w:val="333333"/>
          <w:kern w:val="0"/>
          <w:sz w:val="24"/>
          <w:szCs w:val="24"/>
        </w:rPr>
        <w:t xml:space="preserve">条 </w:t>
      </w:r>
    </w:p>
    <w:p w14:paraId="02BB09EB">
      <w:pPr>
        <w:pStyle w:val="44"/>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时长要求：8-10分钟</w:t>
      </w:r>
    </w:p>
    <w:p w14:paraId="2ABE1FDB">
      <w:pPr>
        <w:pStyle w:val="44"/>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内容要求：全面、系统介绍学校国际化办学特色、核心优势、师资力量、办学成果等综合情况</w:t>
      </w:r>
    </w:p>
    <w:p w14:paraId="27C2042D">
      <w:pPr>
        <w:pStyle w:val="44"/>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配音要求：同步提供中文、英语、俄语、西班牙语</w:t>
      </w:r>
      <w:r>
        <w:rPr>
          <w:rFonts w:hint="eastAsia" w:ascii="仿宋" w:hAnsi="仿宋" w:eastAsia="仿宋" w:cs="仿宋"/>
          <w:color w:val="333333"/>
          <w:kern w:val="0"/>
          <w:sz w:val="24"/>
          <w:szCs w:val="24"/>
          <w:lang w:val="en-US" w:eastAsia="zh-CN"/>
        </w:rPr>
        <w:t>4</w:t>
      </w:r>
      <w:r>
        <w:rPr>
          <w:rFonts w:hint="eastAsia" w:ascii="仿宋" w:hAnsi="仿宋" w:eastAsia="仿宋" w:cs="仿宋"/>
          <w:color w:val="333333"/>
          <w:kern w:val="0"/>
          <w:sz w:val="24"/>
          <w:szCs w:val="24"/>
        </w:rPr>
        <w:t>个语言版本</w:t>
      </w:r>
    </w:p>
    <w:p w14:paraId="7DCE70E8">
      <w:pPr>
        <w:pStyle w:val="44"/>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lang w:val="en-US" w:eastAsia="zh-CN"/>
        </w:rPr>
        <w:t>2.</w:t>
      </w:r>
      <w:r>
        <w:rPr>
          <w:rFonts w:hint="eastAsia" w:ascii="仿宋" w:hAnsi="仿宋" w:eastAsia="仿宋" w:cs="仿宋"/>
          <w:color w:val="333333"/>
          <w:kern w:val="0"/>
          <w:sz w:val="24"/>
          <w:szCs w:val="24"/>
        </w:rPr>
        <w:t>人文短视频</w:t>
      </w:r>
      <w:r>
        <w:rPr>
          <w:rFonts w:hint="eastAsia" w:ascii="仿宋" w:hAnsi="仿宋" w:eastAsia="仿宋" w:cs="仿宋"/>
          <w:color w:val="333333"/>
          <w:kern w:val="0"/>
          <w:sz w:val="24"/>
          <w:szCs w:val="24"/>
          <w:lang w:val="en-US" w:eastAsia="zh-CN"/>
        </w:rPr>
        <w:t>2</w:t>
      </w:r>
      <w:r>
        <w:rPr>
          <w:rFonts w:hint="eastAsia" w:ascii="仿宋" w:hAnsi="仿宋" w:eastAsia="仿宋" w:cs="仿宋"/>
          <w:color w:val="333333"/>
          <w:kern w:val="0"/>
          <w:sz w:val="24"/>
          <w:szCs w:val="24"/>
        </w:rPr>
        <w:t xml:space="preserve">条 </w:t>
      </w:r>
    </w:p>
    <w:p w14:paraId="13192FAE">
      <w:pPr>
        <w:pStyle w:val="44"/>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留学生故事篇：时长</w:t>
      </w:r>
      <w:r>
        <w:rPr>
          <w:rFonts w:hint="eastAsia" w:ascii="仿宋" w:hAnsi="仿宋" w:eastAsia="仿宋" w:cs="仿宋"/>
          <w:color w:val="333333"/>
          <w:kern w:val="0"/>
          <w:sz w:val="24"/>
          <w:szCs w:val="24"/>
          <w:lang w:val="en-US" w:eastAsia="zh-CN"/>
        </w:rPr>
        <w:t>3-5</w:t>
      </w:r>
      <w:r>
        <w:rPr>
          <w:rFonts w:hint="eastAsia" w:ascii="仿宋" w:hAnsi="仿宋" w:eastAsia="仿宋" w:cs="仿宋"/>
          <w:color w:val="333333"/>
          <w:kern w:val="0"/>
          <w:sz w:val="24"/>
          <w:szCs w:val="24"/>
        </w:rPr>
        <w:t>分钟，以留学生人文故事为切入点，生动展现留学生在华学习生活、跨文化交流体验及成长感悟，配套中、英、俄、西</w:t>
      </w:r>
      <w:r>
        <w:rPr>
          <w:rFonts w:hint="eastAsia" w:ascii="仿宋" w:hAnsi="仿宋" w:eastAsia="仿宋" w:cs="仿宋"/>
          <w:color w:val="333333"/>
          <w:kern w:val="0"/>
          <w:sz w:val="24"/>
          <w:szCs w:val="24"/>
          <w:lang w:val="en-US" w:eastAsia="zh-CN"/>
        </w:rPr>
        <w:t>4</w:t>
      </w:r>
      <w:r>
        <w:rPr>
          <w:rFonts w:hint="eastAsia" w:ascii="仿宋" w:hAnsi="仿宋" w:eastAsia="仿宋" w:cs="仿宋"/>
          <w:color w:val="333333"/>
          <w:kern w:val="0"/>
          <w:sz w:val="24"/>
          <w:szCs w:val="24"/>
        </w:rPr>
        <w:t>语配音</w:t>
      </w:r>
    </w:p>
    <w:p w14:paraId="50ABF6EA">
      <w:pPr>
        <w:pStyle w:val="44"/>
        <w:numPr>
          <w:ilvl w:val="0"/>
          <w:numId w:val="0"/>
        </w:numPr>
        <w:spacing w:line="520" w:lineRule="exact"/>
        <w:ind w:left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lang w:val="en-US" w:eastAsia="zh-CN"/>
        </w:rPr>
        <w:t>3.</w:t>
      </w:r>
      <w:r>
        <w:rPr>
          <w:rFonts w:hint="eastAsia" w:ascii="仿宋" w:hAnsi="仿宋" w:eastAsia="仿宋" w:cs="仿宋"/>
          <w:color w:val="333333"/>
          <w:kern w:val="0"/>
          <w:sz w:val="24"/>
          <w:szCs w:val="24"/>
        </w:rPr>
        <w:t>校园活动篇：时长</w:t>
      </w:r>
      <w:r>
        <w:rPr>
          <w:rFonts w:hint="eastAsia" w:ascii="仿宋" w:hAnsi="仿宋" w:eastAsia="仿宋" w:cs="仿宋"/>
          <w:color w:val="333333"/>
          <w:kern w:val="0"/>
          <w:sz w:val="24"/>
          <w:szCs w:val="24"/>
          <w:lang w:val="en-US" w:eastAsia="zh-CN"/>
        </w:rPr>
        <w:t>3-5</w:t>
      </w:r>
      <w:r>
        <w:rPr>
          <w:rFonts w:hint="eastAsia" w:ascii="仿宋" w:hAnsi="仿宋" w:eastAsia="仿宋" w:cs="仿宋"/>
          <w:color w:val="333333"/>
          <w:kern w:val="0"/>
          <w:sz w:val="24"/>
          <w:szCs w:val="24"/>
        </w:rPr>
        <w:t>分钟，以校园文化活动为主体，展现国际化校园氛围与中外师生互动风采，配套中、英、俄、西</w:t>
      </w:r>
      <w:r>
        <w:rPr>
          <w:rFonts w:hint="eastAsia" w:ascii="仿宋" w:hAnsi="仿宋" w:eastAsia="仿宋" w:cs="仿宋"/>
          <w:color w:val="333333"/>
          <w:kern w:val="0"/>
          <w:sz w:val="24"/>
          <w:szCs w:val="24"/>
          <w:lang w:val="en-US" w:eastAsia="zh-CN"/>
        </w:rPr>
        <w:t>4</w:t>
      </w:r>
      <w:r>
        <w:rPr>
          <w:rFonts w:hint="eastAsia" w:ascii="仿宋" w:hAnsi="仿宋" w:eastAsia="仿宋" w:cs="仿宋"/>
          <w:color w:val="333333"/>
          <w:kern w:val="0"/>
          <w:sz w:val="24"/>
          <w:szCs w:val="24"/>
        </w:rPr>
        <w:t>语配音</w:t>
      </w:r>
    </w:p>
    <w:p w14:paraId="26452084">
      <w:pPr>
        <w:pStyle w:val="44"/>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（二）视觉形象设计与配套服务</w:t>
      </w:r>
    </w:p>
    <w:p w14:paraId="26DCA366">
      <w:pPr>
        <w:pStyle w:val="44"/>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lang w:val="en-US" w:eastAsia="zh-CN"/>
        </w:rPr>
        <w:t>1.</w:t>
      </w:r>
      <w:r>
        <w:rPr>
          <w:rFonts w:hint="eastAsia" w:ascii="仿宋" w:hAnsi="仿宋" w:eastAsia="仿宋" w:cs="仿宋"/>
          <w:color w:val="333333"/>
          <w:kern w:val="0"/>
          <w:sz w:val="24"/>
          <w:szCs w:val="24"/>
        </w:rPr>
        <w:t>专属</w:t>
      </w:r>
      <w:r>
        <w:rPr>
          <w:rFonts w:hint="eastAsia" w:ascii="仿宋" w:hAnsi="仿宋" w:eastAsia="仿宋" w:cs="仿宋"/>
          <w:color w:val="333333"/>
          <w:kern w:val="0"/>
          <w:sz w:val="24"/>
          <w:szCs w:val="24"/>
          <w:lang w:val="en-US" w:eastAsia="zh-CN"/>
        </w:rPr>
        <w:t>IP</w:t>
      </w:r>
      <w:r>
        <w:rPr>
          <w:rFonts w:hint="eastAsia" w:ascii="仿宋" w:hAnsi="仿宋" w:eastAsia="仿宋" w:cs="仿宋"/>
          <w:color w:val="333333"/>
          <w:kern w:val="0"/>
          <w:sz w:val="24"/>
          <w:szCs w:val="24"/>
        </w:rPr>
        <w:t>形象设计：为国际学院量身定制原创形象</w:t>
      </w:r>
      <w:r>
        <w:rPr>
          <w:rFonts w:hint="eastAsia" w:ascii="仿宋" w:hAnsi="仿宋" w:eastAsia="仿宋" w:cs="仿宋"/>
          <w:color w:val="333333"/>
          <w:kern w:val="0"/>
          <w:sz w:val="24"/>
          <w:szCs w:val="24"/>
          <w:lang w:val="en-US" w:eastAsia="zh-CN"/>
        </w:rPr>
        <w:t>IP</w:t>
      </w:r>
      <w:r>
        <w:rPr>
          <w:rFonts w:hint="eastAsia" w:ascii="仿宋" w:hAnsi="仿宋" w:eastAsia="仿宋" w:cs="仿宋"/>
          <w:color w:val="333333"/>
          <w:kern w:val="0"/>
          <w:sz w:val="24"/>
          <w:szCs w:val="24"/>
        </w:rPr>
        <w:t>，输出完整延展应用规范（含三视图、色彩规范、应用场景示例等），契合“国际化、青春、活力” 品牌调性，无版权争议。</w:t>
      </w:r>
    </w:p>
    <w:p w14:paraId="09A9DF0F">
      <w:pPr>
        <w:pStyle w:val="44"/>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lang w:val="en-US" w:eastAsia="zh-CN"/>
        </w:rPr>
        <w:t>2.</w:t>
      </w:r>
      <w:r>
        <w:rPr>
          <w:rFonts w:hint="eastAsia" w:ascii="仿宋" w:hAnsi="仿宋" w:eastAsia="仿宋" w:cs="仿宋"/>
          <w:color w:val="333333"/>
          <w:kern w:val="0"/>
          <w:sz w:val="24"/>
          <w:szCs w:val="24"/>
        </w:rPr>
        <w:t>宣传汇报 PPT 设计：基于主视频核心内容与数据，制作高规格演示文稿，包含专业版式设计、图表美化、视觉排版，适配政务汇报、领导调研等正式展示场景。</w:t>
      </w:r>
    </w:p>
    <w:p w14:paraId="44D5603B">
      <w:pPr>
        <w:pStyle w:val="44"/>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lang w:val="en-US" w:eastAsia="zh-CN"/>
        </w:rPr>
        <w:t>3.</w:t>
      </w:r>
      <w:r>
        <w:rPr>
          <w:rFonts w:hint="eastAsia" w:ascii="仿宋" w:hAnsi="仿宋" w:eastAsia="仿宋" w:cs="仿宋"/>
          <w:color w:val="333333"/>
          <w:kern w:val="0"/>
          <w:sz w:val="24"/>
          <w:szCs w:val="24"/>
        </w:rPr>
        <w:t>文创产品设计：围绕定制IP形象延展设计6类原创文创作品（包含但不限于帆布袋、文具、杯子等品类），兼具美观性与品牌宣传作用。</w:t>
      </w:r>
    </w:p>
    <w:p w14:paraId="03577C77">
      <w:pPr>
        <w:pStyle w:val="44"/>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lang w:val="en-US" w:eastAsia="zh-CN"/>
        </w:rPr>
        <w:t>4.</w:t>
      </w:r>
      <w:r>
        <w:rPr>
          <w:rFonts w:hint="eastAsia" w:ascii="仿宋" w:hAnsi="仿宋" w:eastAsia="仿宋" w:cs="仿宋"/>
          <w:color w:val="333333"/>
          <w:kern w:val="0"/>
          <w:sz w:val="24"/>
          <w:szCs w:val="24"/>
        </w:rPr>
        <w:t>宣传册设计：基于 PPT 核心内容延展制作高规格宣传册，适配对内对外日常宣传工作需求。</w:t>
      </w:r>
    </w:p>
    <w:p w14:paraId="130BDE4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14:paraId="363D1607">
      <w:pPr>
        <w:pStyle w:val="44"/>
        <w:spacing w:line="520" w:lineRule="exact"/>
        <w:ind w:firstLine="48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本项目须采用广播级及以上标准的影视制作技术与设备，结合前沿数字创意技术实施，具体技术要求如下：</w:t>
      </w:r>
    </w:p>
    <w:p w14:paraId="613481FE">
      <w:pPr>
        <w:pStyle w:val="44"/>
        <w:spacing w:line="520" w:lineRule="exact"/>
        <w:ind w:firstLine="48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（一）前期拍摄设备与技术标准</w:t>
      </w:r>
    </w:p>
    <w:p w14:paraId="463025CF">
      <w:pPr>
        <w:pStyle w:val="44"/>
        <w:spacing w:line="520" w:lineRule="exact"/>
        <w:ind w:firstLine="48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核心摄录设备：主力拍摄采用 SONY FX9 电影级摄影机，搭配 CP 电影级镜头组及佳能镜头组，全程以 4K RAW 格式拍摄，具备高动态范围（HDR）及双原生 ISO 增益功能，保障电影级画面质感与色彩层次。</w:t>
      </w:r>
    </w:p>
    <w:p w14:paraId="501099E5">
      <w:pPr>
        <w:pStyle w:val="44"/>
        <w:spacing w:line="520" w:lineRule="exact"/>
        <w:ind w:firstLine="48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辅助拍摄系统：配备专业级轨道及手持稳定系统，确保运动镜头流畅丝滑。</w:t>
      </w:r>
    </w:p>
    <w:p w14:paraId="6B19B809">
      <w:pPr>
        <w:pStyle w:val="44"/>
        <w:spacing w:line="520" w:lineRule="exact"/>
        <w:ind w:firstLine="48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航拍系统：采用大疆 MaVic 4 Pro 航拍器搭载专业云台，实现大场景高空俯瞰、环绕及穿越飞行拍摄。</w:t>
      </w:r>
    </w:p>
    <w:p w14:paraId="254CEC44">
      <w:pPr>
        <w:pStyle w:val="44"/>
        <w:spacing w:line="520" w:lineRule="exact"/>
        <w:ind w:firstLine="48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监看与图传：现场配置专业图传监视器，支持导演与摄影指导实时同步监看、确认焦点。</w:t>
      </w:r>
    </w:p>
    <w:p w14:paraId="7F12CE9A">
      <w:pPr>
        <w:pStyle w:val="44"/>
        <w:spacing w:line="520" w:lineRule="exact"/>
        <w:ind w:firstLine="48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灯光照明系统：采用电影级灯光配置，包含爱图仕 STORM 700x、爱图仕 STORM 1200x、爱图仕 Aputure LS 600d、1.5K 聚光灯及 LED 平板灯等，配套大号米菠萝、柔光片、黑旗等控光附件。</w:t>
      </w:r>
    </w:p>
    <w:p w14:paraId="62251BF6">
      <w:pPr>
        <w:pStyle w:val="44"/>
        <w:spacing w:line="520" w:lineRule="exact"/>
        <w:ind w:firstLine="48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（二）后期制作技术与工艺流程</w:t>
      </w:r>
    </w:p>
    <w:p w14:paraId="14C7BC43">
      <w:pPr>
        <w:pStyle w:val="44"/>
        <w:spacing w:line="520" w:lineRule="exact"/>
        <w:ind w:firstLine="48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剪辑与特效制作：由资深剪辑师完成精剪与叙事重构，精准把控影片节奏，保障叙事逻辑严密、情绪递进流畅；特效采用实拍素材与二维特效深度融合路线，结合 AI 技术实现虚实结合效果，通过粒子特效、流体模拟等手段增强视觉冲击力与科技感。</w:t>
      </w:r>
    </w:p>
    <w:p w14:paraId="6EC3599A">
      <w:pPr>
        <w:pStyle w:val="44"/>
        <w:spacing w:line="520" w:lineRule="exact"/>
        <w:ind w:firstLine="48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专业调色工艺：采用达芬奇（DaVinci Resolve）调色系统完成专业级色彩校正与风格化调色，确保全片影调统一、具备高级电影感。</w:t>
      </w:r>
    </w:p>
    <w:p w14:paraId="0EBE6D5A">
      <w:pPr>
        <w:pStyle w:val="44"/>
        <w:spacing w:line="520" w:lineRule="exact"/>
        <w:ind w:firstLine="48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音频制作标准：配音在专业录音棚内由资深配音人员录制；音频采用 AI 降噪与声场优化技术，通过后期混音系统完成环境音效、背景音乐、人声的多轨融合处理，输出符合高清立体声标准的音频成品。</w:t>
      </w:r>
    </w:p>
    <w:p w14:paraId="49FB1257">
      <w:pPr>
        <w:pStyle w:val="44"/>
        <w:spacing w:line="520" w:lineRule="exact"/>
        <w:ind w:firstLine="48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（三）成片交付技术指标</w:t>
      </w:r>
    </w:p>
    <w:p w14:paraId="3FFA3154">
      <w:pPr>
        <w:pStyle w:val="44"/>
        <w:spacing w:line="520" w:lineRule="exact"/>
        <w:ind w:firstLine="48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视频规格：分辨率达到 4K 超高清标准（尺寸不低于 1980×1080），画面帧率稳定在 25 帧 / 秒及以上。</w:t>
      </w:r>
    </w:p>
    <w:p w14:paraId="0C243B54">
      <w:pPr>
        <w:pStyle w:val="44"/>
        <w:spacing w:line="520" w:lineRule="exact"/>
        <w:ind w:firstLine="48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封装格式：同步提供 MP4、MOV、AVI 等多种主流高清视频格式文件，适配电视台播出、官网展示、新媒体分发等多场景需求。</w:t>
      </w:r>
    </w:p>
    <w:p w14:paraId="541C2FA8">
      <w:pPr>
        <w:pStyle w:val="44"/>
        <w:spacing w:line="520" w:lineRule="exact"/>
        <w:ind w:firstLine="480"/>
        <w:rPr>
          <w:rFonts w:hint="eastAsia" w:ascii="仿宋" w:hAnsi="仿宋" w:eastAsia="仿宋" w:cs="仿宋"/>
          <w:color w:val="333333"/>
          <w:kern w:val="0"/>
          <w:sz w:val="24"/>
          <w:szCs w:val="24"/>
          <w:lang w:val="en-US" w:eastAsia="zh-CN"/>
        </w:rPr>
      </w:pPr>
    </w:p>
    <w:p w14:paraId="1FB345D8">
      <w:pPr>
        <w:snapToGrid w:val="0"/>
        <w:spacing w:before="156" w:beforeLines="50" w:line="360" w:lineRule="auto"/>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6E29FA4D">
      <w:pPr>
        <w:numPr>
          <w:ilvl w:val="0"/>
          <w:numId w:val="0"/>
        </w:numPr>
        <w:snapToGrid w:val="0"/>
        <w:spacing w:before="156" w:beforeLines="50" w:line="360" w:lineRule="auto"/>
        <w:jc w:val="left"/>
        <w:rPr>
          <w:rFonts w:hint="eastAsia"/>
          <w:lang w:val="en-US" w:eastAsia="zh-CN"/>
        </w:rPr>
      </w:pPr>
      <w:r>
        <w:rPr>
          <w:rFonts w:hint="eastAsia"/>
          <w:lang w:val="en-US" w:eastAsia="zh-CN"/>
        </w:rPr>
        <w:t>一、系列宣传视频制作验收标准</w:t>
      </w:r>
    </w:p>
    <w:tbl>
      <w:tblPr>
        <w:tblStyle w:val="20"/>
        <w:tblpPr w:leftFromText="181" w:rightFromText="181" w:vertAnchor="text" w:horzAnchor="page" w:tblpX="1226" w:tblpY="1"/>
        <w:tblOverlap w:val="never"/>
        <w:tblW w:w="101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173"/>
        <w:gridCol w:w="1718"/>
        <w:gridCol w:w="5490"/>
        <w:gridCol w:w="1805"/>
      </w:tblGrid>
      <w:tr w14:paraId="07023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1173" w:type="dxa"/>
            <w:shd w:val="clear" w:color="auto" w:fill="auto"/>
            <w:tcMar>
              <w:top w:w="120" w:type="dxa"/>
              <w:left w:w="120" w:type="dxa"/>
              <w:bottom w:w="120" w:type="dxa"/>
              <w:right w:w="120" w:type="dxa"/>
            </w:tcMar>
            <w:vAlign w:val="center"/>
          </w:tcPr>
          <w:p w14:paraId="67D76D68">
            <w:pPr>
              <w:pStyle w:val="19"/>
              <w:numPr>
                <w:ilvl w:val="0"/>
                <w:numId w:val="0"/>
              </w:numPr>
              <w:spacing w:before="0" w:beforeAutospacing="0" w:after="0"/>
              <w:ind w:left="0" w:leftChars="0"/>
              <w:jc w:val="center"/>
              <w:rPr>
                <w:rFonts w:hint="eastAsia"/>
                <w:b/>
                <w:bCs/>
                <w:sz w:val="22"/>
                <w:szCs w:val="22"/>
              </w:rPr>
            </w:pPr>
            <w:r>
              <w:rPr>
                <w:rFonts w:hint="eastAsia"/>
                <w:b/>
                <w:bCs/>
                <w:sz w:val="22"/>
                <w:szCs w:val="22"/>
                <w:lang w:val="en-US" w:eastAsia="zh-CN"/>
              </w:rPr>
              <w:t>验收维度</w:t>
            </w:r>
          </w:p>
        </w:tc>
        <w:tc>
          <w:tcPr>
            <w:tcW w:w="1718" w:type="dxa"/>
            <w:shd w:val="clear" w:color="auto" w:fill="auto"/>
            <w:tcMar>
              <w:top w:w="120" w:type="dxa"/>
              <w:left w:w="120" w:type="dxa"/>
              <w:bottom w:w="120" w:type="dxa"/>
              <w:right w:w="120" w:type="dxa"/>
            </w:tcMar>
            <w:vAlign w:val="center"/>
          </w:tcPr>
          <w:p w14:paraId="37646930">
            <w:pPr>
              <w:pStyle w:val="19"/>
              <w:numPr>
                <w:ilvl w:val="0"/>
                <w:numId w:val="0"/>
              </w:numPr>
              <w:spacing w:before="0" w:beforeAutospacing="0" w:after="0"/>
              <w:ind w:left="0" w:leftChars="0"/>
              <w:jc w:val="center"/>
              <w:rPr>
                <w:rFonts w:hint="eastAsia"/>
                <w:b/>
                <w:bCs/>
                <w:sz w:val="22"/>
                <w:szCs w:val="22"/>
              </w:rPr>
            </w:pPr>
            <w:r>
              <w:rPr>
                <w:rFonts w:hint="eastAsia"/>
                <w:b/>
                <w:bCs/>
                <w:sz w:val="22"/>
                <w:szCs w:val="22"/>
                <w:lang w:val="en-US" w:eastAsia="zh-CN"/>
              </w:rPr>
              <w:t>具体考核指标</w:t>
            </w:r>
          </w:p>
        </w:tc>
        <w:tc>
          <w:tcPr>
            <w:tcW w:w="5490" w:type="dxa"/>
            <w:shd w:val="clear" w:color="auto" w:fill="auto"/>
            <w:tcMar>
              <w:top w:w="120" w:type="dxa"/>
              <w:left w:w="120" w:type="dxa"/>
              <w:bottom w:w="120" w:type="dxa"/>
              <w:right w:w="120" w:type="dxa"/>
            </w:tcMar>
            <w:vAlign w:val="center"/>
          </w:tcPr>
          <w:p w14:paraId="329D5EB3">
            <w:pPr>
              <w:pStyle w:val="19"/>
              <w:numPr>
                <w:ilvl w:val="0"/>
                <w:numId w:val="0"/>
              </w:numPr>
              <w:spacing w:before="0" w:beforeAutospacing="0" w:after="0"/>
              <w:ind w:left="0" w:leftChars="0"/>
              <w:jc w:val="center"/>
              <w:rPr>
                <w:rFonts w:hint="eastAsia"/>
                <w:b/>
                <w:bCs/>
                <w:sz w:val="22"/>
                <w:szCs w:val="22"/>
              </w:rPr>
            </w:pPr>
            <w:r>
              <w:rPr>
                <w:rFonts w:hint="eastAsia"/>
                <w:b/>
                <w:bCs/>
                <w:sz w:val="22"/>
                <w:szCs w:val="22"/>
                <w:lang w:val="en-US" w:eastAsia="zh-CN"/>
              </w:rPr>
              <w:t>验收标准及要求</w:t>
            </w:r>
          </w:p>
        </w:tc>
        <w:tc>
          <w:tcPr>
            <w:tcW w:w="1805" w:type="dxa"/>
            <w:shd w:val="clear" w:color="auto" w:fill="auto"/>
            <w:tcMar>
              <w:top w:w="120" w:type="dxa"/>
              <w:left w:w="120" w:type="dxa"/>
              <w:bottom w:w="120" w:type="dxa"/>
              <w:right w:w="120" w:type="dxa"/>
            </w:tcMar>
            <w:vAlign w:val="center"/>
          </w:tcPr>
          <w:p w14:paraId="3FFB1010">
            <w:pPr>
              <w:pStyle w:val="19"/>
              <w:numPr>
                <w:ilvl w:val="0"/>
                <w:numId w:val="0"/>
              </w:numPr>
              <w:spacing w:before="0" w:beforeAutospacing="0" w:after="0"/>
              <w:ind w:left="0" w:leftChars="0"/>
              <w:jc w:val="center"/>
              <w:rPr>
                <w:rFonts w:hint="eastAsia"/>
                <w:b/>
                <w:bCs/>
                <w:sz w:val="22"/>
                <w:szCs w:val="22"/>
              </w:rPr>
            </w:pPr>
            <w:r>
              <w:rPr>
                <w:rFonts w:hint="eastAsia"/>
                <w:b/>
                <w:bCs/>
                <w:sz w:val="22"/>
                <w:szCs w:val="22"/>
                <w:lang w:val="en-US" w:eastAsia="zh-CN"/>
              </w:rPr>
              <w:t>验收方式</w:t>
            </w:r>
          </w:p>
        </w:tc>
      </w:tr>
      <w:tr w14:paraId="56C05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1173" w:type="dxa"/>
            <w:shd w:val="clear" w:color="auto" w:fill="auto"/>
            <w:tcMar>
              <w:top w:w="120" w:type="dxa"/>
              <w:left w:w="120" w:type="dxa"/>
              <w:bottom w:w="120" w:type="dxa"/>
              <w:right w:w="120" w:type="dxa"/>
            </w:tcMar>
            <w:vAlign w:val="center"/>
          </w:tcPr>
          <w:p w14:paraId="7D82907F">
            <w:pPr>
              <w:pStyle w:val="19"/>
              <w:numPr>
                <w:ilvl w:val="0"/>
                <w:numId w:val="0"/>
              </w:numPr>
              <w:spacing w:before="0" w:beforeAutospacing="0" w:after="0"/>
              <w:ind w:left="0" w:leftChars="0"/>
              <w:jc w:val="center"/>
              <w:rPr>
                <w:rFonts w:hint="eastAsia"/>
              </w:rPr>
            </w:pPr>
            <w:r>
              <w:rPr>
                <w:rFonts w:hint="eastAsia"/>
                <w:lang w:val="en-US" w:eastAsia="zh-CN"/>
              </w:rPr>
              <w:t>团队人员配置</w:t>
            </w:r>
          </w:p>
        </w:tc>
        <w:tc>
          <w:tcPr>
            <w:tcW w:w="1718" w:type="dxa"/>
            <w:shd w:val="clear" w:color="auto" w:fill="auto"/>
            <w:tcMar>
              <w:top w:w="120" w:type="dxa"/>
              <w:left w:w="120" w:type="dxa"/>
              <w:bottom w:w="120" w:type="dxa"/>
              <w:right w:w="120" w:type="dxa"/>
            </w:tcMar>
            <w:vAlign w:val="center"/>
          </w:tcPr>
          <w:p w14:paraId="115E8819">
            <w:pPr>
              <w:pStyle w:val="19"/>
              <w:numPr>
                <w:ilvl w:val="0"/>
                <w:numId w:val="0"/>
              </w:numPr>
              <w:spacing w:before="0" w:beforeAutospacing="0" w:after="0"/>
              <w:ind w:left="0" w:leftChars="0"/>
              <w:jc w:val="center"/>
              <w:rPr>
                <w:rFonts w:hint="eastAsia"/>
              </w:rPr>
            </w:pPr>
            <w:r>
              <w:rPr>
                <w:rFonts w:hint="eastAsia"/>
                <w:lang w:val="en-US" w:eastAsia="zh-CN"/>
              </w:rPr>
              <w:t>核心主创团队</w:t>
            </w:r>
          </w:p>
        </w:tc>
        <w:tc>
          <w:tcPr>
            <w:tcW w:w="5490" w:type="dxa"/>
            <w:shd w:val="clear" w:color="auto" w:fill="auto"/>
            <w:tcMar>
              <w:top w:w="120" w:type="dxa"/>
              <w:left w:w="120" w:type="dxa"/>
              <w:bottom w:w="120" w:type="dxa"/>
              <w:right w:w="120" w:type="dxa"/>
            </w:tcMar>
            <w:vAlign w:val="center"/>
          </w:tcPr>
          <w:p w14:paraId="18D4F11C">
            <w:pPr>
              <w:pStyle w:val="19"/>
              <w:numPr>
                <w:ilvl w:val="0"/>
                <w:numId w:val="0"/>
              </w:numPr>
              <w:spacing w:before="0" w:beforeAutospacing="0" w:after="0"/>
              <w:ind w:left="0" w:leftChars="0"/>
              <w:jc w:val="center"/>
              <w:rPr>
                <w:rFonts w:hint="eastAsia"/>
              </w:rPr>
            </w:pPr>
            <w:r>
              <w:rPr>
                <w:rFonts w:hint="eastAsia"/>
                <w:lang w:val="en-US" w:eastAsia="zh-CN"/>
              </w:rPr>
              <w:t>按采购需求足额配备摄像师、空境及辅助机位摄像师、摄像助理、灯光师、灯光助理、配音老师、后期剪辑师 + 特效师、后期调色师</w:t>
            </w:r>
          </w:p>
        </w:tc>
        <w:tc>
          <w:tcPr>
            <w:tcW w:w="1805" w:type="dxa"/>
            <w:shd w:val="clear" w:color="auto" w:fill="auto"/>
            <w:tcMar>
              <w:top w:w="120" w:type="dxa"/>
              <w:left w:w="120" w:type="dxa"/>
              <w:bottom w:w="120" w:type="dxa"/>
              <w:right w:w="120" w:type="dxa"/>
            </w:tcMar>
            <w:vAlign w:val="center"/>
          </w:tcPr>
          <w:p w14:paraId="403A109F">
            <w:pPr>
              <w:pStyle w:val="19"/>
              <w:numPr>
                <w:ilvl w:val="0"/>
                <w:numId w:val="0"/>
              </w:numPr>
              <w:spacing w:before="0" w:beforeAutospacing="0" w:after="0"/>
              <w:ind w:left="0" w:leftChars="0"/>
              <w:jc w:val="center"/>
              <w:rPr>
                <w:rFonts w:hint="eastAsia"/>
              </w:rPr>
            </w:pPr>
            <w:r>
              <w:rPr>
                <w:rFonts w:hint="eastAsia"/>
                <w:lang w:val="en-US" w:eastAsia="zh-CN"/>
              </w:rPr>
              <w:t>现场核对人员配置并拍照</w:t>
            </w:r>
          </w:p>
        </w:tc>
      </w:tr>
      <w:tr w14:paraId="6B808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1173" w:type="dxa"/>
            <w:shd w:val="clear" w:color="auto" w:fill="auto"/>
            <w:tcMar>
              <w:top w:w="120" w:type="dxa"/>
              <w:left w:w="120" w:type="dxa"/>
              <w:bottom w:w="120" w:type="dxa"/>
              <w:right w:w="120" w:type="dxa"/>
            </w:tcMar>
            <w:vAlign w:val="center"/>
          </w:tcPr>
          <w:p w14:paraId="1103EBB2">
            <w:pPr>
              <w:pStyle w:val="19"/>
              <w:numPr>
                <w:ilvl w:val="0"/>
                <w:numId w:val="0"/>
              </w:numPr>
              <w:spacing w:before="0" w:beforeAutospacing="0" w:after="0"/>
              <w:ind w:left="0" w:leftChars="0"/>
              <w:jc w:val="center"/>
              <w:rPr>
                <w:rFonts w:hint="eastAsia"/>
              </w:rPr>
            </w:pPr>
            <w:r>
              <w:rPr>
                <w:rFonts w:hint="eastAsia"/>
                <w:lang w:val="en-US" w:eastAsia="zh-CN"/>
              </w:rPr>
              <w:t>成片时长标准</w:t>
            </w:r>
          </w:p>
        </w:tc>
        <w:tc>
          <w:tcPr>
            <w:tcW w:w="1718" w:type="dxa"/>
            <w:shd w:val="clear" w:color="auto" w:fill="auto"/>
            <w:tcMar>
              <w:top w:w="120" w:type="dxa"/>
              <w:left w:w="120" w:type="dxa"/>
              <w:bottom w:w="120" w:type="dxa"/>
              <w:right w:w="120" w:type="dxa"/>
            </w:tcMar>
            <w:vAlign w:val="center"/>
          </w:tcPr>
          <w:p w14:paraId="1FA9BF05">
            <w:pPr>
              <w:pStyle w:val="19"/>
              <w:numPr>
                <w:ilvl w:val="0"/>
                <w:numId w:val="0"/>
              </w:numPr>
              <w:spacing w:before="0" w:beforeAutospacing="0" w:after="0"/>
              <w:ind w:left="0" w:leftChars="0"/>
              <w:jc w:val="center"/>
              <w:rPr>
                <w:rFonts w:hint="eastAsia"/>
              </w:rPr>
            </w:pPr>
            <w:r>
              <w:rPr>
                <w:rFonts w:hint="eastAsia"/>
                <w:lang w:val="en-US" w:eastAsia="zh-CN"/>
              </w:rPr>
              <w:t>主视频（专题宣传片）</w:t>
            </w:r>
          </w:p>
        </w:tc>
        <w:tc>
          <w:tcPr>
            <w:tcW w:w="5490" w:type="dxa"/>
            <w:shd w:val="clear" w:color="auto" w:fill="auto"/>
            <w:tcMar>
              <w:top w:w="120" w:type="dxa"/>
              <w:left w:w="120" w:type="dxa"/>
              <w:bottom w:w="120" w:type="dxa"/>
              <w:right w:w="120" w:type="dxa"/>
            </w:tcMar>
            <w:vAlign w:val="center"/>
          </w:tcPr>
          <w:p w14:paraId="459C766E">
            <w:pPr>
              <w:pStyle w:val="19"/>
              <w:numPr>
                <w:ilvl w:val="0"/>
                <w:numId w:val="0"/>
              </w:numPr>
              <w:spacing w:before="0" w:beforeAutospacing="0" w:after="0"/>
              <w:ind w:left="0" w:leftChars="0"/>
              <w:jc w:val="center"/>
              <w:rPr>
                <w:rFonts w:hint="eastAsia"/>
              </w:rPr>
            </w:pPr>
            <w:r>
              <w:rPr>
                <w:rFonts w:hint="eastAsia"/>
                <w:lang w:val="en-US" w:eastAsia="zh-CN"/>
              </w:rPr>
              <w:t>时长严格控制在 8-10 分钟之间</w:t>
            </w:r>
          </w:p>
        </w:tc>
        <w:tc>
          <w:tcPr>
            <w:tcW w:w="1805" w:type="dxa"/>
            <w:shd w:val="clear" w:color="auto" w:fill="auto"/>
            <w:tcMar>
              <w:top w:w="120" w:type="dxa"/>
              <w:left w:w="120" w:type="dxa"/>
              <w:bottom w:w="120" w:type="dxa"/>
              <w:right w:w="120" w:type="dxa"/>
            </w:tcMar>
            <w:vAlign w:val="center"/>
          </w:tcPr>
          <w:p w14:paraId="77AEFDCD">
            <w:pPr>
              <w:pStyle w:val="19"/>
              <w:numPr>
                <w:ilvl w:val="0"/>
                <w:numId w:val="0"/>
              </w:numPr>
              <w:spacing w:before="0" w:beforeAutospacing="0" w:after="0"/>
              <w:ind w:left="0" w:leftChars="0"/>
              <w:jc w:val="center"/>
              <w:rPr>
                <w:rFonts w:hint="eastAsia"/>
              </w:rPr>
            </w:pPr>
            <w:r>
              <w:rPr>
                <w:rFonts w:hint="eastAsia"/>
                <w:lang w:val="en-US" w:eastAsia="zh-CN"/>
              </w:rPr>
              <w:t>播放器读取文件时长</w:t>
            </w:r>
          </w:p>
        </w:tc>
      </w:tr>
      <w:tr w14:paraId="1D6FF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1173" w:type="dxa"/>
            <w:shd w:val="clear" w:color="auto" w:fill="auto"/>
            <w:tcMar>
              <w:top w:w="120" w:type="dxa"/>
              <w:left w:w="120" w:type="dxa"/>
              <w:bottom w:w="120" w:type="dxa"/>
              <w:right w:w="120" w:type="dxa"/>
            </w:tcMar>
            <w:vAlign w:val="center"/>
          </w:tcPr>
          <w:p w14:paraId="52ECF798">
            <w:pPr>
              <w:pStyle w:val="19"/>
              <w:numPr>
                <w:ilvl w:val="0"/>
                <w:numId w:val="0"/>
              </w:numPr>
              <w:spacing w:before="0" w:beforeAutospacing="0" w:after="0"/>
              <w:ind w:left="0" w:leftChars="0"/>
              <w:jc w:val="center"/>
              <w:rPr>
                <w:rFonts w:hint="eastAsia"/>
              </w:rPr>
            </w:pPr>
          </w:p>
        </w:tc>
        <w:tc>
          <w:tcPr>
            <w:tcW w:w="1718" w:type="dxa"/>
            <w:shd w:val="clear" w:color="auto" w:fill="auto"/>
            <w:tcMar>
              <w:top w:w="120" w:type="dxa"/>
              <w:left w:w="120" w:type="dxa"/>
              <w:bottom w:w="120" w:type="dxa"/>
              <w:right w:w="120" w:type="dxa"/>
            </w:tcMar>
            <w:vAlign w:val="center"/>
          </w:tcPr>
          <w:p w14:paraId="7E43C4C4">
            <w:pPr>
              <w:pStyle w:val="19"/>
              <w:numPr>
                <w:ilvl w:val="0"/>
                <w:numId w:val="0"/>
              </w:numPr>
              <w:spacing w:before="0" w:beforeAutospacing="0" w:after="0"/>
              <w:ind w:left="0" w:leftChars="0"/>
              <w:jc w:val="center"/>
              <w:rPr>
                <w:rFonts w:hint="eastAsia"/>
              </w:rPr>
            </w:pPr>
            <w:r>
              <w:rPr>
                <w:rFonts w:hint="eastAsia"/>
                <w:lang w:val="en-US" w:eastAsia="zh-CN"/>
              </w:rPr>
              <w:t>短视频一（留学生故事篇）</w:t>
            </w:r>
          </w:p>
        </w:tc>
        <w:tc>
          <w:tcPr>
            <w:tcW w:w="5490" w:type="dxa"/>
            <w:shd w:val="clear" w:color="auto" w:fill="auto"/>
            <w:tcMar>
              <w:top w:w="120" w:type="dxa"/>
              <w:left w:w="120" w:type="dxa"/>
              <w:bottom w:w="120" w:type="dxa"/>
              <w:right w:w="120" w:type="dxa"/>
            </w:tcMar>
            <w:vAlign w:val="center"/>
          </w:tcPr>
          <w:p w14:paraId="64EB27CC">
            <w:pPr>
              <w:pStyle w:val="19"/>
              <w:numPr>
                <w:ilvl w:val="0"/>
                <w:numId w:val="0"/>
              </w:numPr>
              <w:spacing w:before="0" w:beforeAutospacing="0" w:after="0"/>
              <w:ind w:left="0" w:leftChars="0"/>
              <w:jc w:val="center"/>
              <w:rPr>
                <w:rFonts w:hint="eastAsia"/>
              </w:rPr>
            </w:pPr>
            <w:r>
              <w:rPr>
                <w:rFonts w:hint="eastAsia"/>
                <w:lang w:val="en-US" w:eastAsia="zh-CN"/>
              </w:rPr>
              <w:t>时长严格控制在 3-5 分钟之间</w:t>
            </w:r>
          </w:p>
        </w:tc>
        <w:tc>
          <w:tcPr>
            <w:tcW w:w="1805" w:type="dxa"/>
            <w:shd w:val="clear" w:color="auto" w:fill="auto"/>
            <w:tcMar>
              <w:top w:w="120" w:type="dxa"/>
              <w:left w:w="120" w:type="dxa"/>
              <w:bottom w:w="120" w:type="dxa"/>
              <w:right w:w="120" w:type="dxa"/>
            </w:tcMar>
            <w:vAlign w:val="center"/>
          </w:tcPr>
          <w:p w14:paraId="59E4E517">
            <w:pPr>
              <w:pStyle w:val="19"/>
              <w:numPr>
                <w:ilvl w:val="0"/>
                <w:numId w:val="0"/>
              </w:numPr>
              <w:spacing w:before="0" w:beforeAutospacing="0" w:after="0"/>
              <w:ind w:left="0" w:leftChars="0"/>
              <w:jc w:val="center"/>
              <w:rPr>
                <w:rFonts w:hint="eastAsia"/>
              </w:rPr>
            </w:pPr>
            <w:r>
              <w:rPr>
                <w:rFonts w:hint="eastAsia"/>
                <w:lang w:val="en-US" w:eastAsia="zh-CN"/>
              </w:rPr>
              <w:t>播放器读取文件时长</w:t>
            </w:r>
          </w:p>
        </w:tc>
      </w:tr>
      <w:tr w14:paraId="4F5E3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73" w:type="dxa"/>
            <w:shd w:val="clear" w:color="auto" w:fill="auto"/>
            <w:tcMar>
              <w:top w:w="120" w:type="dxa"/>
              <w:left w:w="120" w:type="dxa"/>
              <w:bottom w:w="120" w:type="dxa"/>
              <w:right w:w="120" w:type="dxa"/>
            </w:tcMar>
            <w:vAlign w:val="center"/>
          </w:tcPr>
          <w:p w14:paraId="261C8C20">
            <w:pPr>
              <w:pStyle w:val="19"/>
              <w:numPr>
                <w:ilvl w:val="0"/>
                <w:numId w:val="0"/>
              </w:numPr>
              <w:spacing w:before="0" w:beforeAutospacing="0" w:after="0"/>
              <w:ind w:left="0" w:leftChars="0"/>
              <w:jc w:val="center"/>
              <w:rPr>
                <w:rFonts w:hint="eastAsia"/>
              </w:rPr>
            </w:pPr>
          </w:p>
        </w:tc>
        <w:tc>
          <w:tcPr>
            <w:tcW w:w="1718" w:type="dxa"/>
            <w:shd w:val="clear" w:color="auto" w:fill="auto"/>
            <w:tcMar>
              <w:top w:w="120" w:type="dxa"/>
              <w:left w:w="120" w:type="dxa"/>
              <w:bottom w:w="120" w:type="dxa"/>
              <w:right w:w="120" w:type="dxa"/>
            </w:tcMar>
            <w:vAlign w:val="center"/>
          </w:tcPr>
          <w:p w14:paraId="695FB099">
            <w:pPr>
              <w:pStyle w:val="19"/>
              <w:numPr>
                <w:ilvl w:val="0"/>
                <w:numId w:val="0"/>
              </w:numPr>
              <w:spacing w:before="0" w:beforeAutospacing="0" w:after="0"/>
              <w:ind w:left="0" w:leftChars="0"/>
              <w:jc w:val="center"/>
              <w:rPr>
                <w:rFonts w:hint="eastAsia"/>
              </w:rPr>
            </w:pPr>
            <w:r>
              <w:rPr>
                <w:rFonts w:hint="eastAsia"/>
                <w:lang w:val="en-US" w:eastAsia="zh-CN"/>
              </w:rPr>
              <w:t>短视频二（校园活动篇）</w:t>
            </w:r>
          </w:p>
        </w:tc>
        <w:tc>
          <w:tcPr>
            <w:tcW w:w="5490" w:type="dxa"/>
            <w:shd w:val="clear" w:color="auto" w:fill="auto"/>
            <w:tcMar>
              <w:top w:w="120" w:type="dxa"/>
              <w:left w:w="120" w:type="dxa"/>
              <w:bottom w:w="120" w:type="dxa"/>
              <w:right w:w="120" w:type="dxa"/>
            </w:tcMar>
            <w:vAlign w:val="center"/>
          </w:tcPr>
          <w:p w14:paraId="05C75CFE">
            <w:pPr>
              <w:pStyle w:val="19"/>
              <w:numPr>
                <w:ilvl w:val="0"/>
                <w:numId w:val="0"/>
              </w:numPr>
              <w:spacing w:before="0" w:beforeAutospacing="0" w:after="0"/>
              <w:ind w:left="0" w:leftChars="0"/>
              <w:jc w:val="center"/>
              <w:rPr>
                <w:rFonts w:hint="eastAsia"/>
              </w:rPr>
            </w:pPr>
            <w:r>
              <w:rPr>
                <w:rFonts w:hint="eastAsia"/>
                <w:lang w:val="en-US" w:eastAsia="zh-CN"/>
              </w:rPr>
              <w:t>时长严格控制在 3-5 分钟之间</w:t>
            </w:r>
          </w:p>
        </w:tc>
        <w:tc>
          <w:tcPr>
            <w:tcW w:w="1805" w:type="dxa"/>
            <w:shd w:val="clear" w:color="auto" w:fill="auto"/>
            <w:tcMar>
              <w:top w:w="120" w:type="dxa"/>
              <w:left w:w="120" w:type="dxa"/>
              <w:bottom w:w="120" w:type="dxa"/>
              <w:right w:w="120" w:type="dxa"/>
            </w:tcMar>
            <w:vAlign w:val="center"/>
          </w:tcPr>
          <w:p w14:paraId="27ABCA5D">
            <w:pPr>
              <w:pStyle w:val="19"/>
              <w:numPr>
                <w:ilvl w:val="0"/>
                <w:numId w:val="0"/>
              </w:numPr>
              <w:spacing w:before="0" w:beforeAutospacing="0" w:after="0"/>
              <w:ind w:left="0" w:leftChars="0"/>
              <w:jc w:val="center"/>
              <w:rPr>
                <w:rFonts w:hint="eastAsia"/>
              </w:rPr>
            </w:pPr>
            <w:r>
              <w:rPr>
                <w:rFonts w:hint="eastAsia"/>
                <w:lang w:val="en-US" w:eastAsia="zh-CN"/>
              </w:rPr>
              <w:t>播放器读取文件时长</w:t>
            </w:r>
          </w:p>
        </w:tc>
      </w:tr>
      <w:tr w14:paraId="5ECA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1173" w:type="dxa"/>
            <w:shd w:val="clear" w:color="auto" w:fill="auto"/>
            <w:tcMar>
              <w:top w:w="120" w:type="dxa"/>
              <w:left w:w="120" w:type="dxa"/>
              <w:bottom w:w="120" w:type="dxa"/>
              <w:right w:w="120" w:type="dxa"/>
            </w:tcMar>
            <w:vAlign w:val="center"/>
          </w:tcPr>
          <w:p w14:paraId="6E21DB0B">
            <w:pPr>
              <w:pStyle w:val="19"/>
              <w:numPr>
                <w:ilvl w:val="0"/>
                <w:numId w:val="0"/>
              </w:numPr>
              <w:spacing w:before="0" w:beforeAutospacing="0" w:after="0"/>
              <w:ind w:left="0" w:leftChars="0"/>
              <w:jc w:val="center"/>
              <w:rPr>
                <w:rFonts w:hint="eastAsia"/>
              </w:rPr>
            </w:pPr>
            <w:r>
              <w:rPr>
                <w:rFonts w:hint="eastAsia"/>
                <w:lang w:val="en-US" w:eastAsia="zh-CN"/>
              </w:rPr>
              <w:t>成片输出标准</w:t>
            </w:r>
          </w:p>
        </w:tc>
        <w:tc>
          <w:tcPr>
            <w:tcW w:w="1718" w:type="dxa"/>
            <w:shd w:val="clear" w:color="auto" w:fill="auto"/>
            <w:tcMar>
              <w:top w:w="120" w:type="dxa"/>
              <w:left w:w="120" w:type="dxa"/>
              <w:bottom w:w="120" w:type="dxa"/>
              <w:right w:w="120" w:type="dxa"/>
            </w:tcMar>
            <w:vAlign w:val="center"/>
          </w:tcPr>
          <w:p w14:paraId="0E4FDAEE">
            <w:pPr>
              <w:pStyle w:val="19"/>
              <w:numPr>
                <w:ilvl w:val="0"/>
                <w:numId w:val="0"/>
              </w:numPr>
              <w:spacing w:before="0" w:beforeAutospacing="0" w:after="0"/>
              <w:ind w:left="0" w:leftChars="0"/>
              <w:jc w:val="center"/>
              <w:rPr>
                <w:rFonts w:hint="eastAsia"/>
              </w:rPr>
            </w:pPr>
            <w:r>
              <w:rPr>
                <w:rFonts w:hint="eastAsia"/>
                <w:lang w:val="en-US" w:eastAsia="zh-CN"/>
              </w:rPr>
              <w:t>视频规格</w:t>
            </w:r>
          </w:p>
        </w:tc>
        <w:tc>
          <w:tcPr>
            <w:tcW w:w="5490" w:type="dxa"/>
            <w:shd w:val="clear" w:color="auto" w:fill="auto"/>
            <w:tcMar>
              <w:top w:w="120" w:type="dxa"/>
              <w:left w:w="120" w:type="dxa"/>
              <w:bottom w:w="120" w:type="dxa"/>
              <w:right w:w="120" w:type="dxa"/>
            </w:tcMar>
            <w:vAlign w:val="center"/>
          </w:tcPr>
          <w:p w14:paraId="27C5F045">
            <w:pPr>
              <w:pStyle w:val="19"/>
              <w:numPr>
                <w:ilvl w:val="0"/>
                <w:numId w:val="0"/>
              </w:numPr>
              <w:spacing w:before="0" w:beforeAutospacing="0" w:after="0"/>
              <w:ind w:left="0" w:leftChars="0"/>
              <w:jc w:val="center"/>
              <w:rPr>
                <w:rFonts w:hint="eastAsia"/>
              </w:rPr>
            </w:pPr>
            <w:r>
              <w:rPr>
                <w:rFonts w:hint="eastAsia"/>
                <w:lang w:val="en-US" w:eastAsia="zh-CN"/>
              </w:rPr>
              <w:t>分辨率达到 4K 超高清标准（尺寸不低于 1980×1080），画面帧率稳定在 25 帧 / 秒及以上</w:t>
            </w:r>
          </w:p>
        </w:tc>
        <w:tc>
          <w:tcPr>
            <w:tcW w:w="1805" w:type="dxa"/>
            <w:shd w:val="clear" w:color="auto" w:fill="auto"/>
            <w:tcMar>
              <w:top w:w="120" w:type="dxa"/>
              <w:left w:w="120" w:type="dxa"/>
              <w:bottom w:w="120" w:type="dxa"/>
              <w:right w:w="120" w:type="dxa"/>
            </w:tcMar>
            <w:vAlign w:val="center"/>
          </w:tcPr>
          <w:p w14:paraId="72C27B7C">
            <w:pPr>
              <w:pStyle w:val="19"/>
              <w:numPr>
                <w:ilvl w:val="0"/>
                <w:numId w:val="0"/>
              </w:numPr>
              <w:spacing w:before="0" w:beforeAutospacing="0" w:after="0"/>
              <w:ind w:left="0" w:leftChars="0"/>
              <w:jc w:val="center"/>
              <w:rPr>
                <w:rFonts w:hint="eastAsia"/>
              </w:rPr>
            </w:pPr>
            <w:r>
              <w:rPr>
                <w:rFonts w:hint="eastAsia"/>
                <w:lang w:val="en-US" w:eastAsia="zh-CN"/>
              </w:rPr>
              <w:t>媒体信息软件检测</w:t>
            </w:r>
          </w:p>
        </w:tc>
      </w:tr>
      <w:tr w14:paraId="5C76E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1173" w:type="dxa"/>
            <w:shd w:val="clear" w:color="auto" w:fill="auto"/>
            <w:tcMar>
              <w:top w:w="120" w:type="dxa"/>
              <w:left w:w="120" w:type="dxa"/>
              <w:bottom w:w="120" w:type="dxa"/>
              <w:right w:w="120" w:type="dxa"/>
            </w:tcMar>
            <w:vAlign w:val="center"/>
          </w:tcPr>
          <w:p w14:paraId="1226406F">
            <w:pPr>
              <w:pStyle w:val="19"/>
              <w:numPr>
                <w:ilvl w:val="0"/>
                <w:numId w:val="0"/>
              </w:numPr>
              <w:spacing w:before="0" w:beforeAutospacing="0" w:after="0"/>
              <w:ind w:left="0" w:leftChars="0"/>
              <w:jc w:val="center"/>
              <w:rPr>
                <w:rFonts w:hint="eastAsia"/>
              </w:rPr>
            </w:pPr>
          </w:p>
        </w:tc>
        <w:tc>
          <w:tcPr>
            <w:tcW w:w="1718" w:type="dxa"/>
            <w:shd w:val="clear" w:color="auto" w:fill="auto"/>
            <w:tcMar>
              <w:top w:w="120" w:type="dxa"/>
              <w:left w:w="120" w:type="dxa"/>
              <w:bottom w:w="120" w:type="dxa"/>
              <w:right w:w="120" w:type="dxa"/>
            </w:tcMar>
            <w:vAlign w:val="center"/>
          </w:tcPr>
          <w:p w14:paraId="1C08D6DC">
            <w:pPr>
              <w:pStyle w:val="19"/>
              <w:numPr>
                <w:ilvl w:val="0"/>
                <w:numId w:val="0"/>
              </w:numPr>
              <w:spacing w:before="0" w:beforeAutospacing="0" w:after="0"/>
              <w:ind w:left="0" w:leftChars="0"/>
              <w:jc w:val="center"/>
              <w:rPr>
                <w:rFonts w:hint="eastAsia"/>
              </w:rPr>
            </w:pPr>
            <w:r>
              <w:rPr>
                <w:rFonts w:hint="eastAsia"/>
                <w:lang w:val="en-US" w:eastAsia="zh-CN"/>
              </w:rPr>
              <w:t>封装格式</w:t>
            </w:r>
          </w:p>
        </w:tc>
        <w:tc>
          <w:tcPr>
            <w:tcW w:w="5490" w:type="dxa"/>
            <w:shd w:val="clear" w:color="auto" w:fill="auto"/>
            <w:tcMar>
              <w:top w:w="120" w:type="dxa"/>
              <w:left w:w="120" w:type="dxa"/>
              <w:bottom w:w="120" w:type="dxa"/>
              <w:right w:w="120" w:type="dxa"/>
            </w:tcMar>
            <w:vAlign w:val="center"/>
          </w:tcPr>
          <w:p w14:paraId="68CB78D6">
            <w:pPr>
              <w:pStyle w:val="19"/>
              <w:numPr>
                <w:ilvl w:val="0"/>
                <w:numId w:val="0"/>
              </w:numPr>
              <w:spacing w:before="0" w:beforeAutospacing="0" w:after="0"/>
              <w:ind w:left="0" w:leftChars="0"/>
              <w:jc w:val="center"/>
              <w:rPr>
                <w:rFonts w:hint="eastAsia"/>
              </w:rPr>
            </w:pPr>
            <w:r>
              <w:rPr>
                <w:rFonts w:hint="eastAsia"/>
                <w:lang w:val="en-US" w:eastAsia="zh-CN"/>
              </w:rPr>
              <w:t>同时提供 MP4、MOV、AVI 等多种主流高清视频格式文件</w:t>
            </w:r>
          </w:p>
        </w:tc>
        <w:tc>
          <w:tcPr>
            <w:tcW w:w="1805" w:type="dxa"/>
            <w:shd w:val="clear" w:color="auto" w:fill="auto"/>
            <w:tcMar>
              <w:top w:w="120" w:type="dxa"/>
              <w:left w:w="120" w:type="dxa"/>
              <w:bottom w:w="120" w:type="dxa"/>
              <w:right w:w="120" w:type="dxa"/>
            </w:tcMar>
            <w:vAlign w:val="center"/>
          </w:tcPr>
          <w:p w14:paraId="6125C0E6">
            <w:pPr>
              <w:pStyle w:val="19"/>
              <w:numPr>
                <w:ilvl w:val="0"/>
                <w:numId w:val="0"/>
              </w:numPr>
              <w:spacing w:before="0" w:beforeAutospacing="0" w:after="0"/>
              <w:ind w:left="0" w:leftChars="0"/>
              <w:jc w:val="center"/>
              <w:rPr>
                <w:rFonts w:hint="eastAsia"/>
              </w:rPr>
            </w:pPr>
            <w:r>
              <w:rPr>
                <w:rFonts w:hint="eastAsia"/>
                <w:lang w:val="en-US" w:eastAsia="zh-CN"/>
              </w:rPr>
              <w:t>检查交付文件完整性</w:t>
            </w:r>
          </w:p>
        </w:tc>
      </w:tr>
      <w:tr w14:paraId="2B187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1173" w:type="dxa"/>
            <w:shd w:val="clear" w:color="auto" w:fill="auto"/>
            <w:tcMar>
              <w:top w:w="120" w:type="dxa"/>
              <w:left w:w="120" w:type="dxa"/>
              <w:bottom w:w="120" w:type="dxa"/>
              <w:right w:w="120" w:type="dxa"/>
            </w:tcMar>
            <w:vAlign w:val="center"/>
          </w:tcPr>
          <w:p w14:paraId="7BB77EE0">
            <w:pPr>
              <w:pStyle w:val="19"/>
              <w:numPr>
                <w:ilvl w:val="0"/>
                <w:numId w:val="0"/>
              </w:numPr>
              <w:spacing w:before="0" w:beforeAutospacing="0" w:after="0"/>
              <w:ind w:left="0" w:leftChars="0"/>
              <w:jc w:val="center"/>
              <w:rPr>
                <w:rFonts w:hint="eastAsia"/>
              </w:rPr>
            </w:pPr>
          </w:p>
        </w:tc>
        <w:tc>
          <w:tcPr>
            <w:tcW w:w="1718" w:type="dxa"/>
            <w:shd w:val="clear" w:color="auto" w:fill="auto"/>
            <w:tcMar>
              <w:top w:w="120" w:type="dxa"/>
              <w:left w:w="120" w:type="dxa"/>
              <w:bottom w:w="120" w:type="dxa"/>
              <w:right w:w="120" w:type="dxa"/>
            </w:tcMar>
            <w:vAlign w:val="center"/>
          </w:tcPr>
          <w:p w14:paraId="6BDAA13A">
            <w:pPr>
              <w:pStyle w:val="19"/>
              <w:numPr>
                <w:ilvl w:val="0"/>
                <w:numId w:val="0"/>
              </w:numPr>
              <w:spacing w:before="0" w:beforeAutospacing="0" w:after="0"/>
              <w:ind w:left="0" w:leftChars="0"/>
              <w:jc w:val="center"/>
              <w:rPr>
                <w:rFonts w:hint="eastAsia"/>
              </w:rPr>
            </w:pPr>
            <w:r>
              <w:rPr>
                <w:rFonts w:hint="eastAsia"/>
                <w:lang w:val="en-US" w:eastAsia="zh-CN"/>
              </w:rPr>
              <w:t>配音标准</w:t>
            </w:r>
          </w:p>
        </w:tc>
        <w:tc>
          <w:tcPr>
            <w:tcW w:w="5490" w:type="dxa"/>
            <w:shd w:val="clear" w:color="auto" w:fill="auto"/>
            <w:tcMar>
              <w:top w:w="120" w:type="dxa"/>
              <w:left w:w="120" w:type="dxa"/>
              <w:bottom w:w="120" w:type="dxa"/>
              <w:right w:w="120" w:type="dxa"/>
            </w:tcMar>
            <w:vAlign w:val="center"/>
          </w:tcPr>
          <w:p w14:paraId="30F35B83">
            <w:pPr>
              <w:pStyle w:val="19"/>
              <w:numPr>
                <w:ilvl w:val="0"/>
                <w:numId w:val="0"/>
              </w:numPr>
              <w:spacing w:before="0" w:beforeAutospacing="0" w:after="0"/>
              <w:ind w:left="0" w:leftChars="0"/>
              <w:jc w:val="center"/>
              <w:rPr>
                <w:rFonts w:hint="eastAsia"/>
              </w:rPr>
            </w:pPr>
            <w:r>
              <w:rPr>
                <w:rFonts w:hint="eastAsia"/>
                <w:lang w:val="en-US" w:eastAsia="zh-CN"/>
              </w:rPr>
              <w:t>每个视频同时提供中文、英语、俄语、西班牙语配音版本</w:t>
            </w:r>
          </w:p>
        </w:tc>
        <w:tc>
          <w:tcPr>
            <w:tcW w:w="1805" w:type="dxa"/>
            <w:shd w:val="clear" w:color="auto" w:fill="auto"/>
            <w:tcMar>
              <w:top w:w="120" w:type="dxa"/>
              <w:left w:w="120" w:type="dxa"/>
              <w:bottom w:w="120" w:type="dxa"/>
              <w:right w:w="120" w:type="dxa"/>
            </w:tcMar>
            <w:vAlign w:val="center"/>
          </w:tcPr>
          <w:p w14:paraId="2D04DC63">
            <w:pPr>
              <w:pStyle w:val="19"/>
              <w:numPr>
                <w:ilvl w:val="0"/>
                <w:numId w:val="0"/>
              </w:numPr>
              <w:spacing w:before="0" w:beforeAutospacing="0" w:after="0"/>
              <w:ind w:left="0" w:leftChars="0"/>
              <w:jc w:val="center"/>
              <w:rPr>
                <w:rFonts w:hint="eastAsia"/>
              </w:rPr>
            </w:pPr>
            <w:r>
              <w:rPr>
                <w:rFonts w:hint="eastAsia"/>
                <w:lang w:val="en-US" w:eastAsia="zh-CN"/>
              </w:rPr>
              <w:t>检查交付文件完整性</w:t>
            </w:r>
          </w:p>
        </w:tc>
      </w:tr>
      <w:tr w14:paraId="27E6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1173" w:type="dxa"/>
            <w:shd w:val="clear" w:color="auto" w:fill="auto"/>
            <w:tcMar>
              <w:top w:w="120" w:type="dxa"/>
              <w:left w:w="120" w:type="dxa"/>
              <w:bottom w:w="120" w:type="dxa"/>
              <w:right w:w="120" w:type="dxa"/>
            </w:tcMar>
            <w:vAlign w:val="center"/>
          </w:tcPr>
          <w:p w14:paraId="23FC0DB3">
            <w:pPr>
              <w:pStyle w:val="19"/>
              <w:numPr>
                <w:ilvl w:val="0"/>
                <w:numId w:val="0"/>
              </w:numPr>
              <w:spacing w:before="0" w:beforeAutospacing="0" w:after="0"/>
              <w:ind w:left="0" w:leftChars="0"/>
              <w:jc w:val="center"/>
              <w:rPr>
                <w:rFonts w:hint="eastAsia"/>
              </w:rPr>
            </w:pPr>
            <w:r>
              <w:rPr>
                <w:rFonts w:hint="eastAsia"/>
                <w:lang w:val="en-US" w:eastAsia="zh-CN"/>
              </w:rPr>
              <w:t>成片质量标准</w:t>
            </w:r>
          </w:p>
        </w:tc>
        <w:tc>
          <w:tcPr>
            <w:tcW w:w="1718" w:type="dxa"/>
            <w:shd w:val="clear" w:color="auto" w:fill="auto"/>
            <w:tcMar>
              <w:top w:w="120" w:type="dxa"/>
              <w:left w:w="120" w:type="dxa"/>
              <w:bottom w:w="120" w:type="dxa"/>
              <w:right w:w="120" w:type="dxa"/>
            </w:tcMar>
            <w:vAlign w:val="center"/>
          </w:tcPr>
          <w:p w14:paraId="394E0CB8">
            <w:pPr>
              <w:pStyle w:val="19"/>
              <w:numPr>
                <w:ilvl w:val="0"/>
                <w:numId w:val="0"/>
              </w:numPr>
              <w:spacing w:before="0" w:beforeAutospacing="0" w:after="0"/>
              <w:ind w:left="0" w:leftChars="0"/>
              <w:jc w:val="center"/>
              <w:rPr>
                <w:rFonts w:hint="eastAsia"/>
              </w:rPr>
            </w:pPr>
            <w:r>
              <w:rPr>
                <w:rFonts w:hint="eastAsia"/>
                <w:lang w:val="en-US" w:eastAsia="zh-CN"/>
              </w:rPr>
              <w:t>画面与叙事</w:t>
            </w:r>
          </w:p>
        </w:tc>
        <w:tc>
          <w:tcPr>
            <w:tcW w:w="5490" w:type="dxa"/>
            <w:shd w:val="clear" w:color="auto" w:fill="auto"/>
            <w:tcMar>
              <w:top w:w="120" w:type="dxa"/>
              <w:left w:w="120" w:type="dxa"/>
              <w:bottom w:w="120" w:type="dxa"/>
              <w:right w:w="120" w:type="dxa"/>
            </w:tcMar>
            <w:vAlign w:val="center"/>
          </w:tcPr>
          <w:p w14:paraId="0385DE7E">
            <w:pPr>
              <w:pStyle w:val="19"/>
              <w:numPr>
                <w:ilvl w:val="0"/>
                <w:numId w:val="0"/>
              </w:numPr>
              <w:spacing w:before="0" w:beforeAutospacing="0" w:after="0"/>
              <w:ind w:left="0" w:leftChars="0"/>
              <w:jc w:val="center"/>
              <w:rPr>
                <w:rFonts w:hint="eastAsia"/>
              </w:rPr>
            </w:pPr>
            <w:r>
              <w:rPr>
                <w:rFonts w:hint="eastAsia"/>
                <w:lang w:val="en-US" w:eastAsia="zh-CN"/>
              </w:rPr>
              <w:t>画面具备电影级质感，HDR 及色彩层次丰富；叙事逻辑严密，情绪递进流畅</w:t>
            </w:r>
          </w:p>
        </w:tc>
        <w:tc>
          <w:tcPr>
            <w:tcW w:w="1805" w:type="dxa"/>
            <w:shd w:val="clear" w:color="auto" w:fill="auto"/>
            <w:tcMar>
              <w:top w:w="120" w:type="dxa"/>
              <w:left w:w="120" w:type="dxa"/>
              <w:bottom w:w="120" w:type="dxa"/>
              <w:right w:w="120" w:type="dxa"/>
            </w:tcMar>
            <w:vAlign w:val="center"/>
          </w:tcPr>
          <w:p w14:paraId="4C256D61">
            <w:pPr>
              <w:pStyle w:val="19"/>
              <w:numPr>
                <w:ilvl w:val="0"/>
                <w:numId w:val="0"/>
              </w:numPr>
              <w:spacing w:before="0" w:beforeAutospacing="0" w:after="0"/>
              <w:ind w:left="0" w:leftChars="0"/>
              <w:jc w:val="center"/>
              <w:rPr>
                <w:rFonts w:hint="eastAsia"/>
              </w:rPr>
            </w:pPr>
            <w:r>
              <w:rPr>
                <w:rFonts w:hint="eastAsia"/>
                <w:lang w:val="en-US" w:eastAsia="zh-CN"/>
              </w:rPr>
              <w:t>甲方验收</w:t>
            </w:r>
          </w:p>
        </w:tc>
      </w:tr>
      <w:tr w14:paraId="5FAF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1173" w:type="dxa"/>
            <w:shd w:val="clear" w:color="auto" w:fill="auto"/>
            <w:tcMar>
              <w:top w:w="120" w:type="dxa"/>
              <w:left w:w="120" w:type="dxa"/>
              <w:bottom w:w="120" w:type="dxa"/>
              <w:right w:w="120" w:type="dxa"/>
            </w:tcMar>
            <w:vAlign w:val="center"/>
          </w:tcPr>
          <w:p w14:paraId="182D82E6">
            <w:pPr>
              <w:pStyle w:val="19"/>
              <w:numPr>
                <w:ilvl w:val="0"/>
                <w:numId w:val="0"/>
              </w:numPr>
              <w:spacing w:before="0" w:beforeAutospacing="0" w:after="0"/>
              <w:ind w:left="0" w:leftChars="0"/>
              <w:jc w:val="center"/>
              <w:rPr>
                <w:rFonts w:hint="eastAsia"/>
              </w:rPr>
            </w:pPr>
          </w:p>
        </w:tc>
        <w:tc>
          <w:tcPr>
            <w:tcW w:w="1718" w:type="dxa"/>
            <w:shd w:val="clear" w:color="auto" w:fill="auto"/>
            <w:tcMar>
              <w:top w:w="120" w:type="dxa"/>
              <w:left w:w="120" w:type="dxa"/>
              <w:bottom w:w="120" w:type="dxa"/>
              <w:right w:w="120" w:type="dxa"/>
            </w:tcMar>
            <w:vAlign w:val="center"/>
          </w:tcPr>
          <w:p w14:paraId="3F6326A8">
            <w:pPr>
              <w:pStyle w:val="19"/>
              <w:numPr>
                <w:ilvl w:val="0"/>
                <w:numId w:val="0"/>
              </w:numPr>
              <w:spacing w:before="0" w:beforeAutospacing="0" w:after="0"/>
              <w:ind w:left="0" w:leftChars="0"/>
              <w:jc w:val="center"/>
              <w:rPr>
                <w:rFonts w:hint="eastAsia"/>
              </w:rPr>
            </w:pPr>
            <w:r>
              <w:rPr>
                <w:rFonts w:hint="eastAsia"/>
                <w:lang w:val="en-US" w:eastAsia="zh-CN"/>
              </w:rPr>
              <w:t>音频与音效</w:t>
            </w:r>
          </w:p>
        </w:tc>
        <w:tc>
          <w:tcPr>
            <w:tcW w:w="5490" w:type="dxa"/>
            <w:shd w:val="clear" w:color="auto" w:fill="auto"/>
            <w:tcMar>
              <w:top w:w="120" w:type="dxa"/>
              <w:left w:w="120" w:type="dxa"/>
              <w:bottom w:w="120" w:type="dxa"/>
              <w:right w:w="120" w:type="dxa"/>
            </w:tcMar>
            <w:vAlign w:val="center"/>
          </w:tcPr>
          <w:p w14:paraId="4B187B36">
            <w:pPr>
              <w:pStyle w:val="19"/>
              <w:numPr>
                <w:ilvl w:val="0"/>
                <w:numId w:val="0"/>
              </w:numPr>
              <w:spacing w:before="0" w:beforeAutospacing="0" w:after="0"/>
              <w:ind w:left="0" w:leftChars="0"/>
              <w:jc w:val="center"/>
              <w:rPr>
                <w:rFonts w:hint="eastAsia"/>
              </w:rPr>
            </w:pPr>
            <w:r>
              <w:rPr>
                <w:rFonts w:hint="eastAsia"/>
                <w:lang w:val="en-US" w:eastAsia="zh-CN"/>
              </w:rPr>
              <w:t>专业录音棚录制，多轨声音融合自然</w:t>
            </w:r>
          </w:p>
        </w:tc>
        <w:tc>
          <w:tcPr>
            <w:tcW w:w="1805" w:type="dxa"/>
            <w:shd w:val="clear" w:color="auto" w:fill="auto"/>
            <w:tcMar>
              <w:top w:w="120" w:type="dxa"/>
              <w:left w:w="120" w:type="dxa"/>
              <w:bottom w:w="120" w:type="dxa"/>
              <w:right w:w="120" w:type="dxa"/>
            </w:tcMar>
            <w:vAlign w:val="center"/>
          </w:tcPr>
          <w:p w14:paraId="36BEF701">
            <w:pPr>
              <w:pStyle w:val="19"/>
              <w:numPr>
                <w:ilvl w:val="0"/>
                <w:numId w:val="0"/>
              </w:numPr>
              <w:spacing w:before="0" w:beforeAutospacing="0" w:after="0"/>
              <w:ind w:left="0" w:leftChars="0"/>
              <w:jc w:val="center"/>
              <w:rPr>
                <w:rFonts w:hint="eastAsia"/>
              </w:rPr>
            </w:pPr>
            <w:r>
              <w:rPr>
                <w:rFonts w:hint="eastAsia"/>
                <w:lang w:val="en-US" w:eastAsia="zh-CN"/>
              </w:rPr>
              <w:t>专业音响设备试听</w:t>
            </w:r>
          </w:p>
        </w:tc>
      </w:tr>
      <w:tr w14:paraId="3D42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1173" w:type="dxa"/>
            <w:shd w:val="clear" w:color="auto" w:fill="auto"/>
            <w:tcMar>
              <w:top w:w="120" w:type="dxa"/>
              <w:left w:w="120" w:type="dxa"/>
              <w:bottom w:w="120" w:type="dxa"/>
              <w:right w:w="120" w:type="dxa"/>
            </w:tcMar>
            <w:vAlign w:val="center"/>
          </w:tcPr>
          <w:p w14:paraId="3794532C">
            <w:pPr>
              <w:pStyle w:val="19"/>
              <w:numPr>
                <w:ilvl w:val="0"/>
                <w:numId w:val="0"/>
              </w:numPr>
              <w:spacing w:before="0" w:beforeAutospacing="0" w:after="0"/>
              <w:ind w:left="0" w:leftChars="0"/>
              <w:jc w:val="center"/>
              <w:rPr>
                <w:rFonts w:hint="eastAsia"/>
              </w:rPr>
            </w:pPr>
            <w:r>
              <w:rPr>
                <w:rFonts w:hint="eastAsia"/>
                <w:lang w:val="en-US" w:eastAsia="zh-CN"/>
              </w:rPr>
              <w:t>核心设备验收</w:t>
            </w:r>
          </w:p>
        </w:tc>
        <w:tc>
          <w:tcPr>
            <w:tcW w:w="1718" w:type="dxa"/>
            <w:shd w:val="clear" w:color="auto" w:fill="auto"/>
            <w:tcMar>
              <w:top w:w="120" w:type="dxa"/>
              <w:left w:w="120" w:type="dxa"/>
              <w:bottom w:w="120" w:type="dxa"/>
              <w:right w:w="120" w:type="dxa"/>
            </w:tcMar>
            <w:vAlign w:val="center"/>
          </w:tcPr>
          <w:p w14:paraId="5B15286A">
            <w:pPr>
              <w:pStyle w:val="19"/>
              <w:numPr>
                <w:ilvl w:val="0"/>
                <w:numId w:val="0"/>
              </w:numPr>
              <w:spacing w:before="0" w:beforeAutospacing="0" w:after="0"/>
              <w:ind w:left="0" w:leftChars="0"/>
              <w:jc w:val="center"/>
              <w:rPr>
                <w:rFonts w:hint="eastAsia"/>
              </w:rPr>
            </w:pPr>
            <w:r>
              <w:rPr>
                <w:rFonts w:hint="eastAsia"/>
                <w:lang w:val="en-US" w:eastAsia="zh-CN"/>
              </w:rPr>
              <w:t>摄影、灯光及后期设备</w:t>
            </w:r>
          </w:p>
        </w:tc>
        <w:tc>
          <w:tcPr>
            <w:tcW w:w="5490" w:type="dxa"/>
            <w:shd w:val="clear" w:color="auto" w:fill="auto"/>
            <w:tcMar>
              <w:top w:w="120" w:type="dxa"/>
              <w:left w:w="120" w:type="dxa"/>
              <w:bottom w:w="120" w:type="dxa"/>
              <w:right w:w="120" w:type="dxa"/>
            </w:tcMar>
            <w:vAlign w:val="center"/>
          </w:tcPr>
          <w:p w14:paraId="6448D980">
            <w:pPr>
              <w:pStyle w:val="19"/>
              <w:numPr>
                <w:ilvl w:val="0"/>
                <w:numId w:val="0"/>
              </w:numPr>
              <w:spacing w:before="0" w:beforeAutospacing="0" w:after="0"/>
              <w:ind w:left="0" w:leftChars="0"/>
              <w:jc w:val="center"/>
              <w:rPr>
                <w:rFonts w:hint="eastAsia"/>
              </w:rPr>
            </w:pPr>
            <w:r>
              <w:rPr>
                <w:rFonts w:hint="eastAsia"/>
                <w:lang w:val="en-US" w:eastAsia="zh-CN"/>
              </w:rPr>
              <w:t>按采购需求提供符合广播级及以上标准的摄影摄像设备、专业灯光照明系统及后期制作软硬件系统</w:t>
            </w:r>
          </w:p>
        </w:tc>
        <w:tc>
          <w:tcPr>
            <w:tcW w:w="1805" w:type="dxa"/>
            <w:shd w:val="clear" w:color="auto" w:fill="auto"/>
            <w:tcMar>
              <w:top w:w="120" w:type="dxa"/>
              <w:left w:w="120" w:type="dxa"/>
              <w:bottom w:w="120" w:type="dxa"/>
              <w:right w:w="120" w:type="dxa"/>
            </w:tcMar>
            <w:vAlign w:val="center"/>
          </w:tcPr>
          <w:p w14:paraId="0DCDE745">
            <w:pPr>
              <w:pStyle w:val="19"/>
              <w:numPr>
                <w:ilvl w:val="0"/>
                <w:numId w:val="0"/>
              </w:numPr>
              <w:spacing w:before="0" w:beforeAutospacing="0" w:after="0"/>
              <w:ind w:left="0" w:leftChars="0"/>
              <w:jc w:val="center"/>
              <w:rPr>
                <w:rFonts w:hint="eastAsia"/>
              </w:rPr>
            </w:pPr>
            <w:r>
              <w:rPr>
                <w:rFonts w:hint="eastAsia"/>
                <w:lang w:val="en-US" w:eastAsia="zh-CN"/>
              </w:rPr>
              <w:t>现场清点设备型号并拍照留存</w:t>
            </w:r>
          </w:p>
        </w:tc>
      </w:tr>
    </w:tbl>
    <w:p w14:paraId="092109D0">
      <w:pPr>
        <w:pStyle w:val="19"/>
        <w:numPr>
          <w:ilvl w:val="0"/>
          <w:numId w:val="0"/>
        </w:numPr>
        <w:rPr>
          <w:rFonts w:hint="eastAsia"/>
          <w:lang w:val="en-US" w:eastAsia="zh-CN"/>
        </w:rPr>
      </w:pPr>
    </w:p>
    <w:p w14:paraId="5587EFDB">
      <w:pPr>
        <w:pStyle w:val="19"/>
        <w:numPr>
          <w:ilvl w:val="0"/>
          <w:numId w:val="0"/>
        </w:numPr>
        <w:rPr>
          <w:rFonts w:hint="eastAsia"/>
          <w:lang w:val="en-US" w:eastAsia="zh-CN"/>
        </w:rPr>
      </w:pPr>
      <w:r>
        <w:rPr>
          <w:rFonts w:hint="eastAsia"/>
          <w:lang w:val="en-US" w:eastAsia="zh-CN"/>
        </w:rPr>
        <w:t>二、形象IP设计及配套PPT验收标准</w:t>
      </w:r>
    </w:p>
    <w:tbl>
      <w:tblPr>
        <w:tblStyle w:val="20"/>
        <w:tblW w:w="10200" w:type="dxa"/>
        <w:tblInd w:w="-57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418"/>
        <w:gridCol w:w="1691"/>
        <w:gridCol w:w="4900"/>
        <w:gridCol w:w="2191"/>
      </w:tblGrid>
      <w:tr w14:paraId="0BE64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07" w:hRule="atLeast"/>
          <w:tblHeader/>
        </w:trPr>
        <w:tc>
          <w:tcPr>
            <w:tcW w:w="14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C7E84AD">
            <w:pPr>
              <w:pStyle w:val="19"/>
              <w:numPr>
                <w:ilvl w:val="0"/>
                <w:numId w:val="0"/>
              </w:numPr>
              <w:spacing w:before="0" w:beforeAutospacing="0" w:after="0"/>
              <w:ind w:left="0" w:leftChars="0"/>
              <w:jc w:val="center"/>
              <w:rPr>
                <w:rFonts w:hint="eastAsia"/>
                <w:b/>
                <w:bCs/>
                <w:sz w:val="22"/>
                <w:szCs w:val="22"/>
                <w:lang w:val="en-US" w:eastAsia="zh-CN"/>
              </w:rPr>
            </w:pPr>
            <w:r>
              <w:rPr>
                <w:rFonts w:hint="eastAsia"/>
                <w:b/>
                <w:bCs/>
                <w:sz w:val="22"/>
                <w:szCs w:val="22"/>
                <w:lang w:val="en-US" w:eastAsia="zh-CN"/>
              </w:rPr>
              <w:t>验收维度</w:t>
            </w:r>
          </w:p>
        </w:tc>
        <w:tc>
          <w:tcPr>
            <w:tcW w:w="1691"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061A286">
            <w:pPr>
              <w:pStyle w:val="19"/>
              <w:numPr>
                <w:ilvl w:val="0"/>
                <w:numId w:val="0"/>
              </w:numPr>
              <w:spacing w:before="0" w:beforeAutospacing="0" w:after="0"/>
              <w:ind w:left="0" w:leftChars="0"/>
              <w:jc w:val="center"/>
              <w:rPr>
                <w:rFonts w:hint="eastAsia"/>
                <w:b/>
                <w:bCs/>
                <w:sz w:val="22"/>
                <w:szCs w:val="22"/>
                <w:lang w:val="en-US" w:eastAsia="zh-CN"/>
              </w:rPr>
            </w:pPr>
            <w:r>
              <w:rPr>
                <w:rFonts w:hint="eastAsia"/>
                <w:b/>
                <w:bCs/>
                <w:sz w:val="22"/>
                <w:szCs w:val="22"/>
                <w:lang w:val="en-US" w:eastAsia="zh-CN"/>
              </w:rPr>
              <w:t>具体考核指标</w:t>
            </w:r>
          </w:p>
        </w:tc>
        <w:tc>
          <w:tcPr>
            <w:tcW w:w="49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2EB138E">
            <w:pPr>
              <w:pStyle w:val="19"/>
              <w:numPr>
                <w:ilvl w:val="0"/>
                <w:numId w:val="0"/>
              </w:numPr>
              <w:spacing w:before="0" w:beforeAutospacing="0" w:after="0"/>
              <w:ind w:left="0" w:leftChars="0"/>
              <w:jc w:val="center"/>
              <w:rPr>
                <w:rFonts w:hint="eastAsia"/>
                <w:b/>
                <w:bCs/>
                <w:sz w:val="22"/>
                <w:szCs w:val="22"/>
                <w:lang w:val="en-US" w:eastAsia="zh-CN"/>
              </w:rPr>
            </w:pPr>
            <w:r>
              <w:rPr>
                <w:rFonts w:hint="eastAsia"/>
                <w:b/>
                <w:bCs/>
                <w:sz w:val="22"/>
                <w:szCs w:val="22"/>
                <w:lang w:val="en-US" w:eastAsia="zh-CN"/>
              </w:rPr>
              <w:t>验收标准及要求</w:t>
            </w:r>
          </w:p>
        </w:tc>
        <w:tc>
          <w:tcPr>
            <w:tcW w:w="2191"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CD170E0">
            <w:pPr>
              <w:pStyle w:val="19"/>
              <w:numPr>
                <w:ilvl w:val="0"/>
                <w:numId w:val="0"/>
              </w:numPr>
              <w:spacing w:before="0" w:beforeAutospacing="0" w:after="0"/>
              <w:ind w:left="0" w:leftChars="0"/>
              <w:jc w:val="center"/>
              <w:rPr>
                <w:rFonts w:hint="eastAsia"/>
                <w:b/>
                <w:bCs/>
                <w:sz w:val="22"/>
                <w:szCs w:val="22"/>
                <w:lang w:val="en-US" w:eastAsia="zh-CN"/>
              </w:rPr>
            </w:pPr>
            <w:r>
              <w:rPr>
                <w:rFonts w:hint="eastAsia"/>
                <w:b/>
                <w:bCs/>
                <w:sz w:val="22"/>
                <w:szCs w:val="22"/>
                <w:lang w:val="en-US" w:eastAsia="zh-CN"/>
              </w:rPr>
              <w:t>验收方式</w:t>
            </w:r>
          </w:p>
        </w:tc>
      </w:tr>
      <w:tr w14:paraId="4CCBF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112" w:hRule="atLeast"/>
        </w:trPr>
        <w:tc>
          <w:tcPr>
            <w:tcW w:w="14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5BCF55B">
            <w:pPr>
              <w:pStyle w:val="19"/>
              <w:numPr>
                <w:ilvl w:val="0"/>
                <w:numId w:val="0"/>
              </w:numPr>
              <w:spacing w:before="0" w:beforeAutospacing="0" w:after="0"/>
              <w:ind w:left="0" w:leftChars="0"/>
              <w:jc w:val="center"/>
              <w:rPr>
                <w:rFonts w:hint="eastAsia"/>
                <w:lang w:val="en-US" w:eastAsia="zh-CN"/>
              </w:rPr>
            </w:pPr>
            <w:r>
              <w:rPr>
                <w:rFonts w:hint="eastAsia"/>
                <w:lang w:val="en-US" w:eastAsia="zh-CN"/>
              </w:rPr>
              <w:t>形象 IP 设计</w:t>
            </w:r>
          </w:p>
        </w:tc>
        <w:tc>
          <w:tcPr>
            <w:tcW w:w="1691"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6769C03">
            <w:pPr>
              <w:pStyle w:val="19"/>
              <w:numPr>
                <w:ilvl w:val="0"/>
                <w:numId w:val="0"/>
              </w:numPr>
              <w:spacing w:before="0" w:beforeAutospacing="0" w:after="0"/>
              <w:ind w:left="0" w:leftChars="0"/>
              <w:jc w:val="center"/>
              <w:rPr>
                <w:rFonts w:hint="eastAsia"/>
                <w:lang w:val="en-US" w:eastAsia="zh-CN"/>
              </w:rPr>
            </w:pPr>
            <w:r>
              <w:rPr>
                <w:rFonts w:hint="eastAsia"/>
                <w:lang w:val="en-US" w:eastAsia="zh-CN"/>
              </w:rPr>
              <w:t>原创性与辨识度</w:t>
            </w:r>
          </w:p>
        </w:tc>
        <w:tc>
          <w:tcPr>
            <w:tcW w:w="49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F46AC7C">
            <w:pPr>
              <w:pStyle w:val="19"/>
              <w:numPr>
                <w:ilvl w:val="0"/>
                <w:numId w:val="0"/>
              </w:numPr>
              <w:spacing w:before="0" w:beforeAutospacing="0" w:after="0"/>
              <w:ind w:left="0" w:leftChars="0"/>
              <w:jc w:val="center"/>
              <w:rPr>
                <w:rFonts w:hint="eastAsia"/>
                <w:lang w:val="en-US" w:eastAsia="zh-CN"/>
              </w:rPr>
            </w:pPr>
            <w:r>
              <w:rPr>
                <w:rFonts w:hint="eastAsia"/>
                <w:lang w:val="en-US" w:eastAsia="zh-CN"/>
              </w:rPr>
              <w:t>IP 形象为量身定制，具备高辨识度，契合国际学院 “国际化、青春、活力” 的品牌调性，无版权争议</w:t>
            </w:r>
          </w:p>
        </w:tc>
        <w:tc>
          <w:tcPr>
            <w:tcW w:w="2191"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8FF94B">
            <w:pPr>
              <w:pStyle w:val="19"/>
              <w:numPr>
                <w:ilvl w:val="0"/>
                <w:numId w:val="0"/>
              </w:numPr>
              <w:spacing w:before="0" w:beforeAutospacing="0" w:after="0"/>
              <w:ind w:left="0" w:leftChars="0"/>
              <w:jc w:val="center"/>
              <w:rPr>
                <w:rFonts w:hint="eastAsia"/>
                <w:lang w:val="en-US" w:eastAsia="zh-CN"/>
              </w:rPr>
            </w:pPr>
            <w:r>
              <w:rPr>
                <w:rFonts w:hint="eastAsia"/>
                <w:lang w:val="en-US" w:eastAsia="zh-CN"/>
              </w:rPr>
              <w:t>甲方审核设计方案</w:t>
            </w:r>
          </w:p>
        </w:tc>
      </w:tr>
      <w:tr w14:paraId="3BF6C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09" w:hRule="atLeast"/>
        </w:trPr>
        <w:tc>
          <w:tcPr>
            <w:tcW w:w="14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8D04975">
            <w:pPr>
              <w:pStyle w:val="19"/>
              <w:numPr>
                <w:ilvl w:val="0"/>
                <w:numId w:val="0"/>
              </w:numPr>
              <w:spacing w:before="0" w:beforeAutospacing="0" w:after="0"/>
              <w:ind w:left="0" w:leftChars="0"/>
              <w:jc w:val="center"/>
              <w:rPr>
                <w:rFonts w:hint="eastAsia"/>
                <w:lang w:val="en-US" w:eastAsia="zh-CN"/>
              </w:rPr>
            </w:pPr>
          </w:p>
        </w:tc>
        <w:tc>
          <w:tcPr>
            <w:tcW w:w="1691"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252A3C7">
            <w:pPr>
              <w:pStyle w:val="19"/>
              <w:numPr>
                <w:ilvl w:val="0"/>
                <w:numId w:val="0"/>
              </w:numPr>
              <w:spacing w:before="0" w:beforeAutospacing="0" w:after="0"/>
              <w:ind w:left="0" w:leftChars="0"/>
              <w:jc w:val="center"/>
              <w:rPr>
                <w:rFonts w:hint="eastAsia"/>
                <w:lang w:val="en-US" w:eastAsia="zh-CN"/>
              </w:rPr>
            </w:pPr>
            <w:r>
              <w:rPr>
                <w:rFonts w:hint="eastAsia"/>
                <w:lang w:val="en-US" w:eastAsia="zh-CN"/>
              </w:rPr>
              <w:t>延展应用规范</w:t>
            </w:r>
          </w:p>
        </w:tc>
        <w:tc>
          <w:tcPr>
            <w:tcW w:w="49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1E1F2B">
            <w:pPr>
              <w:pStyle w:val="19"/>
              <w:numPr>
                <w:ilvl w:val="0"/>
                <w:numId w:val="0"/>
              </w:numPr>
              <w:spacing w:before="0" w:beforeAutospacing="0" w:after="0"/>
              <w:ind w:left="0" w:leftChars="0"/>
              <w:jc w:val="center"/>
              <w:rPr>
                <w:rFonts w:hint="eastAsia"/>
                <w:lang w:val="en-US" w:eastAsia="zh-CN"/>
              </w:rPr>
            </w:pPr>
            <w:r>
              <w:rPr>
                <w:rFonts w:hint="eastAsia"/>
                <w:lang w:val="en-US" w:eastAsia="zh-CN"/>
              </w:rPr>
              <w:t>提供完整的 IP 延展应用规范（包含三视图、色彩规范、应用场景示例等），保障后续宣传物料视觉统一性</w:t>
            </w:r>
          </w:p>
        </w:tc>
        <w:tc>
          <w:tcPr>
            <w:tcW w:w="2191"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5892C1D">
            <w:pPr>
              <w:pStyle w:val="19"/>
              <w:numPr>
                <w:ilvl w:val="0"/>
                <w:numId w:val="0"/>
              </w:numPr>
              <w:spacing w:before="0" w:beforeAutospacing="0" w:after="0"/>
              <w:ind w:left="0" w:leftChars="0"/>
              <w:jc w:val="center"/>
              <w:rPr>
                <w:rFonts w:hint="eastAsia"/>
                <w:lang w:val="en-US" w:eastAsia="zh-CN"/>
              </w:rPr>
            </w:pPr>
            <w:r>
              <w:rPr>
                <w:rFonts w:hint="eastAsia"/>
                <w:lang w:val="en-US" w:eastAsia="zh-CN"/>
              </w:rPr>
              <w:t>审核 IP 规范手册</w:t>
            </w:r>
          </w:p>
        </w:tc>
      </w:tr>
      <w:tr w14:paraId="380C5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195" w:hRule="atLeast"/>
        </w:trPr>
        <w:tc>
          <w:tcPr>
            <w:tcW w:w="14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4D37B32">
            <w:pPr>
              <w:pStyle w:val="19"/>
              <w:numPr>
                <w:ilvl w:val="0"/>
                <w:numId w:val="0"/>
              </w:numPr>
              <w:spacing w:before="0" w:beforeAutospacing="0" w:after="0"/>
              <w:ind w:left="0" w:leftChars="0"/>
              <w:jc w:val="center"/>
              <w:rPr>
                <w:rFonts w:hint="eastAsia"/>
                <w:lang w:val="en-US" w:eastAsia="zh-CN"/>
              </w:rPr>
            </w:pPr>
            <w:r>
              <w:rPr>
                <w:rFonts w:hint="eastAsia"/>
                <w:lang w:val="en-US" w:eastAsia="zh-CN"/>
              </w:rPr>
              <w:t>汇报 PPT 设计</w:t>
            </w:r>
          </w:p>
        </w:tc>
        <w:tc>
          <w:tcPr>
            <w:tcW w:w="1691"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0479063">
            <w:pPr>
              <w:pStyle w:val="19"/>
              <w:numPr>
                <w:ilvl w:val="0"/>
                <w:numId w:val="0"/>
              </w:numPr>
              <w:spacing w:before="0" w:beforeAutospacing="0" w:after="0"/>
              <w:ind w:left="0" w:leftChars="0"/>
              <w:jc w:val="center"/>
              <w:rPr>
                <w:rFonts w:hint="eastAsia"/>
                <w:lang w:val="en-US" w:eastAsia="zh-CN"/>
              </w:rPr>
            </w:pPr>
            <w:r>
              <w:rPr>
                <w:rFonts w:hint="eastAsia"/>
                <w:lang w:val="en-US" w:eastAsia="zh-CN"/>
              </w:rPr>
              <w:t>视觉排版与美化</w:t>
            </w:r>
          </w:p>
        </w:tc>
        <w:tc>
          <w:tcPr>
            <w:tcW w:w="49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963C832">
            <w:pPr>
              <w:pStyle w:val="19"/>
              <w:numPr>
                <w:ilvl w:val="0"/>
                <w:numId w:val="0"/>
              </w:numPr>
              <w:spacing w:before="0" w:beforeAutospacing="0" w:after="0"/>
              <w:ind w:left="0" w:leftChars="0"/>
              <w:jc w:val="center"/>
              <w:rPr>
                <w:rFonts w:hint="eastAsia"/>
                <w:lang w:val="en-US" w:eastAsia="zh-CN"/>
              </w:rPr>
            </w:pPr>
            <w:r>
              <w:rPr>
                <w:rFonts w:hint="eastAsia"/>
                <w:lang w:val="en-US" w:eastAsia="zh-CN"/>
              </w:rPr>
              <w:t>基于主视频核心内容与数据，版式规格高、图表美化专业，符合政务展示及领导调研汇报场景需求</w:t>
            </w:r>
          </w:p>
        </w:tc>
        <w:tc>
          <w:tcPr>
            <w:tcW w:w="2191"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737E402">
            <w:pPr>
              <w:pStyle w:val="19"/>
              <w:numPr>
                <w:ilvl w:val="0"/>
                <w:numId w:val="0"/>
              </w:numPr>
              <w:spacing w:before="0" w:beforeAutospacing="0" w:after="0"/>
              <w:ind w:left="0" w:leftChars="0"/>
              <w:jc w:val="center"/>
              <w:rPr>
                <w:rFonts w:hint="eastAsia"/>
                <w:lang w:val="en-US" w:eastAsia="zh-CN"/>
              </w:rPr>
            </w:pPr>
            <w:r>
              <w:rPr>
                <w:rFonts w:hint="eastAsia"/>
                <w:lang w:val="en-US" w:eastAsia="zh-CN"/>
              </w:rPr>
              <w:t>甲方审核 PPT 成品</w:t>
            </w:r>
          </w:p>
        </w:tc>
      </w:tr>
      <w:tr w14:paraId="06502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084" w:hRule="atLeast"/>
        </w:trPr>
        <w:tc>
          <w:tcPr>
            <w:tcW w:w="14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7AF2F38">
            <w:pPr>
              <w:pStyle w:val="19"/>
              <w:numPr>
                <w:ilvl w:val="0"/>
                <w:numId w:val="0"/>
              </w:numPr>
              <w:spacing w:before="0" w:beforeAutospacing="0" w:after="0"/>
              <w:ind w:left="0" w:leftChars="0"/>
              <w:jc w:val="center"/>
              <w:rPr>
                <w:rFonts w:hint="eastAsia"/>
                <w:lang w:val="en-US" w:eastAsia="zh-CN"/>
              </w:rPr>
            </w:pPr>
            <w:r>
              <w:rPr>
                <w:rFonts w:hint="eastAsia"/>
                <w:lang w:val="en-US" w:eastAsia="zh-CN"/>
              </w:rPr>
              <w:t>六项文创设计</w:t>
            </w:r>
          </w:p>
        </w:tc>
        <w:tc>
          <w:tcPr>
            <w:tcW w:w="1691"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C92CC6B">
            <w:pPr>
              <w:pStyle w:val="19"/>
              <w:numPr>
                <w:ilvl w:val="0"/>
                <w:numId w:val="0"/>
              </w:numPr>
              <w:spacing w:before="0" w:beforeAutospacing="0" w:after="0"/>
              <w:ind w:left="0" w:leftChars="0"/>
              <w:jc w:val="center"/>
              <w:rPr>
                <w:rFonts w:hint="eastAsia"/>
                <w:lang w:val="en-US" w:eastAsia="zh-CN"/>
              </w:rPr>
            </w:pPr>
            <w:r>
              <w:rPr>
                <w:rFonts w:hint="eastAsia"/>
                <w:lang w:val="en-US" w:eastAsia="zh-CN"/>
              </w:rPr>
              <w:t>延展应用效果</w:t>
            </w:r>
          </w:p>
        </w:tc>
        <w:tc>
          <w:tcPr>
            <w:tcW w:w="49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5511D39">
            <w:pPr>
              <w:pStyle w:val="19"/>
              <w:numPr>
                <w:ilvl w:val="0"/>
                <w:numId w:val="0"/>
              </w:numPr>
              <w:spacing w:before="0" w:beforeAutospacing="0" w:after="0"/>
              <w:ind w:left="0" w:leftChars="0"/>
              <w:jc w:val="center"/>
              <w:rPr>
                <w:rFonts w:hint="eastAsia"/>
                <w:lang w:val="en-US" w:eastAsia="zh-CN"/>
              </w:rPr>
            </w:pPr>
            <w:r>
              <w:rPr>
                <w:rFonts w:hint="eastAsia"/>
                <w:lang w:val="en-US" w:eastAsia="zh-CN"/>
              </w:rPr>
              <w:t>基于 IP 形象设计原创文创作品，美观且具备宣传作用</w:t>
            </w:r>
          </w:p>
        </w:tc>
        <w:tc>
          <w:tcPr>
            <w:tcW w:w="2191"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179AA62">
            <w:pPr>
              <w:pStyle w:val="19"/>
              <w:numPr>
                <w:ilvl w:val="0"/>
                <w:numId w:val="0"/>
              </w:numPr>
              <w:spacing w:before="0" w:beforeAutospacing="0" w:after="0"/>
              <w:ind w:left="0" w:leftChars="0"/>
              <w:jc w:val="center"/>
              <w:rPr>
                <w:rFonts w:hint="eastAsia"/>
                <w:lang w:val="en-US" w:eastAsia="zh-CN"/>
              </w:rPr>
            </w:pPr>
            <w:r>
              <w:rPr>
                <w:rFonts w:hint="eastAsia"/>
                <w:lang w:val="en-US" w:eastAsia="zh-CN"/>
              </w:rPr>
              <w:t>甲方审核设计方案</w:t>
            </w:r>
          </w:p>
        </w:tc>
      </w:tr>
      <w:tr w14:paraId="458A1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06" w:hRule="atLeast"/>
        </w:trPr>
        <w:tc>
          <w:tcPr>
            <w:tcW w:w="14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43EAA83">
            <w:pPr>
              <w:pStyle w:val="19"/>
              <w:numPr>
                <w:ilvl w:val="0"/>
                <w:numId w:val="0"/>
              </w:numPr>
              <w:spacing w:before="0" w:beforeAutospacing="0" w:after="0"/>
              <w:ind w:left="0" w:leftChars="0"/>
              <w:jc w:val="center"/>
              <w:rPr>
                <w:rFonts w:hint="eastAsia"/>
                <w:lang w:val="en-US" w:eastAsia="zh-CN"/>
              </w:rPr>
            </w:pPr>
            <w:r>
              <w:rPr>
                <w:rFonts w:hint="eastAsia"/>
                <w:lang w:val="en-US" w:eastAsia="zh-CN"/>
              </w:rPr>
              <w:t>宣传册设计</w:t>
            </w:r>
          </w:p>
        </w:tc>
        <w:tc>
          <w:tcPr>
            <w:tcW w:w="1691"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55C547C">
            <w:pPr>
              <w:pStyle w:val="19"/>
              <w:numPr>
                <w:ilvl w:val="0"/>
                <w:numId w:val="0"/>
              </w:numPr>
              <w:spacing w:before="0" w:beforeAutospacing="0" w:after="0"/>
              <w:ind w:left="0" w:leftChars="0"/>
              <w:jc w:val="center"/>
              <w:rPr>
                <w:rFonts w:hint="eastAsia"/>
                <w:lang w:val="en-US" w:eastAsia="zh-CN"/>
              </w:rPr>
            </w:pPr>
            <w:r>
              <w:rPr>
                <w:rFonts w:hint="eastAsia"/>
                <w:lang w:val="en-US" w:eastAsia="zh-CN"/>
              </w:rPr>
              <w:t>视觉排版与美化</w:t>
            </w:r>
          </w:p>
        </w:tc>
        <w:tc>
          <w:tcPr>
            <w:tcW w:w="49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B81B5C1">
            <w:pPr>
              <w:pStyle w:val="19"/>
              <w:numPr>
                <w:ilvl w:val="0"/>
                <w:numId w:val="0"/>
              </w:numPr>
              <w:spacing w:before="0" w:beforeAutospacing="0" w:after="0"/>
              <w:ind w:left="0" w:leftChars="0"/>
              <w:jc w:val="center"/>
              <w:rPr>
                <w:rFonts w:hint="eastAsia"/>
                <w:lang w:val="en-US" w:eastAsia="zh-CN"/>
              </w:rPr>
            </w:pPr>
            <w:r>
              <w:rPr>
                <w:rFonts w:hint="eastAsia"/>
                <w:lang w:val="en-US" w:eastAsia="zh-CN"/>
              </w:rPr>
              <w:t>基于主视频核心内容与数据，版式规格高、图表美化专业，适配对内对外宣传需求</w:t>
            </w:r>
          </w:p>
        </w:tc>
        <w:tc>
          <w:tcPr>
            <w:tcW w:w="2191"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F5C1C78">
            <w:pPr>
              <w:pStyle w:val="19"/>
              <w:numPr>
                <w:ilvl w:val="0"/>
                <w:numId w:val="0"/>
              </w:numPr>
              <w:spacing w:before="0" w:beforeAutospacing="0" w:after="0"/>
              <w:ind w:left="0" w:leftChars="0"/>
              <w:jc w:val="center"/>
              <w:rPr>
                <w:rFonts w:hint="eastAsia"/>
                <w:lang w:val="en-US" w:eastAsia="zh-CN"/>
              </w:rPr>
            </w:pPr>
            <w:r>
              <w:rPr>
                <w:rFonts w:hint="eastAsia"/>
                <w:lang w:val="en-US" w:eastAsia="zh-CN"/>
              </w:rPr>
              <w:t>甲方审核设计方案</w:t>
            </w:r>
          </w:p>
        </w:tc>
      </w:tr>
    </w:tbl>
    <w:p w14:paraId="5C3F0254">
      <w:pPr>
        <w:pStyle w:val="19"/>
        <w:ind w:left="0" w:leftChars="0" w:firstLine="0" w:firstLineChars="0"/>
        <w:rPr>
          <w:rFonts w:hint="eastAsia" w:ascii="Calibri" w:hAnsi="Calibri" w:eastAsia="宋体" w:cs="Times New Roman"/>
          <w:b w:val="0"/>
          <w:bCs w:val="0"/>
          <w:kern w:val="2"/>
          <w:sz w:val="21"/>
          <w:szCs w:val="21"/>
          <w:lang w:val="en-US" w:eastAsia="zh-CN" w:bidi="ar-SA"/>
        </w:rPr>
      </w:pPr>
    </w:p>
    <w:p w14:paraId="61E187F5">
      <w:pPr>
        <w:pStyle w:val="19"/>
        <w:ind w:left="0" w:leftChars="0" w:firstLine="0" w:firstLineChars="0"/>
        <w:rPr>
          <w:rFonts w:hint="eastAsia" w:ascii="Calibri" w:hAnsi="Calibri" w:eastAsia="宋体" w:cs="Times New Roman"/>
          <w:b w:val="0"/>
          <w:bCs w:val="0"/>
          <w:kern w:val="2"/>
          <w:sz w:val="21"/>
          <w:szCs w:val="21"/>
          <w:lang w:val="en-US" w:eastAsia="zh-CN" w:bidi="ar-SA"/>
        </w:rPr>
      </w:pPr>
    </w:p>
    <w:p w14:paraId="3555E09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eastAsia" w:ascii="Calibri" w:hAnsi="Calibri" w:eastAsia="宋体" w:cs="Times New Roman"/>
          <w:b w:val="0"/>
          <w:bCs w:val="0"/>
          <w:kern w:val="2"/>
          <w:sz w:val="21"/>
          <w:szCs w:val="21"/>
          <w:lang w:val="en-US" w:eastAsia="zh-CN" w:bidi="ar-SA"/>
        </w:rPr>
      </w:pPr>
      <w:r>
        <w:rPr>
          <w:rFonts w:hint="eastAsia" w:ascii="Calibri" w:hAnsi="Calibri" w:eastAsia="宋体" w:cs="Times New Roman"/>
          <w:b w:val="0"/>
          <w:bCs w:val="0"/>
          <w:kern w:val="2"/>
          <w:sz w:val="21"/>
          <w:szCs w:val="21"/>
          <w:lang w:val="en-US" w:eastAsia="zh-CN" w:bidi="ar-SA"/>
        </w:rPr>
        <w:t>三、验收流程</w:t>
      </w:r>
    </w:p>
    <w:p w14:paraId="7FEDAA2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firstLine="422" w:firstLineChars="200"/>
        <w:jc w:val="left"/>
        <w:rPr>
          <w:rFonts w:hint="eastAsia" w:ascii="Calibri" w:hAnsi="Calibri" w:eastAsia="宋体" w:cs="Times New Roman"/>
          <w:kern w:val="2"/>
          <w:sz w:val="21"/>
          <w:szCs w:val="21"/>
          <w:lang w:val="en-US" w:eastAsia="zh-CN" w:bidi="ar-SA"/>
        </w:rPr>
      </w:pPr>
      <w:r>
        <w:rPr>
          <w:rFonts w:hint="eastAsia" w:cs="Times New Roman"/>
          <w:b/>
          <w:bCs/>
          <w:kern w:val="2"/>
          <w:sz w:val="21"/>
          <w:szCs w:val="21"/>
          <w:lang w:val="en-US" w:eastAsia="zh-CN" w:bidi="ar-SA"/>
        </w:rPr>
        <w:t xml:space="preserve">1. </w:t>
      </w:r>
      <w:r>
        <w:rPr>
          <w:rFonts w:hint="eastAsia" w:ascii="Calibri" w:hAnsi="Calibri" w:eastAsia="宋体" w:cs="Times New Roman"/>
          <w:b/>
          <w:bCs/>
          <w:kern w:val="2"/>
          <w:sz w:val="21"/>
          <w:szCs w:val="21"/>
          <w:lang w:val="en-US" w:eastAsia="zh-CN" w:bidi="ar-SA"/>
        </w:rPr>
        <w:t>现场核查：</w:t>
      </w:r>
      <w:r>
        <w:rPr>
          <w:rFonts w:hint="eastAsia" w:ascii="Calibri" w:hAnsi="Calibri" w:eastAsia="宋体" w:cs="Times New Roman"/>
          <w:kern w:val="2"/>
          <w:sz w:val="21"/>
          <w:szCs w:val="21"/>
          <w:lang w:val="en-US" w:eastAsia="zh-CN" w:bidi="ar-SA"/>
        </w:rPr>
        <w:t>视频拍摄阶段，采购人指派专人对供应商剧组人员配置、核心摄影及灯光设备进行实地盘点，供应商须配合现场拍照，作为履约考核依据。</w:t>
      </w:r>
    </w:p>
    <w:p w14:paraId="5A91C17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firstLine="422" w:firstLineChars="200"/>
        <w:jc w:val="left"/>
        <w:rPr>
          <w:rFonts w:hint="eastAsia" w:ascii="Calibri" w:hAnsi="Calibri" w:eastAsia="宋体" w:cs="Times New Roman"/>
          <w:kern w:val="2"/>
          <w:sz w:val="21"/>
          <w:szCs w:val="21"/>
          <w:lang w:val="en-US" w:eastAsia="zh-CN" w:bidi="ar-SA"/>
        </w:rPr>
      </w:pPr>
      <w:r>
        <w:rPr>
          <w:rFonts w:hint="eastAsia" w:cs="Times New Roman"/>
          <w:b/>
          <w:bCs/>
          <w:kern w:val="2"/>
          <w:sz w:val="21"/>
          <w:szCs w:val="21"/>
          <w:lang w:val="en-US" w:eastAsia="zh-CN" w:bidi="ar-SA"/>
        </w:rPr>
        <w:t xml:space="preserve">2. </w:t>
      </w:r>
      <w:r>
        <w:rPr>
          <w:rFonts w:hint="eastAsia" w:ascii="Calibri" w:hAnsi="Calibri" w:eastAsia="宋体" w:cs="Times New Roman"/>
          <w:b/>
          <w:bCs/>
          <w:kern w:val="2"/>
          <w:sz w:val="21"/>
          <w:szCs w:val="21"/>
          <w:lang w:val="en-US" w:eastAsia="zh-CN" w:bidi="ar-SA"/>
        </w:rPr>
        <w:t>样片审核：</w:t>
      </w:r>
      <w:r>
        <w:rPr>
          <w:rFonts w:hint="eastAsia" w:ascii="Calibri" w:hAnsi="Calibri" w:eastAsia="宋体" w:cs="Times New Roman"/>
          <w:kern w:val="2"/>
          <w:sz w:val="21"/>
          <w:szCs w:val="21"/>
          <w:lang w:val="en-US" w:eastAsia="zh-CN" w:bidi="ar-SA"/>
        </w:rPr>
        <w:t>后期制作完成后，供应商提交样片供采购人审核；采购人提出修改意见后，供应商须在免费售后服务期内完成调整优化。</w:t>
      </w:r>
    </w:p>
    <w:p w14:paraId="7C2FCD6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firstLine="422" w:firstLineChars="200"/>
        <w:jc w:val="left"/>
        <w:rPr>
          <w:rFonts w:hint="eastAsia"/>
        </w:rPr>
      </w:pPr>
      <w:r>
        <w:rPr>
          <w:rFonts w:hint="eastAsia" w:cs="Times New Roman"/>
          <w:b/>
          <w:bCs/>
          <w:kern w:val="2"/>
          <w:sz w:val="21"/>
          <w:szCs w:val="21"/>
          <w:lang w:val="en-US" w:eastAsia="zh-CN" w:bidi="ar-SA"/>
        </w:rPr>
        <w:t xml:space="preserve">3. </w:t>
      </w:r>
      <w:r>
        <w:rPr>
          <w:rFonts w:hint="eastAsia" w:ascii="Calibri" w:hAnsi="Calibri" w:eastAsia="宋体" w:cs="Times New Roman"/>
          <w:b/>
          <w:bCs/>
          <w:kern w:val="2"/>
          <w:sz w:val="21"/>
          <w:szCs w:val="21"/>
          <w:lang w:val="en-US" w:eastAsia="zh-CN" w:bidi="ar-SA"/>
        </w:rPr>
        <w:t>最终验收：</w:t>
      </w:r>
      <w:r>
        <w:rPr>
          <w:rFonts w:hint="eastAsia" w:ascii="Calibri" w:hAnsi="Calibri" w:eastAsia="宋体" w:cs="Times New Roman"/>
          <w:kern w:val="2"/>
          <w:sz w:val="21"/>
          <w:szCs w:val="21"/>
          <w:lang w:val="en-US" w:eastAsia="zh-CN" w:bidi="ar-SA"/>
        </w:rPr>
        <w:t>所有视频成片、IP 设计规范、PPT 成品、文创及宣传册设计均达到上述标准，经采购人最终确认无误后，双方签署《项目验收合格单》，作为款项支付凭证。</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44"/>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本项目招标上限价</w:t>
      </w:r>
      <w:r>
        <w:rPr>
          <w:rFonts w:hint="eastAsia" w:ascii="仿宋" w:hAnsi="仿宋" w:eastAsia="仿宋" w:cs="仿宋"/>
          <w:color w:val="333333"/>
          <w:kern w:val="0"/>
          <w:sz w:val="24"/>
          <w:szCs w:val="24"/>
          <w:u w:val="none"/>
        </w:rPr>
        <w:t>为</w:t>
      </w:r>
      <w:r>
        <w:rPr>
          <w:rFonts w:hint="eastAsia" w:ascii="仿宋" w:hAnsi="仿宋" w:eastAsia="仿宋" w:cs="仿宋"/>
          <w:color w:val="333333"/>
          <w:kern w:val="0"/>
          <w:sz w:val="24"/>
          <w:szCs w:val="24"/>
          <w:u w:val="none"/>
          <w:lang w:val="en-US" w:eastAsia="zh-CN"/>
        </w:rPr>
        <w:t>16</w:t>
      </w:r>
      <w:r>
        <w:rPr>
          <w:rFonts w:hint="eastAsia" w:ascii="仿宋" w:hAnsi="仿宋" w:eastAsia="仿宋" w:cs="仿宋"/>
          <w:color w:val="333333"/>
          <w:kern w:val="0"/>
          <w:sz w:val="24"/>
          <w:szCs w:val="24"/>
          <w:u w:val="none"/>
        </w:rPr>
        <w:t>万元</w:t>
      </w:r>
      <w:r>
        <w:rPr>
          <w:rFonts w:hint="eastAsia" w:ascii="仿宋" w:hAnsi="仿宋" w:eastAsia="仿宋" w:cs="仿宋"/>
          <w:color w:val="333333"/>
          <w:kern w:val="0"/>
          <w:sz w:val="24"/>
          <w:szCs w:val="24"/>
        </w:rPr>
        <w:t>，报价为一次性报价。</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4"/>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本合同为含税总价包干，成交供应商收到成交通知后，应在一周内签订合同。</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07208C7E">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合同签订后，项目完成经甲方</w:t>
      </w:r>
      <w:r>
        <w:rPr>
          <w:rFonts w:ascii="仿宋" w:hAnsi="仿宋" w:eastAsia="仿宋" w:cstheme="minorEastAsia"/>
          <w:sz w:val="24"/>
          <w:szCs w:val="24"/>
        </w:rPr>
        <w:t>验收合格</w:t>
      </w:r>
      <w:r>
        <w:rPr>
          <w:rFonts w:hint="eastAsia" w:ascii="仿宋" w:hAnsi="仿宋" w:eastAsia="仿宋" w:cstheme="minorEastAsia"/>
          <w:sz w:val="24"/>
          <w:szCs w:val="24"/>
        </w:rPr>
        <w:t>后</w:t>
      </w:r>
      <w:r>
        <w:rPr>
          <w:rFonts w:ascii="仿宋" w:hAnsi="仿宋" w:eastAsia="仿宋" w:cstheme="minorEastAsia"/>
          <w:sz w:val="24"/>
          <w:szCs w:val="24"/>
        </w:rPr>
        <w:t>支付合同总金额的</w:t>
      </w:r>
      <w:r>
        <w:rPr>
          <w:rFonts w:hint="eastAsia" w:ascii="仿宋" w:hAnsi="仿宋" w:eastAsia="仿宋" w:cstheme="minorEastAsia"/>
          <w:sz w:val="24"/>
          <w:szCs w:val="24"/>
        </w:rPr>
        <w:t>100</w:t>
      </w:r>
      <w:r>
        <w:rPr>
          <w:rFonts w:ascii="仿宋" w:hAnsi="仿宋" w:eastAsia="仿宋" w:cstheme="minorEastAsia"/>
          <w:sz w:val="24"/>
          <w:szCs w:val="24"/>
        </w:rPr>
        <w:t>%。</w:t>
      </w:r>
      <w:r>
        <w:rPr>
          <w:rFonts w:hint="eastAsia" w:ascii="仿宋" w:hAnsi="仿宋" w:eastAsia="仿宋" w:cstheme="minorEastAsia"/>
          <w:sz w:val="24"/>
          <w:szCs w:val="24"/>
        </w:rPr>
        <w:t>具体以签订的合同为准。</w:t>
      </w:r>
    </w:p>
    <w:p w14:paraId="6870C465">
      <w:pPr>
        <w:pStyle w:val="19"/>
        <w:ind w:left="0" w:leftChars="0" w:firstLine="0"/>
        <w:jc w:val="center"/>
        <w:rPr>
          <w:rFonts w:ascii="仿宋" w:hAnsi="仿宋" w:eastAsia="仿宋"/>
          <w:b/>
          <w:sz w:val="36"/>
          <w:szCs w:val="36"/>
        </w:rPr>
      </w:pPr>
    </w:p>
    <w:p w14:paraId="449BD1C2">
      <w:pPr>
        <w:rPr>
          <w:rFonts w:ascii="仿宋" w:hAnsi="仿宋" w:eastAsia="仿宋"/>
          <w:b/>
          <w:sz w:val="36"/>
          <w:szCs w:val="36"/>
        </w:rPr>
      </w:pPr>
    </w:p>
    <w:p w14:paraId="6DCFBE6F">
      <w:pPr>
        <w:rPr>
          <w:rFonts w:ascii="仿宋" w:hAnsi="仿宋" w:eastAsia="仿宋"/>
          <w:b/>
          <w:sz w:val="36"/>
          <w:szCs w:val="36"/>
        </w:rPr>
      </w:pPr>
    </w:p>
    <w:p w14:paraId="75780FB5">
      <w:pPr>
        <w:pStyle w:val="19"/>
        <w:rPr>
          <w:rFonts w:ascii="仿宋" w:hAnsi="仿宋" w:eastAsia="仿宋"/>
          <w:b/>
          <w:sz w:val="36"/>
          <w:szCs w:val="36"/>
        </w:rPr>
      </w:pPr>
    </w:p>
    <w:p w14:paraId="02D4BB0A">
      <w:pPr>
        <w:pStyle w:val="19"/>
        <w:rPr>
          <w:rFonts w:ascii="仿宋" w:hAnsi="仿宋" w:eastAsia="仿宋"/>
          <w:b/>
          <w:sz w:val="36"/>
          <w:szCs w:val="36"/>
        </w:rPr>
      </w:pPr>
    </w:p>
    <w:p w14:paraId="1FC3C699">
      <w:pPr>
        <w:pStyle w:val="19"/>
        <w:rPr>
          <w:rFonts w:ascii="仿宋" w:hAnsi="仿宋" w:eastAsia="仿宋"/>
          <w:b/>
          <w:sz w:val="36"/>
          <w:szCs w:val="36"/>
        </w:rPr>
      </w:pPr>
    </w:p>
    <w:p w14:paraId="6318C90F">
      <w:pPr>
        <w:pStyle w:val="19"/>
        <w:rPr>
          <w:rFonts w:ascii="仿宋" w:hAnsi="仿宋" w:eastAsia="仿宋"/>
          <w:b/>
          <w:sz w:val="36"/>
          <w:szCs w:val="36"/>
        </w:rPr>
      </w:pPr>
    </w:p>
    <w:p w14:paraId="42A26506">
      <w:pPr>
        <w:pStyle w:val="19"/>
        <w:rPr>
          <w:rFonts w:ascii="仿宋" w:hAnsi="仿宋" w:eastAsia="仿宋"/>
          <w:b/>
          <w:sz w:val="36"/>
          <w:szCs w:val="36"/>
        </w:rPr>
      </w:pPr>
    </w:p>
    <w:p w14:paraId="0191A80D">
      <w:pPr>
        <w:rPr>
          <w:rFonts w:hint="eastAsia"/>
        </w:rPr>
      </w:pPr>
    </w:p>
    <w:p w14:paraId="223FEA38">
      <w:pPr>
        <w:pStyle w:val="19"/>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6842793B">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2A57729E">
      <w:pPr>
        <w:pStyle w:val="19"/>
        <w:ind w:left="0" w:leftChars="0" w:firstLine="0"/>
      </w:pPr>
    </w:p>
    <w:p w14:paraId="056FE710">
      <w:pPr>
        <w:pStyle w:val="19"/>
        <w:spacing w:before="0" w:beforeAutospacing="0" w:after="0" w:line="240" w:lineRule="atLeast"/>
        <w:ind w:left="0" w:leftChars="0" w:firstLine="0"/>
        <w:jc w:val="center"/>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21"/>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79D1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14:paraId="59AFEDA7">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vAlign w:val="center"/>
          </w:tcPr>
          <w:p w14:paraId="0C748504">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14:paraId="4F2F7146">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vAlign w:val="center"/>
          </w:tcPr>
          <w:p w14:paraId="46B85A0E">
            <w:pPr>
              <w:jc w:val="center"/>
              <w:rPr>
                <w:rFonts w:hint="eastAsia" w:ascii="仿宋" w:hAnsi="仿宋" w:eastAsia="仿宋"/>
                <w:b/>
                <w:sz w:val="24"/>
                <w:szCs w:val="24"/>
              </w:rPr>
            </w:pPr>
            <w:r>
              <w:rPr>
                <w:rFonts w:hint="eastAsia" w:ascii="仿宋" w:hAnsi="仿宋" w:eastAsia="仿宋"/>
                <w:b/>
                <w:sz w:val="24"/>
                <w:szCs w:val="24"/>
              </w:rPr>
              <w:t>评分标准</w:t>
            </w:r>
          </w:p>
        </w:tc>
      </w:tr>
      <w:tr w14:paraId="4A69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62BC2181">
            <w:pPr>
              <w:jc w:val="center"/>
              <w:rPr>
                <w:rFonts w:hint="eastAsia" w:ascii="仿宋" w:hAnsi="仿宋" w:eastAsia="仿宋"/>
                <w:b/>
                <w:kern w:val="0"/>
                <w:sz w:val="24"/>
                <w:szCs w:val="24"/>
                <w:highlight w:val="none"/>
              </w:rPr>
            </w:pPr>
            <w:r>
              <w:rPr>
                <w:rFonts w:hint="eastAsia" w:ascii="仿宋" w:hAnsi="仿宋" w:eastAsia="仿宋"/>
                <w:sz w:val="24"/>
                <w:szCs w:val="24"/>
                <w:highlight w:val="none"/>
              </w:rPr>
              <w:t>1</w:t>
            </w:r>
          </w:p>
        </w:tc>
        <w:tc>
          <w:tcPr>
            <w:tcW w:w="1308" w:type="dxa"/>
            <w:vAlign w:val="center"/>
          </w:tcPr>
          <w:p w14:paraId="7D8E7FFA">
            <w:pPr>
              <w:jc w:val="center"/>
              <w:rPr>
                <w:rFonts w:hint="eastAsia" w:ascii="仿宋" w:hAnsi="仿宋" w:eastAsia="仿宋"/>
                <w:b/>
                <w:kern w:val="0"/>
                <w:sz w:val="24"/>
                <w:szCs w:val="24"/>
                <w:highlight w:val="none"/>
              </w:rPr>
            </w:pPr>
            <w:r>
              <w:rPr>
                <w:rFonts w:hint="eastAsia" w:ascii="仿宋" w:hAnsi="仿宋" w:eastAsia="仿宋"/>
                <w:kern w:val="0"/>
                <w:sz w:val="24"/>
                <w:szCs w:val="24"/>
                <w:highlight w:val="none"/>
              </w:rPr>
              <w:t>报价</w:t>
            </w:r>
          </w:p>
        </w:tc>
        <w:tc>
          <w:tcPr>
            <w:tcW w:w="709" w:type="dxa"/>
            <w:vAlign w:val="center"/>
          </w:tcPr>
          <w:p w14:paraId="3AB271F7">
            <w:pPr>
              <w:jc w:val="center"/>
              <w:rPr>
                <w:rFonts w:hint="default" w:ascii="仿宋" w:hAnsi="仿宋" w:eastAsia="仿宋"/>
                <w:kern w:val="0"/>
                <w:sz w:val="24"/>
                <w:szCs w:val="24"/>
                <w:highlight w:val="none"/>
                <w:lang w:val="en-US" w:eastAsia="zh-CN"/>
              </w:rPr>
            </w:pPr>
            <w:r>
              <w:rPr>
                <w:rFonts w:hint="eastAsia" w:ascii="仿宋" w:hAnsi="仿宋" w:eastAsia="仿宋"/>
                <w:kern w:val="0"/>
                <w:sz w:val="24"/>
                <w:szCs w:val="24"/>
                <w:highlight w:val="none"/>
                <w:lang w:val="en-US" w:eastAsia="zh-CN"/>
              </w:rPr>
              <w:t>20</w:t>
            </w:r>
          </w:p>
        </w:tc>
        <w:tc>
          <w:tcPr>
            <w:tcW w:w="6237" w:type="dxa"/>
            <w:vAlign w:val="center"/>
          </w:tcPr>
          <w:p w14:paraId="22F13A2B">
            <w:pPr>
              <w:jc w:val="left"/>
              <w:rPr>
                <w:rFonts w:hint="eastAsia"/>
                <w:highlight w:val="none"/>
              </w:rPr>
            </w:pPr>
            <w:r>
              <w:rPr>
                <w:rFonts w:hint="eastAsia" w:ascii="仿宋" w:hAnsi="仿宋" w:eastAsia="仿宋" w:cs="宋体"/>
                <w:sz w:val="24"/>
                <w:szCs w:val="24"/>
                <w:highlight w:val="none"/>
              </w:rPr>
              <w:t>以经评委会一致认定满足招标文件要求且投标价格最低的投标报价为评标基准价，其价格得分计</w:t>
            </w:r>
            <w:r>
              <w:rPr>
                <w:rFonts w:hint="eastAsia" w:ascii="仿宋" w:hAnsi="仿宋" w:eastAsia="仿宋" w:cs="宋体"/>
                <w:sz w:val="24"/>
                <w:szCs w:val="24"/>
                <w:highlight w:val="none"/>
                <w:lang w:val="en-US" w:eastAsia="zh-CN"/>
              </w:rPr>
              <w:t>20</w:t>
            </w:r>
            <w:r>
              <w:rPr>
                <w:rFonts w:hint="eastAsia" w:ascii="仿宋" w:hAnsi="仿宋" w:eastAsia="仿宋" w:cs="宋体"/>
                <w:sz w:val="24"/>
                <w:szCs w:val="24"/>
                <w:highlight w:val="none"/>
              </w:rPr>
              <w:t>分。其他投标人的价格得分统一按公式计算：报价得分=（评标基准价/投标报价）×价格权</w:t>
            </w:r>
            <w:bookmarkStart w:id="9" w:name="_GoBack"/>
            <w:bookmarkEnd w:id="9"/>
            <w:r>
              <w:rPr>
                <w:rFonts w:hint="eastAsia" w:ascii="仿宋" w:hAnsi="仿宋" w:eastAsia="仿宋" w:cs="宋体"/>
                <w:sz w:val="24"/>
                <w:szCs w:val="24"/>
                <w:highlight w:val="none"/>
              </w:rPr>
              <w:t>重。</w:t>
            </w:r>
          </w:p>
        </w:tc>
      </w:tr>
      <w:tr w14:paraId="14C3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0" w:type="auto"/>
            <w:vAlign w:val="center"/>
          </w:tcPr>
          <w:p w14:paraId="6389F210">
            <w:pPr>
              <w:jc w:val="center"/>
              <w:rPr>
                <w:rFonts w:hint="eastAsia" w:ascii="仿宋" w:hAnsi="仿宋" w:eastAsia="仿宋" w:cs="宋体"/>
                <w:sz w:val="24"/>
                <w:szCs w:val="24"/>
                <w:highlight w:val="none"/>
                <w:lang w:eastAsia="zh-CN"/>
              </w:rPr>
            </w:pPr>
            <w:r>
              <w:rPr>
                <w:rFonts w:hint="eastAsia" w:ascii="仿宋" w:hAnsi="仿宋" w:eastAsia="仿宋" w:cs="宋体"/>
                <w:sz w:val="24"/>
                <w:szCs w:val="24"/>
                <w:highlight w:val="none"/>
                <w:lang w:val="en-US" w:eastAsia="zh-CN"/>
              </w:rPr>
              <w:t>2</w:t>
            </w:r>
          </w:p>
        </w:tc>
        <w:tc>
          <w:tcPr>
            <w:tcW w:w="1308" w:type="dxa"/>
            <w:vAlign w:val="center"/>
          </w:tcPr>
          <w:p w14:paraId="7CDD86B2">
            <w:pPr>
              <w:jc w:val="center"/>
              <w:rPr>
                <w:rFonts w:hint="eastAsia" w:ascii="仿宋" w:hAnsi="仿宋" w:eastAsia="仿宋"/>
                <w:kern w:val="0"/>
                <w:sz w:val="24"/>
                <w:szCs w:val="24"/>
                <w:highlight w:val="none"/>
                <w:lang w:eastAsia="zh-CN"/>
              </w:rPr>
            </w:pPr>
          </w:p>
          <w:p w14:paraId="53C1BD98">
            <w:pPr>
              <w:jc w:val="center"/>
              <w:rPr>
                <w:rFonts w:hint="default" w:ascii="仿宋" w:hAnsi="仿宋" w:eastAsia="仿宋" w:cs="宋体"/>
                <w:sz w:val="24"/>
                <w:szCs w:val="24"/>
                <w:highlight w:val="none"/>
                <w:lang w:val="en-US"/>
              </w:rPr>
            </w:pPr>
            <w:r>
              <w:rPr>
                <w:rFonts w:hint="eastAsia" w:ascii="仿宋" w:hAnsi="仿宋" w:eastAsia="仿宋" w:cs="宋体"/>
                <w:sz w:val="24"/>
                <w:szCs w:val="24"/>
                <w:highlight w:val="none"/>
              </w:rPr>
              <w:t>项目整体实施方案</w:t>
            </w:r>
          </w:p>
        </w:tc>
        <w:tc>
          <w:tcPr>
            <w:tcW w:w="709" w:type="dxa"/>
            <w:vAlign w:val="center"/>
          </w:tcPr>
          <w:p w14:paraId="1B87B594">
            <w:pPr>
              <w:jc w:val="center"/>
              <w:rPr>
                <w:rFonts w:hint="default"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30</w:t>
            </w:r>
          </w:p>
        </w:tc>
        <w:tc>
          <w:tcPr>
            <w:tcW w:w="6237" w:type="dxa"/>
            <w:vAlign w:val="center"/>
          </w:tcPr>
          <w:p w14:paraId="48F170EF">
            <w:pPr>
              <w:numPr>
                <w:ilvl w:val="0"/>
                <w:numId w:val="0"/>
              </w:numPr>
              <w:jc w:val="left"/>
              <w:rPr>
                <w:rFonts w:hint="eastAsia" w:ascii="仿宋" w:hAnsi="仿宋" w:eastAsia="仿宋" w:cs="宋体"/>
                <w:sz w:val="24"/>
                <w:szCs w:val="24"/>
                <w:highlight w:val="none"/>
                <w:lang w:eastAsia="zh-CN"/>
              </w:rPr>
            </w:pPr>
            <w:r>
              <w:rPr>
                <w:rFonts w:hint="eastAsia" w:ascii="仿宋" w:hAnsi="仿宋" w:eastAsia="仿宋" w:cs="宋体"/>
                <w:sz w:val="24"/>
                <w:szCs w:val="24"/>
                <w:highlight w:val="none"/>
              </w:rPr>
              <w:t>供应商根据本项目实施特点及技术要求，结合项目现有情况制定</w:t>
            </w:r>
            <w:r>
              <w:rPr>
                <w:rFonts w:hint="eastAsia" w:ascii="仿宋" w:hAnsi="仿宋" w:eastAsia="仿宋" w:cs="宋体"/>
                <w:sz w:val="24"/>
                <w:szCs w:val="24"/>
                <w:highlight w:val="none"/>
                <w:lang w:val="en-US" w:eastAsia="zh-CN"/>
              </w:rPr>
              <w:t>项目整体</w:t>
            </w:r>
            <w:r>
              <w:rPr>
                <w:rFonts w:hint="eastAsia" w:ascii="仿宋" w:hAnsi="仿宋" w:eastAsia="仿宋" w:cs="宋体"/>
                <w:sz w:val="24"/>
                <w:szCs w:val="24"/>
                <w:highlight w:val="none"/>
              </w:rPr>
              <w:t>实施方案</w:t>
            </w:r>
            <w:r>
              <w:rPr>
                <w:rFonts w:hint="eastAsia" w:ascii="仿宋" w:hAnsi="仿宋" w:eastAsia="仿宋" w:cs="宋体"/>
                <w:sz w:val="24"/>
                <w:szCs w:val="24"/>
                <w:highlight w:val="none"/>
                <w:lang w:eastAsia="zh-CN"/>
              </w:rPr>
              <w:t>。</w:t>
            </w:r>
            <w:r>
              <w:rPr>
                <w:rFonts w:hint="eastAsia" w:ascii="仿宋" w:hAnsi="仿宋" w:eastAsia="仿宋" w:cs="宋体"/>
                <w:sz w:val="24"/>
                <w:szCs w:val="24"/>
                <w:highlight w:val="none"/>
                <w:lang w:val="en-US" w:eastAsia="zh-CN"/>
              </w:rPr>
              <w:t>方案至少应包括：</w:t>
            </w:r>
            <w:r>
              <w:rPr>
                <w:rFonts w:hint="eastAsia" w:ascii="仿宋" w:hAnsi="仿宋" w:eastAsia="仿宋" w:cs="宋体"/>
                <w:sz w:val="24"/>
                <w:szCs w:val="24"/>
                <w:highlight w:val="none"/>
              </w:rPr>
              <w:t>①项目</w:t>
            </w:r>
            <w:r>
              <w:rPr>
                <w:rFonts w:hint="eastAsia" w:ascii="仿宋" w:hAnsi="仿宋" w:eastAsia="仿宋" w:cs="宋体"/>
                <w:sz w:val="24"/>
                <w:szCs w:val="24"/>
                <w:highlight w:val="none"/>
                <w:lang w:val="en-US" w:eastAsia="zh-CN"/>
              </w:rPr>
              <w:t>需求</w:t>
            </w:r>
            <w:r>
              <w:rPr>
                <w:rFonts w:hint="eastAsia" w:ascii="仿宋" w:hAnsi="仿宋" w:eastAsia="仿宋" w:cs="宋体"/>
                <w:sz w:val="24"/>
                <w:szCs w:val="24"/>
                <w:highlight w:val="none"/>
              </w:rPr>
              <w:t>的理解</w:t>
            </w:r>
            <w:r>
              <w:rPr>
                <w:rFonts w:hint="eastAsia" w:ascii="仿宋" w:hAnsi="仿宋" w:eastAsia="仿宋" w:cs="宋体"/>
                <w:sz w:val="24"/>
                <w:szCs w:val="24"/>
                <w:highlight w:val="none"/>
                <w:lang w:eastAsia="zh-CN"/>
              </w:rPr>
              <w:t>；</w:t>
            </w:r>
            <w:r>
              <w:rPr>
                <w:rFonts w:hint="eastAsia" w:ascii="仿宋" w:hAnsi="仿宋" w:eastAsia="仿宋" w:cs="宋体"/>
                <w:sz w:val="24"/>
                <w:szCs w:val="24"/>
                <w:highlight w:val="none"/>
                <w:lang w:val="en-US" w:eastAsia="zh-CN"/>
              </w:rPr>
              <w:t>②专题主片拍摄脚本文案；③服务团队详细人员配置及分工方案；④拍摄过</w:t>
            </w:r>
            <w:r>
              <w:rPr>
                <w:rFonts w:hint="eastAsia" w:ascii="仿宋" w:hAnsi="仿宋" w:eastAsia="仿宋" w:cs="宋体"/>
                <w:sz w:val="24"/>
                <w:szCs w:val="24"/>
                <w:highlight w:val="none"/>
              </w:rPr>
              <w:t>程意见反馈及修正机制</w:t>
            </w:r>
            <w:r>
              <w:rPr>
                <w:rFonts w:hint="eastAsia" w:ascii="仿宋" w:hAnsi="仿宋" w:eastAsia="仿宋" w:cs="宋体"/>
                <w:sz w:val="24"/>
                <w:szCs w:val="24"/>
                <w:highlight w:val="none"/>
                <w:lang w:eastAsia="zh-CN"/>
              </w:rPr>
              <w:t>；</w:t>
            </w:r>
            <w:r>
              <w:rPr>
                <w:rFonts w:hint="eastAsia" w:ascii="仿宋" w:hAnsi="仿宋" w:eastAsia="仿宋" w:cs="宋体"/>
                <w:sz w:val="24"/>
                <w:szCs w:val="24"/>
                <w:highlight w:val="none"/>
                <w:lang w:val="en-US" w:eastAsia="zh-CN"/>
              </w:rPr>
              <w:t>⑤</w:t>
            </w:r>
            <w:r>
              <w:rPr>
                <w:rFonts w:hint="eastAsia" w:ascii="仿宋" w:hAnsi="仿宋" w:eastAsia="仿宋" w:cs="宋体"/>
                <w:sz w:val="24"/>
                <w:szCs w:val="24"/>
                <w:highlight w:val="none"/>
              </w:rPr>
              <w:t>后期制作调整、审查与返工机制</w:t>
            </w:r>
            <w:r>
              <w:rPr>
                <w:rFonts w:hint="eastAsia" w:ascii="仿宋" w:hAnsi="仿宋" w:eastAsia="仿宋" w:cs="宋体"/>
                <w:sz w:val="24"/>
                <w:szCs w:val="24"/>
                <w:highlight w:val="none"/>
                <w:lang w:eastAsia="zh-CN"/>
              </w:rPr>
              <w:t>。</w:t>
            </w:r>
          </w:p>
          <w:p w14:paraId="0EDDECB8">
            <w:pPr>
              <w:numPr>
                <w:ilvl w:val="0"/>
                <w:numId w:val="0"/>
              </w:numPr>
              <w:jc w:val="left"/>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rPr>
              <w:t>评审小组根据方案的完整性、</w:t>
            </w:r>
            <w:r>
              <w:rPr>
                <w:rFonts w:hint="eastAsia" w:ascii="仿宋" w:hAnsi="仿宋" w:eastAsia="仿宋" w:cs="宋体"/>
                <w:sz w:val="24"/>
                <w:szCs w:val="24"/>
                <w:highlight w:val="none"/>
                <w:lang w:val="en-US" w:eastAsia="zh-CN"/>
              </w:rPr>
              <w:t>科学</w:t>
            </w:r>
            <w:r>
              <w:rPr>
                <w:rFonts w:hint="eastAsia" w:ascii="仿宋" w:hAnsi="仿宋" w:eastAsia="仿宋" w:cs="宋体"/>
                <w:sz w:val="24"/>
                <w:szCs w:val="24"/>
                <w:highlight w:val="none"/>
              </w:rPr>
              <w:t>合理</w:t>
            </w:r>
            <w:r>
              <w:rPr>
                <w:rFonts w:hint="eastAsia" w:ascii="仿宋" w:hAnsi="仿宋" w:eastAsia="仿宋" w:cs="宋体"/>
                <w:sz w:val="24"/>
                <w:szCs w:val="24"/>
                <w:highlight w:val="none"/>
                <w:lang w:val="en-US" w:eastAsia="zh-CN"/>
              </w:rPr>
              <w:t>性</w:t>
            </w:r>
            <w:r>
              <w:rPr>
                <w:rFonts w:hint="eastAsia" w:ascii="仿宋" w:hAnsi="仿宋" w:eastAsia="仿宋" w:cs="宋体"/>
                <w:sz w:val="24"/>
                <w:szCs w:val="24"/>
                <w:highlight w:val="none"/>
              </w:rPr>
              <w:t>及</w:t>
            </w:r>
            <w:r>
              <w:rPr>
                <w:rFonts w:hint="eastAsia" w:ascii="仿宋" w:hAnsi="仿宋" w:eastAsia="仿宋" w:cs="宋体"/>
                <w:sz w:val="24"/>
                <w:szCs w:val="24"/>
                <w:highlight w:val="none"/>
                <w:lang w:val="en-US" w:eastAsia="zh-CN"/>
              </w:rPr>
              <w:t>可</w:t>
            </w:r>
            <w:r>
              <w:rPr>
                <w:rFonts w:hint="eastAsia" w:ascii="仿宋" w:hAnsi="仿宋" w:eastAsia="仿宋" w:cs="宋体"/>
                <w:sz w:val="24"/>
                <w:szCs w:val="24"/>
                <w:highlight w:val="none"/>
              </w:rPr>
              <w:t>操作性等进行评价，以上①~</w:t>
            </w:r>
            <w:r>
              <w:rPr>
                <w:rFonts w:hint="eastAsia" w:ascii="仿宋" w:hAnsi="仿宋" w:eastAsia="仿宋" w:cs="宋体"/>
                <w:sz w:val="24"/>
                <w:szCs w:val="24"/>
                <w:highlight w:val="none"/>
                <w:lang w:val="en-US" w:eastAsia="zh-CN"/>
              </w:rPr>
              <w:t>⑤</w:t>
            </w:r>
            <w:r>
              <w:rPr>
                <w:rFonts w:hint="eastAsia" w:ascii="仿宋" w:hAnsi="仿宋" w:eastAsia="仿宋" w:cs="宋体"/>
                <w:sz w:val="24"/>
                <w:szCs w:val="24"/>
                <w:highlight w:val="none"/>
              </w:rPr>
              <w:t>条方案内容全面、科学合理</w:t>
            </w:r>
            <w:r>
              <w:rPr>
                <w:rFonts w:hint="eastAsia" w:ascii="仿宋" w:hAnsi="仿宋" w:eastAsia="仿宋" w:cs="宋体"/>
                <w:sz w:val="24"/>
                <w:szCs w:val="24"/>
                <w:highlight w:val="none"/>
                <w:lang w:eastAsia="zh-CN"/>
              </w:rPr>
              <w:t>、</w:t>
            </w:r>
            <w:r>
              <w:rPr>
                <w:rFonts w:hint="eastAsia" w:ascii="仿宋" w:hAnsi="仿宋" w:eastAsia="仿宋" w:cs="宋体"/>
                <w:sz w:val="24"/>
                <w:szCs w:val="24"/>
                <w:highlight w:val="none"/>
                <w:lang w:val="en-US" w:eastAsia="zh-CN"/>
              </w:rPr>
              <w:t>符合宣传标准</w:t>
            </w:r>
            <w:r>
              <w:rPr>
                <w:rFonts w:hint="eastAsia" w:ascii="仿宋" w:hAnsi="仿宋" w:eastAsia="仿宋" w:cs="宋体"/>
                <w:sz w:val="24"/>
                <w:szCs w:val="24"/>
                <w:highlight w:val="none"/>
              </w:rPr>
              <w:t>的每条得</w:t>
            </w:r>
            <w:r>
              <w:rPr>
                <w:rFonts w:hint="eastAsia" w:ascii="仿宋" w:hAnsi="仿宋" w:eastAsia="仿宋" w:cs="宋体"/>
                <w:sz w:val="24"/>
                <w:szCs w:val="24"/>
                <w:highlight w:val="none"/>
                <w:lang w:val="en-US" w:eastAsia="zh-CN"/>
              </w:rPr>
              <w:t>6</w:t>
            </w:r>
            <w:r>
              <w:rPr>
                <w:rFonts w:hint="eastAsia" w:ascii="仿宋" w:hAnsi="仿宋" w:eastAsia="仿宋" w:cs="宋体"/>
                <w:sz w:val="24"/>
                <w:szCs w:val="24"/>
                <w:highlight w:val="none"/>
              </w:rPr>
              <w:t>分</w:t>
            </w:r>
            <w:r>
              <w:rPr>
                <w:rFonts w:hint="eastAsia" w:ascii="仿宋" w:hAnsi="仿宋" w:eastAsia="仿宋" w:cs="宋体"/>
                <w:sz w:val="24"/>
                <w:szCs w:val="24"/>
                <w:highlight w:val="none"/>
                <w:lang w:eastAsia="zh-CN"/>
              </w:rPr>
              <w:t>；</w:t>
            </w:r>
            <w:r>
              <w:rPr>
                <w:rFonts w:hint="eastAsia" w:ascii="仿宋" w:hAnsi="仿宋" w:eastAsia="仿宋" w:cs="宋体"/>
                <w:sz w:val="24"/>
                <w:szCs w:val="24"/>
                <w:highlight w:val="none"/>
              </w:rPr>
              <w:t>方案较完整、能满足基本</w:t>
            </w:r>
            <w:r>
              <w:rPr>
                <w:rFonts w:hint="eastAsia" w:ascii="仿宋" w:hAnsi="仿宋" w:eastAsia="仿宋" w:cs="宋体"/>
                <w:sz w:val="24"/>
                <w:szCs w:val="24"/>
                <w:highlight w:val="none"/>
                <w:lang w:val="en-US" w:eastAsia="zh-CN"/>
              </w:rPr>
              <w:t>宣传标准</w:t>
            </w:r>
            <w:r>
              <w:rPr>
                <w:rFonts w:hint="eastAsia" w:ascii="仿宋" w:hAnsi="仿宋" w:eastAsia="仿宋" w:cs="宋体"/>
                <w:sz w:val="24"/>
                <w:szCs w:val="24"/>
                <w:highlight w:val="none"/>
              </w:rPr>
              <w:t>要求的每条得</w:t>
            </w:r>
            <w:r>
              <w:rPr>
                <w:rFonts w:hint="eastAsia" w:ascii="仿宋" w:hAnsi="仿宋" w:eastAsia="仿宋" w:cs="宋体"/>
                <w:sz w:val="24"/>
                <w:szCs w:val="24"/>
                <w:highlight w:val="none"/>
                <w:lang w:val="en-US" w:eastAsia="zh-CN"/>
              </w:rPr>
              <w:t>3</w:t>
            </w:r>
            <w:r>
              <w:rPr>
                <w:rFonts w:hint="eastAsia" w:ascii="仿宋" w:hAnsi="仿宋" w:eastAsia="仿宋" w:cs="宋体"/>
                <w:sz w:val="24"/>
                <w:szCs w:val="24"/>
                <w:highlight w:val="none"/>
              </w:rPr>
              <w:t>分；方案有缺失、操作性一般的得1分</w:t>
            </w:r>
            <w:r>
              <w:rPr>
                <w:rFonts w:hint="eastAsia" w:ascii="仿宋" w:hAnsi="仿宋" w:eastAsia="仿宋" w:cs="宋体"/>
                <w:sz w:val="24"/>
                <w:szCs w:val="24"/>
                <w:highlight w:val="none"/>
                <w:lang w:eastAsia="zh-CN"/>
              </w:rPr>
              <w:t>。</w:t>
            </w:r>
          </w:p>
          <w:p w14:paraId="15F8F90C">
            <w:pPr>
              <w:jc w:val="left"/>
              <w:rPr>
                <w:rFonts w:hint="eastAsia" w:ascii="仿宋" w:hAnsi="仿宋" w:eastAsia="仿宋" w:cs="宋体"/>
                <w:b/>
                <w:bCs/>
                <w:sz w:val="24"/>
                <w:szCs w:val="24"/>
                <w:highlight w:val="none"/>
              </w:rPr>
            </w:pPr>
            <w:r>
              <w:rPr>
                <w:rFonts w:hint="eastAsia" w:ascii="仿宋" w:hAnsi="仿宋" w:eastAsia="仿宋" w:cs="宋体"/>
                <w:b/>
                <w:bCs/>
                <w:sz w:val="24"/>
                <w:szCs w:val="24"/>
                <w:highlight w:val="none"/>
              </w:rPr>
              <w:t>本项满分</w:t>
            </w:r>
            <w:r>
              <w:rPr>
                <w:rFonts w:hint="eastAsia" w:ascii="仿宋" w:hAnsi="仿宋" w:eastAsia="仿宋" w:cs="宋体"/>
                <w:b/>
                <w:bCs/>
                <w:sz w:val="24"/>
                <w:szCs w:val="24"/>
                <w:highlight w:val="none"/>
                <w:lang w:val="en-US" w:eastAsia="zh-CN"/>
              </w:rPr>
              <w:t>30</w:t>
            </w:r>
            <w:r>
              <w:rPr>
                <w:rFonts w:hint="eastAsia" w:ascii="仿宋" w:hAnsi="仿宋" w:eastAsia="仿宋" w:cs="宋体"/>
                <w:b/>
                <w:bCs/>
                <w:sz w:val="24"/>
                <w:szCs w:val="24"/>
                <w:highlight w:val="none"/>
              </w:rPr>
              <w:t>分。</w:t>
            </w:r>
          </w:p>
          <w:p w14:paraId="4B347A6F">
            <w:pPr>
              <w:jc w:val="left"/>
              <w:rPr>
                <w:rFonts w:hint="eastAsia" w:ascii="仿宋" w:hAnsi="仿宋" w:eastAsia="仿宋" w:cs="宋体"/>
                <w:sz w:val="24"/>
                <w:szCs w:val="24"/>
                <w:highlight w:val="none"/>
              </w:rPr>
            </w:pPr>
            <w:r>
              <w:rPr>
                <w:rFonts w:hint="eastAsia" w:ascii="仿宋" w:hAnsi="仿宋" w:eastAsia="仿宋" w:cs="宋体"/>
                <w:b/>
                <w:bCs/>
                <w:sz w:val="24"/>
                <w:szCs w:val="24"/>
                <w:highlight w:val="none"/>
              </w:rPr>
              <w:t>【评审依据】：响应文件中提供项目整体实施方案</w:t>
            </w:r>
            <w:r>
              <w:rPr>
                <w:rFonts w:hint="eastAsia" w:ascii="仿宋" w:hAnsi="仿宋" w:eastAsia="仿宋" w:cs="宋体"/>
                <w:b/>
                <w:bCs/>
                <w:sz w:val="24"/>
                <w:szCs w:val="24"/>
                <w:highlight w:val="none"/>
                <w:lang w:eastAsia="zh-CN"/>
              </w:rPr>
              <w:t>，</w:t>
            </w:r>
            <w:r>
              <w:rPr>
                <w:rFonts w:hint="eastAsia" w:ascii="仿宋" w:hAnsi="仿宋" w:eastAsia="仿宋" w:cs="宋体"/>
                <w:b/>
                <w:bCs/>
                <w:sz w:val="24"/>
                <w:szCs w:val="24"/>
                <w:highlight w:val="none"/>
              </w:rPr>
              <w:t>未提供不得分。</w:t>
            </w:r>
          </w:p>
        </w:tc>
      </w:tr>
      <w:tr w14:paraId="5819E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0" w:type="auto"/>
            <w:vAlign w:val="center"/>
          </w:tcPr>
          <w:p w14:paraId="7B679BD1">
            <w:pPr>
              <w:jc w:val="center"/>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3</w:t>
            </w:r>
          </w:p>
        </w:tc>
        <w:tc>
          <w:tcPr>
            <w:tcW w:w="1308" w:type="dxa"/>
            <w:vAlign w:val="center"/>
          </w:tcPr>
          <w:p w14:paraId="0AFB7C8D">
            <w:pPr>
              <w:jc w:val="center"/>
              <w:rPr>
                <w:rFonts w:hint="eastAsia" w:ascii="仿宋" w:hAnsi="仿宋" w:eastAsia="仿宋" w:cs="宋体"/>
                <w:sz w:val="24"/>
                <w:szCs w:val="24"/>
                <w:highlight w:val="none"/>
              </w:rPr>
            </w:pPr>
            <w:r>
              <w:rPr>
                <w:rFonts w:hint="eastAsia" w:ascii="仿宋" w:hAnsi="仿宋" w:eastAsia="仿宋" w:cs="宋体"/>
                <w:sz w:val="24"/>
                <w:szCs w:val="24"/>
                <w:highlight w:val="none"/>
                <w:lang w:val="en-US" w:eastAsia="zh-CN"/>
              </w:rPr>
              <w:t>保障措施方案</w:t>
            </w:r>
          </w:p>
        </w:tc>
        <w:tc>
          <w:tcPr>
            <w:tcW w:w="709" w:type="dxa"/>
            <w:vAlign w:val="center"/>
          </w:tcPr>
          <w:p w14:paraId="2F9FB422">
            <w:pPr>
              <w:jc w:val="center"/>
              <w:rPr>
                <w:rFonts w:hint="default"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20</w:t>
            </w:r>
          </w:p>
        </w:tc>
        <w:tc>
          <w:tcPr>
            <w:tcW w:w="6237" w:type="dxa"/>
            <w:vAlign w:val="center"/>
          </w:tcPr>
          <w:p w14:paraId="6EBC4C5F">
            <w:pPr>
              <w:numPr>
                <w:ilvl w:val="0"/>
                <w:numId w:val="0"/>
              </w:numPr>
              <w:ind w:leftChars="0"/>
              <w:jc w:val="left"/>
              <w:rPr>
                <w:rFonts w:hint="eastAsia" w:ascii="仿宋" w:hAnsi="仿宋" w:eastAsia="仿宋" w:cs="宋体"/>
                <w:sz w:val="24"/>
                <w:szCs w:val="24"/>
                <w:highlight w:val="none"/>
              </w:rPr>
            </w:pPr>
            <w:r>
              <w:rPr>
                <w:rFonts w:hint="eastAsia" w:ascii="仿宋" w:hAnsi="仿宋" w:eastAsia="仿宋" w:cs="宋体"/>
                <w:sz w:val="24"/>
                <w:szCs w:val="24"/>
                <w:highlight w:val="none"/>
                <w:lang w:val="en-US" w:eastAsia="zh-CN"/>
              </w:rPr>
              <w:t>供应商根据本项目实施特点及技术要求制定保障措施，应包含以下内容：</w:t>
            </w:r>
            <w:r>
              <w:rPr>
                <w:rFonts w:hint="eastAsia" w:ascii="仿宋" w:hAnsi="仿宋" w:eastAsia="仿宋" w:cs="宋体"/>
                <w:sz w:val="24"/>
                <w:szCs w:val="24"/>
                <w:highlight w:val="none"/>
              </w:rPr>
              <w:t>①项目</w:t>
            </w:r>
            <w:r>
              <w:rPr>
                <w:rFonts w:hint="eastAsia" w:ascii="仿宋" w:hAnsi="仿宋" w:eastAsia="仿宋" w:cs="宋体"/>
                <w:sz w:val="24"/>
                <w:szCs w:val="24"/>
                <w:highlight w:val="none"/>
                <w:lang w:val="en-US" w:eastAsia="zh-CN"/>
              </w:rPr>
              <w:t>实施及</w:t>
            </w:r>
            <w:r>
              <w:rPr>
                <w:rFonts w:hint="eastAsia" w:ascii="仿宋" w:hAnsi="仿宋" w:eastAsia="仿宋" w:cs="宋体"/>
                <w:sz w:val="24"/>
                <w:szCs w:val="24"/>
                <w:highlight w:val="none"/>
              </w:rPr>
              <w:t>进度</w:t>
            </w:r>
            <w:r>
              <w:rPr>
                <w:rFonts w:hint="eastAsia" w:ascii="仿宋" w:hAnsi="仿宋" w:eastAsia="仿宋" w:cs="宋体"/>
                <w:sz w:val="24"/>
                <w:szCs w:val="24"/>
                <w:highlight w:val="none"/>
                <w:lang w:val="en-US" w:eastAsia="zh-CN"/>
              </w:rPr>
              <w:t>保障</w:t>
            </w:r>
            <w:r>
              <w:rPr>
                <w:rFonts w:hint="eastAsia" w:ascii="仿宋" w:hAnsi="仿宋" w:eastAsia="仿宋" w:cs="宋体"/>
                <w:sz w:val="24"/>
                <w:szCs w:val="24"/>
                <w:highlight w:val="none"/>
              </w:rPr>
              <w:t>措施；②</w:t>
            </w:r>
            <w:r>
              <w:rPr>
                <w:rFonts w:hint="eastAsia" w:ascii="仿宋" w:hAnsi="仿宋" w:eastAsia="仿宋" w:cs="宋体"/>
                <w:sz w:val="24"/>
                <w:szCs w:val="24"/>
                <w:highlight w:val="none"/>
                <w:lang w:val="en-US" w:eastAsia="zh-CN"/>
              </w:rPr>
              <w:t>项目售后保障措施</w:t>
            </w:r>
            <w:r>
              <w:rPr>
                <w:rFonts w:hint="eastAsia" w:ascii="仿宋" w:hAnsi="仿宋" w:eastAsia="仿宋" w:cs="宋体"/>
                <w:sz w:val="24"/>
                <w:szCs w:val="24"/>
                <w:highlight w:val="none"/>
              </w:rPr>
              <w:t>。</w:t>
            </w:r>
          </w:p>
          <w:p w14:paraId="4C77D698">
            <w:pPr>
              <w:numPr>
                <w:ilvl w:val="0"/>
                <w:numId w:val="0"/>
              </w:numPr>
              <w:ind w:leftChars="0"/>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评审小组根据</w:t>
            </w:r>
            <w:r>
              <w:rPr>
                <w:rFonts w:hint="eastAsia" w:ascii="仿宋" w:hAnsi="仿宋" w:eastAsia="仿宋" w:cs="宋体"/>
                <w:sz w:val="24"/>
                <w:szCs w:val="24"/>
                <w:highlight w:val="none"/>
                <w:lang w:val="en-US" w:eastAsia="zh-CN"/>
              </w:rPr>
              <w:t>保障措施的完整性</w:t>
            </w:r>
            <w:r>
              <w:rPr>
                <w:rFonts w:hint="eastAsia" w:ascii="仿宋" w:hAnsi="仿宋" w:eastAsia="仿宋" w:cs="宋体"/>
                <w:sz w:val="24"/>
                <w:szCs w:val="24"/>
                <w:highlight w:val="none"/>
              </w:rPr>
              <w:t>、合理性</w:t>
            </w:r>
            <w:r>
              <w:rPr>
                <w:rFonts w:hint="eastAsia" w:ascii="仿宋" w:hAnsi="仿宋" w:eastAsia="仿宋" w:cs="宋体"/>
                <w:sz w:val="24"/>
                <w:szCs w:val="24"/>
                <w:highlight w:val="none"/>
                <w:lang w:eastAsia="zh-CN"/>
              </w:rPr>
              <w:t>、</w:t>
            </w:r>
            <w:r>
              <w:rPr>
                <w:rFonts w:hint="eastAsia" w:ascii="仿宋" w:hAnsi="仿宋" w:eastAsia="仿宋" w:cs="宋体"/>
                <w:sz w:val="24"/>
                <w:szCs w:val="24"/>
                <w:highlight w:val="none"/>
                <w:lang w:val="en-US" w:eastAsia="zh-CN"/>
              </w:rPr>
              <w:t>科学性</w:t>
            </w:r>
            <w:r>
              <w:rPr>
                <w:rFonts w:hint="eastAsia" w:ascii="仿宋" w:hAnsi="仿宋" w:eastAsia="仿宋" w:cs="宋体"/>
                <w:sz w:val="24"/>
                <w:szCs w:val="24"/>
                <w:highlight w:val="none"/>
              </w:rPr>
              <w:t>及</w:t>
            </w:r>
            <w:r>
              <w:rPr>
                <w:rFonts w:hint="eastAsia" w:ascii="仿宋" w:hAnsi="仿宋" w:eastAsia="仿宋" w:cs="宋体"/>
                <w:sz w:val="24"/>
                <w:szCs w:val="24"/>
                <w:highlight w:val="none"/>
                <w:lang w:val="en-US" w:eastAsia="zh-CN"/>
              </w:rPr>
              <w:t>可</w:t>
            </w:r>
            <w:r>
              <w:rPr>
                <w:rFonts w:hint="eastAsia" w:ascii="仿宋" w:hAnsi="仿宋" w:eastAsia="仿宋" w:cs="宋体"/>
                <w:sz w:val="24"/>
                <w:szCs w:val="24"/>
                <w:highlight w:val="none"/>
              </w:rPr>
              <w:t>操作性等进行评价</w:t>
            </w:r>
            <w:r>
              <w:rPr>
                <w:rFonts w:hint="eastAsia" w:ascii="仿宋" w:hAnsi="仿宋" w:eastAsia="仿宋" w:cs="宋体"/>
                <w:sz w:val="24"/>
                <w:szCs w:val="24"/>
                <w:highlight w:val="none"/>
                <w:lang w:eastAsia="zh-CN"/>
              </w:rPr>
              <w:t>，</w:t>
            </w:r>
            <w:r>
              <w:rPr>
                <w:rFonts w:hint="eastAsia" w:ascii="仿宋" w:hAnsi="仿宋" w:eastAsia="仿宋" w:cs="宋体"/>
                <w:sz w:val="24"/>
                <w:szCs w:val="24"/>
                <w:highlight w:val="none"/>
              </w:rPr>
              <w:t>以上①~</w:t>
            </w:r>
            <w:r>
              <w:rPr>
                <w:rFonts w:hint="eastAsia" w:ascii="仿宋" w:hAnsi="仿宋" w:eastAsia="仿宋" w:cs="宋体"/>
                <w:sz w:val="24"/>
                <w:szCs w:val="24"/>
                <w:highlight w:val="none"/>
                <w:lang w:val="en-US" w:eastAsia="zh-CN"/>
              </w:rPr>
              <w:t>②</w:t>
            </w:r>
            <w:r>
              <w:rPr>
                <w:rFonts w:hint="eastAsia" w:ascii="仿宋" w:hAnsi="仿宋" w:eastAsia="仿宋" w:cs="宋体"/>
                <w:sz w:val="24"/>
                <w:szCs w:val="24"/>
                <w:highlight w:val="none"/>
              </w:rPr>
              <w:t>条方案内容全面、科学合理的每条得</w:t>
            </w:r>
            <w:r>
              <w:rPr>
                <w:rFonts w:hint="eastAsia" w:ascii="仿宋" w:hAnsi="仿宋" w:eastAsia="仿宋" w:cs="宋体"/>
                <w:sz w:val="24"/>
                <w:szCs w:val="24"/>
                <w:highlight w:val="none"/>
                <w:lang w:val="en-US" w:eastAsia="zh-CN"/>
              </w:rPr>
              <w:t>10</w:t>
            </w:r>
            <w:r>
              <w:rPr>
                <w:rFonts w:hint="eastAsia" w:ascii="仿宋" w:hAnsi="仿宋" w:eastAsia="仿宋" w:cs="宋体"/>
                <w:sz w:val="24"/>
                <w:szCs w:val="24"/>
                <w:highlight w:val="none"/>
              </w:rPr>
              <w:t>分；方案较完整、能满足基本保障要求的每条得</w:t>
            </w:r>
            <w:r>
              <w:rPr>
                <w:rFonts w:hint="eastAsia" w:ascii="仿宋" w:hAnsi="仿宋" w:eastAsia="仿宋" w:cs="宋体"/>
                <w:sz w:val="24"/>
                <w:szCs w:val="24"/>
                <w:highlight w:val="none"/>
                <w:lang w:val="en-US" w:eastAsia="zh-CN"/>
              </w:rPr>
              <w:t>5</w:t>
            </w:r>
            <w:r>
              <w:rPr>
                <w:rFonts w:hint="eastAsia" w:ascii="仿宋" w:hAnsi="仿宋" w:eastAsia="仿宋" w:cs="宋体"/>
                <w:sz w:val="24"/>
                <w:szCs w:val="24"/>
                <w:highlight w:val="none"/>
              </w:rPr>
              <w:t>分；方案有缺失、操作性一般的得</w:t>
            </w:r>
            <w:r>
              <w:rPr>
                <w:rFonts w:hint="eastAsia" w:ascii="仿宋" w:hAnsi="仿宋" w:eastAsia="仿宋" w:cs="宋体"/>
                <w:sz w:val="24"/>
                <w:szCs w:val="24"/>
                <w:highlight w:val="none"/>
                <w:lang w:val="en-US" w:eastAsia="zh-CN"/>
              </w:rPr>
              <w:t>2</w:t>
            </w:r>
            <w:r>
              <w:rPr>
                <w:rFonts w:hint="eastAsia" w:ascii="仿宋" w:hAnsi="仿宋" w:eastAsia="仿宋" w:cs="宋体"/>
                <w:sz w:val="24"/>
                <w:szCs w:val="24"/>
                <w:highlight w:val="none"/>
              </w:rPr>
              <w:t>分。</w:t>
            </w:r>
          </w:p>
          <w:p w14:paraId="0D15B0D6">
            <w:pPr>
              <w:jc w:val="left"/>
              <w:rPr>
                <w:rFonts w:hint="eastAsia" w:ascii="仿宋" w:hAnsi="仿宋" w:eastAsia="仿宋" w:cs="宋体"/>
                <w:sz w:val="24"/>
                <w:szCs w:val="24"/>
                <w:highlight w:val="none"/>
              </w:rPr>
            </w:pPr>
            <w:r>
              <w:rPr>
                <w:rFonts w:hint="eastAsia" w:ascii="仿宋" w:hAnsi="仿宋" w:eastAsia="仿宋" w:cs="宋体"/>
                <w:b/>
                <w:bCs/>
                <w:sz w:val="24"/>
                <w:szCs w:val="24"/>
                <w:highlight w:val="none"/>
                <w:lang w:val="en-US" w:eastAsia="zh-CN"/>
              </w:rPr>
              <w:t>本项满分20分。</w:t>
            </w:r>
          </w:p>
          <w:p w14:paraId="45F6C074">
            <w:pPr>
              <w:numPr>
                <w:ilvl w:val="0"/>
                <w:numId w:val="0"/>
              </w:numPr>
              <w:ind w:leftChars="0"/>
              <w:jc w:val="left"/>
              <w:rPr>
                <w:rFonts w:hint="eastAsia" w:ascii="仿宋" w:hAnsi="仿宋" w:eastAsia="仿宋" w:cs="宋体"/>
                <w:sz w:val="24"/>
                <w:szCs w:val="24"/>
                <w:highlight w:val="none"/>
              </w:rPr>
            </w:pPr>
            <w:r>
              <w:rPr>
                <w:rFonts w:hint="eastAsia" w:ascii="仿宋" w:hAnsi="仿宋" w:eastAsia="仿宋" w:cs="宋体"/>
                <w:b/>
                <w:bCs/>
                <w:sz w:val="24"/>
                <w:szCs w:val="24"/>
                <w:highlight w:val="none"/>
              </w:rPr>
              <w:t>【评审依据】：响应文件中提供</w:t>
            </w:r>
            <w:r>
              <w:rPr>
                <w:rFonts w:hint="eastAsia" w:ascii="仿宋" w:hAnsi="仿宋" w:eastAsia="仿宋" w:cs="宋体"/>
                <w:b/>
                <w:bCs/>
                <w:sz w:val="24"/>
                <w:szCs w:val="24"/>
                <w:highlight w:val="none"/>
                <w:lang w:val="en-US" w:eastAsia="zh-CN"/>
              </w:rPr>
              <w:t>项目保障措施方案，</w:t>
            </w:r>
            <w:r>
              <w:rPr>
                <w:rFonts w:hint="eastAsia" w:ascii="仿宋" w:hAnsi="仿宋" w:eastAsia="仿宋" w:cs="宋体"/>
                <w:b/>
                <w:bCs/>
                <w:sz w:val="24"/>
                <w:szCs w:val="24"/>
                <w:highlight w:val="none"/>
              </w:rPr>
              <w:t>未提供不得分。</w:t>
            </w:r>
          </w:p>
        </w:tc>
      </w:tr>
      <w:tr w14:paraId="54D7D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662F365C">
            <w:pPr>
              <w:jc w:val="center"/>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4</w:t>
            </w:r>
          </w:p>
        </w:tc>
        <w:tc>
          <w:tcPr>
            <w:tcW w:w="1308" w:type="dxa"/>
            <w:vAlign w:val="center"/>
          </w:tcPr>
          <w:p w14:paraId="5655331D">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仿宋_GB2312" w:cs="Times New Roman"/>
                <w:b w:val="0"/>
                <w:bCs/>
                <w:color w:val="auto"/>
                <w:sz w:val="24"/>
                <w:szCs w:val="24"/>
                <w:highlight w:val="none"/>
                <w:vertAlign w:val="baseline"/>
                <w:lang w:eastAsia="zh-CN"/>
              </w:rPr>
            </w:pPr>
          </w:p>
          <w:p w14:paraId="5938C6BB">
            <w:pPr>
              <w:jc w:val="center"/>
              <w:rPr>
                <w:rFonts w:hint="eastAsia" w:ascii="仿宋" w:hAnsi="仿宋" w:eastAsia="仿宋" w:cs="宋体"/>
                <w:sz w:val="24"/>
                <w:szCs w:val="24"/>
                <w:highlight w:val="none"/>
              </w:rPr>
            </w:pPr>
            <w:r>
              <w:rPr>
                <w:rFonts w:hint="eastAsia" w:ascii="仿宋" w:hAnsi="仿宋" w:eastAsia="仿宋" w:cs="宋体"/>
                <w:sz w:val="24"/>
                <w:szCs w:val="24"/>
                <w:highlight w:val="none"/>
              </w:rPr>
              <w:t>服务团队能力</w:t>
            </w:r>
          </w:p>
        </w:tc>
        <w:tc>
          <w:tcPr>
            <w:tcW w:w="709" w:type="dxa"/>
            <w:vAlign w:val="center"/>
          </w:tcPr>
          <w:p w14:paraId="5755ED24">
            <w:pPr>
              <w:jc w:val="center"/>
              <w:rPr>
                <w:rFonts w:hint="default"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10</w:t>
            </w:r>
          </w:p>
        </w:tc>
        <w:tc>
          <w:tcPr>
            <w:tcW w:w="6237" w:type="dxa"/>
            <w:vAlign w:val="center"/>
          </w:tcPr>
          <w:p w14:paraId="0E272535">
            <w:pPr>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供应商提供服务团队人员中，持有与影视制作、广播电视、动画设计等相关国家认可的职业资格证书的，每一个得5分，最高10分。</w:t>
            </w:r>
          </w:p>
          <w:p w14:paraId="7BC4CAFE">
            <w:pPr>
              <w:jc w:val="left"/>
              <w:rPr>
                <w:rFonts w:hint="eastAsia" w:ascii="仿宋" w:hAnsi="仿宋" w:eastAsia="仿宋" w:cs="宋体"/>
                <w:b/>
                <w:bCs/>
                <w:sz w:val="24"/>
                <w:szCs w:val="24"/>
                <w:highlight w:val="none"/>
                <w:lang w:val="en-US" w:eastAsia="zh-CN"/>
              </w:rPr>
            </w:pPr>
            <w:r>
              <w:rPr>
                <w:rFonts w:hint="eastAsia" w:ascii="仿宋" w:hAnsi="仿宋" w:eastAsia="仿宋" w:cs="宋体"/>
                <w:b/>
                <w:bCs/>
                <w:sz w:val="24"/>
                <w:szCs w:val="24"/>
                <w:highlight w:val="none"/>
                <w:lang w:val="en-US" w:eastAsia="zh-CN"/>
              </w:rPr>
              <w:t>本项满分10分。</w:t>
            </w:r>
          </w:p>
          <w:p w14:paraId="03FFBAFF">
            <w:pPr>
              <w:jc w:val="left"/>
              <w:rPr>
                <w:rFonts w:hint="eastAsia"/>
                <w:highlight w:val="none"/>
              </w:rPr>
            </w:pPr>
            <w:r>
              <w:rPr>
                <w:rFonts w:hint="eastAsia" w:ascii="仿宋" w:hAnsi="仿宋" w:eastAsia="仿宋" w:cs="宋体"/>
                <w:b/>
                <w:bCs/>
                <w:sz w:val="24"/>
                <w:szCs w:val="24"/>
                <w:highlight w:val="none"/>
              </w:rPr>
              <w:t>【评审依据】：1）响应文件中提供以上人员证书扫描件和供应商为其缴纳当月的社保证明扫描件并加盖供应商公章，未提供或提供的证明材料不齐全的</w:t>
            </w:r>
            <w:r>
              <w:rPr>
                <w:rFonts w:hint="eastAsia" w:ascii="仿宋" w:hAnsi="仿宋" w:eastAsia="仿宋" w:cs="宋体"/>
                <w:b/>
                <w:bCs/>
                <w:sz w:val="24"/>
                <w:szCs w:val="24"/>
                <w:highlight w:val="none"/>
                <w:lang w:val="en-US" w:eastAsia="zh-CN"/>
              </w:rPr>
              <w:t>视为方案不完整</w:t>
            </w:r>
            <w:r>
              <w:rPr>
                <w:rFonts w:hint="eastAsia" w:ascii="仿宋" w:hAnsi="仿宋" w:eastAsia="仿宋" w:cs="宋体"/>
                <w:b/>
                <w:bCs/>
                <w:sz w:val="24"/>
                <w:szCs w:val="24"/>
                <w:highlight w:val="none"/>
              </w:rPr>
              <w:t>。2）服务团队中人员证书不得</w:t>
            </w:r>
            <w:r>
              <w:rPr>
                <w:rFonts w:hint="eastAsia" w:ascii="仿宋" w:hAnsi="仿宋" w:eastAsia="仿宋" w:cs="宋体"/>
                <w:b/>
                <w:bCs/>
                <w:sz w:val="24"/>
                <w:szCs w:val="24"/>
                <w:highlight w:val="none"/>
                <w:lang w:val="en-US" w:eastAsia="zh-CN"/>
              </w:rPr>
              <w:t>重</w:t>
            </w:r>
            <w:r>
              <w:rPr>
                <w:rFonts w:hint="eastAsia" w:ascii="仿宋" w:hAnsi="仿宋" w:eastAsia="仿宋" w:cs="宋体"/>
                <w:b/>
                <w:bCs/>
                <w:sz w:val="24"/>
                <w:szCs w:val="24"/>
                <w:highlight w:val="none"/>
              </w:rPr>
              <w:t>复</w:t>
            </w:r>
            <w:r>
              <w:rPr>
                <w:rFonts w:hint="eastAsia" w:ascii="仿宋" w:hAnsi="仿宋" w:eastAsia="仿宋" w:cs="宋体"/>
                <w:b/>
                <w:bCs/>
                <w:sz w:val="24"/>
                <w:szCs w:val="24"/>
                <w:highlight w:val="none"/>
                <w:lang w:val="en-US" w:eastAsia="zh-CN"/>
              </w:rPr>
              <w:t>使</w:t>
            </w:r>
            <w:r>
              <w:rPr>
                <w:rFonts w:hint="eastAsia" w:ascii="仿宋" w:hAnsi="仿宋" w:eastAsia="仿宋" w:cs="宋体"/>
                <w:b/>
                <w:bCs/>
                <w:sz w:val="24"/>
                <w:szCs w:val="24"/>
                <w:highlight w:val="none"/>
              </w:rPr>
              <w:t>用，否则不予加分。</w:t>
            </w:r>
          </w:p>
        </w:tc>
      </w:tr>
      <w:tr w14:paraId="5B54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0" w:type="auto"/>
            <w:vAlign w:val="center"/>
          </w:tcPr>
          <w:p w14:paraId="5040FC1A">
            <w:pPr>
              <w:jc w:val="center"/>
              <w:rPr>
                <w:rFonts w:hint="eastAsia" w:ascii="仿宋" w:hAnsi="仿宋" w:eastAsia="仿宋" w:cs="宋体"/>
                <w:sz w:val="24"/>
                <w:szCs w:val="24"/>
                <w:highlight w:val="none"/>
                <w:lang w:eastAsia="zh-CN"/>
              </w:rPr>
            </w:pPr>
            <w:r>
              <w:rPr>
                <w:rFonts w:hint="eastAsia" w:ascii="仿宋" w:hAnsi="仿宋" w:eastAsia="仿宋" w:cs="宋体"/>
                <w:sz w:val="24"/>
                <w:szCs w:val="24"/>
                <w:highlight w:val="none"/>
                <w:lang w:val="en-US" w:eastAsia="zh-CN"/>
              </w:rPr>
              <w:t>5</w:t>
            </w:r>
          </w:p>
        </w:tc>
        <w:tc>
          <w:tcPr>
            <w:tcW w:w="1308" w:type="dxa"/>
            <w:vAlign w:val="center"/>
          </w:tcPr>
          <w:p w14:paraId="4CB097CA">
            <w:pPr>
              <w:jc w:val="center"/>
              <w:rPr>
                <w:rFonts w:hint="eastAsia" w:ascii="仿宋" w:hAnsi="仿宋" w:eastAsia="仿宋" w:cs="宋体"/>
                <w:sz w:val="24"/>
                <w:szCs w:val="24"/>
                <w:highlight w:val="none"/>
                <w:lang w:eastAsia="zh-CN"/>
              </w:rPr>
            </w:pPr>
            <w:r>
              <w:rPr>
                <w:rFonts w:hint="eastAsia" w:ascii="仿宋" w:hAnsi="仿宋" w:eastAsia="仿宋" w:cs="宋体"/>
                <w:sz w:val="24"/>
                <w:szCs w:val="24"/>
                <w:highlight w:val="none"/>
              </w:rPr>
              <w:t>履约能力</w:t>
            </w:r>
          </w:p>
        </w:tc>
        <w:tc>
          <w:tcPr>
            <w:tcW w:w="709" w:type="dxa"/>
            <w:vAlign w:val="center"/>
          </w:tcPr>
          <w:p w14:paraId="5F6B02FB">
            <w:pPr>
              <w:jc w:val="center"/>
              <w:rPr>
                <w:rFonts w:hint="default"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20</w:t>
            </w:r>
          </w:p>
        </w:tc>
        <w:tc>
          <w:tcPr>
            <w:tcW w:w="6237" w:type="dxa"/>
            <w:vAlign w:val="center"/>
          </w:tcPr>
          <w:p w14:paraId="6E9592EE">
            <w:pPr>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供应商提供自202</w:t>
            </w:r>
            <w:r>
              <w:rPr>
                <w:rFonts w:hint="eastAsia" w:ascii="仿宋" w:hAnsi="仿宋" w:eastAsia="仿宋" w:cs="宋体"/>
                <w:sz w:val="24"/>
                <w:szCs w:val="24"/>
                <w:highlight w:val="none"/>
                <w:lang w:val="en-US" w:eastAsia="zh-CN"/>
              </w:rPr>
              <w:t>3</w:t>
            </w:r>
            <w:r>
              <w:rPr>
                <w:rFonts w:hint="eastAsia" w:ascii="仿宋" w:hAnsi="仿宋" w:eastAsia="仿宋" w:cs="宋体"/>
                <w:sz w:val="24"/>
                <w:szCs w:val="24"/>
                <w:highlight w:val="none"/>
              </w:rPr>
              <w:t>年</w:t>
            </w:r>
            <w:r>
              <w:rPr>
                <w:rFonts w:hint="eastAsia" w:ascii="仿宋" w:hAnsi="仿宋" w:eastAsia="仿宋" w:cs="宋体"/>
                <w:sz w:val="24"/>
                <w:szCs w:val="24"/>
                <w:highlight w:val="none"/>
                <w:lang w:val="en-US" w:eastAsia="zh-CN"/>
              </w:rPr>
              <w:t>7</w:t>
            </w:r>
            <w:r>
              <w:rPr>
                <w:rFonts w:hint="eastAsia" w:ascii="仿宋" w:hAnsi="仿宋" w:eastAsia="仿宋" w:cs="宋体"/>
                <w:sz w:val="24"/>
                <w:szCs w:val="24"/>
                <w:highlight w:val="none"/>
              </w:rPr>
              <w:t>月至本项目响应文件递交截止时间（以合同签订日期为准）具有</w:t>
            </w:r>
            <w:r>
              <w:rPr>
                <w:rFonts w:hint="eastAsia" w:ascii="仿宋" w:hAnsi="仿宋" w:eastAsia="仿宋" w:cs="宋体"/>
                <w:sz w:val="24"/>
                <w:szCs w:val="24"/>
                <w:highlight w:val="none"/>
                <w:lang w:val="en-US" w:eastAsia="zh-CN"/>
              </w:rPr>
              <w:t>宣传片拍摄</w:t>
            </w:r>
            <w:r>
              <w:rPr>
                <w:rFonts w:hint="eastAsia" w:ascii="仿宋" w:hAnsi="仿宋" w:eastAsia="仿宋" w:cs="宋体"/>
                <w:sz w:val="24"/>
                <w:szCs w:val="24"/>
                <w:highlight w:val="none"/>
              </w:rPr>
              <w:t>服务项目实施案例的,每提供一个加5分。</w:t>
            </w:r>
          </w:p>
          <w:p w14:paraId="17D98F83">
            <w:pPr>
              <w:jc w:val="left"/>
              <w:rPr>
                <w:rFonts w:hint="eastAsia" w:ascii="仿宋" w:hAnsi="仿宋" w:eastAsia="仿宋" w:cs="宋体"/>
                <w:b/>
                <w:bCs/>
                <w:sz w:val="24"/>
                <w:szCs w:val="24"/>
                <w:highlight w:val="none"/>
              </w:rPr>
            </w:pPr>
            <w:r>
              <w:rPr>
                <w:rFonts w:hint="eastAsia" w:ascii="仿宋" w:hAnsi="仿宋" w:eastAsia="仿宋" w:cs="宋体"/>
                <w:b/>
                <w:bCs/>
                <w:sz w:val="24"/>
                <w:szCs w:val="24"/>
                <w:highlight w:val="none"/>
              </w:rPr>
              <w:t>本项满分20分。</w:t>
            </w:r>
          </w:p>
          <w:p w14:paraId="5C602B25">
            <w:pPr>
              <w:jc w:val="left"/>
              <w:rPr>
                <w:rFonts w:hint="eastAsia" w:ascii="仿宋" w:hAnsi="仿宋" w:eastAsia="仿宋" w:cs="宋体"/>
                <w:sz w:val="24"/>
                <w:szCs w:val="24"/>
                <w:highlight w:val="none"/>
              </w:rPr>
            </w:pPr>
            <w:r>
              <w:rPr>
                <w:rFonts w:hint="eastAsia" w:ascii="仿宋" w:hAnsi="仿宋" w:eastAsia="仿宋" w:cs="宋体"/>
                <w:b/>
                <w:bCs/>
                <w:sz w:val="24"/>
                <w:szCs w:val="24"/>
                <w:highlight w:val="none"/>
              </w:rPr>
              <w:t>【评审依据】：响应文件中提供合同复印件并加盖供应商公章。（合同复印件需提供合同首页、标的或内容所在页、签字盖章页）</w:t>
            </w:r>
          </w:p>
        </w:tc>
      </w:tr>
    </w:tbl>
    <w:p w14:paraId="2927E818"/>
    <w:p w14:paraId="2CE8C035"/>
    <w:p w14:paraId="450018AE"/>
    <w:p w14:paraId="5077E8EB">
      <w:pPr>
        <w:pStyle w:val="19"/>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19"/>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26A326CD">
      <w:pPr>
        <w:pStyle w:val="19"/>
        <w:ind w:left="0" w:leftChars="0" w:firstLine="0"/>
      </w:pPr>
    </w:p>
    <w:p w14:paraId="4DFEE8F5">
      <w:pPr>
        <w:pStyle w:val="19"/>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1"/>
        <w:adjustRightInd w:val="0"/>
        <w:snapToGrid w:val="0"/>
        <w:spacing w:line="360" w:lineRule="auto"/>
        <w:rPr>
          <w:rFonts w:hint="eastAsia" w:ascii="仿宋_GB2312" w:hAnsi="宋体" w:eastAsia="仿宋_GB2312"/>
          <w:b/>
        </w:rPr>
      </w:pPr>
    </w:p>
    <w:p w14:paraId="495F3925">
      <w:pPr>
        <w:pStyle w:val="11"/>
        <w:adjustRightInd w:val="0"/>
        <w:snapToGrid w:val="0"/>
        <w:spacing w:line="360" w:lineRule="auto"/>
        <w:rPr>
          <w:rFonts w:hint="eastAsia" w:ascii="仿宋_GB2312" w:hAnsi="宋体" w:eastAsia="仿宋_GB2312"/>
          <w:b/>
        </w:rPr>
      </w:pPr>
    </w:p>
    <w:p w14:paraId="002BFB56">
      <w:pPr>
        <w:pStyle w:val="11"/>
        <w:adjustRightInd w:val="0"/>
        <w:snapToGrid w:val="0"/>
        <w:spacing w:line="360" w:lineRule="auto"/>
        <w:rPr>
          <w:rFonts w:hint="eastAsia" w:ascii="仿宋_GB2312" w:hAnsi="宋体" w:eastAsia="仿宋_GB2312"/>
          <w:b/>
        </w:rPr>
      </w:pPr>
    </w:p>
    <w:p w14:paraId="3BA2FD4C">
      <w:pPr>
        <w:pStyle w:val="11"/>
        <w:adjustRightInd w:val="0"/>
        <w:snapToGrid w:val="0"/>
        <w:spacing w:line="360" w:lineRule="auto"/>
        <w:rPr>
          <w:rFonts w:hint="eastAsia" w:ascii="仿宋_GB2312" w:hAnsi="宋体" w:eastAsia="仿宋_GB2312"/>
          <w:b/>
        </w:rPr>
      </w:pPr>
    </w:p>
    <w:p w14:paraId="5C02B142">
      <w:pPr>
        <w:pStyle w:val="11"/>
        <w:adjustRightInd w:val="0"/>
        <w:snapToGrid w:val="0"/>
        <w:spacing w:line="360" w:lineRule="auto"/>
        <w:rPr>
          <w:rFonts w:hint="eastAsia" w:ascii="仿宋_GB2312" w:hAnsi="宋体" w:eastAsia="仿宋_GB2312"/>
          <w:b/>
        </w:rPr>
      </w:pPr>
    </w:p>
    <w:p w14:paraId="625771E2">
      <w:pPr>
        <w:pStyle w:val="11"/>
        <w:adjustRightInd w:val="0"/>
        <w:snapToGrid w:val="0"/>
        <w:spacing w:line="360" w:lineRule="auto"/>
        <w:rPr>
          <w:rFonts w:hint="eastAsia" w:ascii="仿宋_GB2312" w:hAnsi="宋体" w:eastAsia="仿宋_GB2312"/>
          <w:b/>
        </w:rPr>
      </w:pPr>
    </w:p>
    <w:p w14:paraId="4396E67A">
      <w:pPr>
        <w:pStyle w:val="11"/>
        <w:adjustRightInd w:val="0"/>
        <w:snapToGrid w:val="0"/>
        <w:spacing w:line="360" w:lineRule="auto"/>
        <w:rPr>
          <w:rFonts w:hint="eastAsia" w:ascii="仿宋_GB2312" w:hAnsi="宋体" w:eastAsia="仿宋_GB2312"/>
          <w:b/>
        </w:rPr>
      </w:pPr>
    </w:p>
    <w:p w14:paraId="33EE1F5B">
      <w:pPr>
        <w:pStyle w:val="11"/>
        <w:adjustRightInd w:val="0"/>
        <w:snapToGrid w:val="0"/>
        <w:spacing w:line="360" w:lineRule="auto"/>
        <w:rPr>
          <w:rFonts w:hint="eastAsia" w:ascii="仿宋_GB2312" w:hAnsi="宋体" w:eastAsia="仿宋_GB2312"/>
          <w:b/>
        </w:rPr>
      </w:pPr>
    </w:p>
    <w:p w14:paraId="6BA60C6A">
      <w:pPr>
        <w:pStyle w:val="11"/>
        <w:adjustRightInd w:val="0"/>
        <w:snapToGrid w:val="0"/>
        <w:spacing w:line="360" w:lineRule="auto"/>
        <w:rPr>
          <w:rFonts w:hint="eastAsia" w:ascii="仿宋_GB2312" w:hAnsi="宋体" w:eastAsia="仿宋_GB2312"/>
          <w:b/>
        </w:rPr>
      </w:pPr>
    </w:p>
    <w:p w14:paraId="2CCC1DC8">
      <w:pPr>
        <w:pStyle w:val="11"/>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1"/>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1"/>
        <w:adjustRightInd w:val="0"/>
        <w:snapToGrid w:val="0"/>
        <w:spacing w:line="360" w:lineRule="auto"/>
        <w:rPr>
          <w:rFonts w:hint="eastAsia" w:ascii="仿宋" w:hAnsi="仿宋" w:eastAsia="仿宋"/>
          <w:sz w:val="24"/>
          <w:szCs w:val="24"/>
        </w:rPr>
      </w:pPr>
    </w:p>
    <w:p w14:paraId="5B8CF27D">
      <w:pPr>
        <w:pStyle w:val="11"/>
        <w:adjustRightInd w:val="0"/>
        <w:snapToGrid w:val="0"/>
        <w:spacing w:line="360" w:lineRule="auto"/>
        <w:rPr>
          <w:rFonts w:hint="eastAsia" w:ascii="仿宋" w:hAnsi="仿宋" w:eastAsia="仿宋"/>
          <w:sz w:val="24"/>
          <w:szCs w:val="24"/>
        </w:rPr>
      </w:pPr>
    </w:p>
    <w:p w14:paraId="0E155071">
      <w:pPr>
        <w:pStyle w:val="11"/>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9"/>
      </w:pPr>
    </w:p>
    <w:p w14:paraId="10CB8852"/>
    <w:p w14:paraId="7F870902"/>
    <w:p w14:paraId="78DBABB8">
      <w:pPr>
        <w:pStyle w:val="19"/>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9"/>
        <w:rPr>
          <w:rFonts w:hint="eastAsia" w:ascii="仿宋" w:hAnsi="仿宋" w:eastAsia="仿宋"/>
        </w:rPr>
      </w:pPr>
    </w:p>
    <w:p w14:paraId="5550980C">
      <w:pPr>
        <w:pStyle w:val="19"/>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panose1 w:val="02000000000000000000"/>
    <w:charset w:val="86"/>
    <w:family w:val="script"/>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6F7F53A7">
        <w:pPr>
          <w:pStyle w:val="15"/>
          <w:jc w:val="center"/>
        </w:pPr>
        <w:r>
          <w:fldChar w:fldCharType="begin"/>
        </w:r>
        <w:r>
          <w:instrText xml:space="preserve">PAGE   \* MERGEFORMAT</w:instrText>
        </w:r>
        <w:r>
          <w:fldChar w:fldCharType="separate"/>
        </w:r>
        <w:r>
          <w:rPr>
            <w:lang w:val="zh-CN"/>
          </w:rPr>
          <w:t>25</w:t>
        </w:r>
        <w:r>
          <w:fldChar w:fldCharType="end"/>
        </w:r>
      </w:p>
    </w:sdtContent>
  </w:sdt>
  <w:p w14:paraId="4ACC8206">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5"/>
      <w:framePr w:wrap="around" w:vAnchor="text" w:hAnchor="margin" w:xAlign="center" w:y="1"/>
      <w:rPr>
        <w:rStyle w:val="24"/>
      </w:rPr>
    </w:pPr>
    <w:r>
      <w:fldChar w:fldCharType="begin"/>
    </w:r>
    <w:r>
      <w:rPr>
        <w:rStyle w:val="24"/>
      </w:rPr>
      <w:instrText xml:space="preserve">PAGE  </w:instrText>
    </w:r>
    <w:r>
      <w:fldChar w:fldCharType="end"/>
    </w:r>
  </w:p>
  <w:p w14:paraId="7B4CFFC0">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6"/>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9BD7020"/>
    <w:rsid w:val="0A9926DB"/>
    <w:rsid w:val="0BAA5736"/>
    <w:rsid w:val="0C3721EC"/>
    <w:rsid w:val="0C611DA3"/>
    <w:rsid w:val="0CEC11E8"/>
    <w:rsid w:val="0CFD51A3"/>
    <w:rsid w:val="0D7A240F"/>
    <w:rsid w:val="0FB06655"/>
    <w:rsid w:val="10912321"/>
    <w:rsid w:val="10C81F6C"/>
    <w:rsid w:val="11BE5B42"/>
    <w:rsid w:val="13A26E3E"/>
    <w:rsid w:val="13AE369B"/>
    <w:rsid w:val="144F1BCA"/>
    <w:rsid w:val="14FD6A90"/>
    <w:rsid w:val="15455939"/>
    <w:rsid w:val="15953C0B"/>
    <w:rsid w:val="15B12877"/>
    <w:rsid w:val="16D36F75"/>
    <w:rsid w:val="16FC64CC"/>
    <w:rsid w:val="172E31C9"/>
    <w:rsid w:val="17C3509D"/>
    <w:rsid w:val="19E54DD6"/>
    <w:rsid w:val="1A07140F"/>
    <w:rsid w:val="1A7D2861"/>
    <w:rsid w:val="1B451A26"/>
    <w:rsid w:val="1BB90E2F"/>
    <w:rsid w:val="1C4A0C72"/>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3163566D"/>
    <w:rsid w:val="31D8203D"/>
    <w:rsid w:val="31FA2FC3"/>
    <w:rsid w:val="3248523C"/>
    <w:rsid w:val="353327D7"/>
    <w:rsid w:val="35A3072E"/>
    <w:rsid w:val="35BA60CE"/>
    <w:rsid w:val="38CA49CD"/>
    <w:rsid w:val="39D54C2E"/>
    <w:rsid w:val="3A731769"/>
    <w:rsid w:val="3B3140E6"/>
    <w:rsid w:val="3B8763FC"/>
    <w:rsid w:val="3C0E61D6"/>
    <w:rsid w:val="3D912B45"/>
    <w:rsid w:val="3DC92B7D"/>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9549A9"/>
    <w:rsid w:val="4DEA6AA2"/>
    <w:rsid w:val="4DF74D1B"/>
    <w:rsid w:val="4FD550F4"/>
    <w:rsid w:val="505E5526"/>
    <w:rsid w:val="50C025FA"/>
    <w:rsid w:val="51CA3B38"/>
    <w:rsid w:val="53425821"/>
    <w:rsid w:val="543D7D43"/>
    <w:rsid w:val="54413194"/>
    <w:rsid w:val="554E608A"/>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EED5E29"/>
    <w:rsid w:val="5EFD0F85"/>
    <w:rsid w:val="5F4578E7"/>
    <w:rsid w:val="5F4E26F5"/>
    <w:rsid w:val="60511ABB"/>
    <w:rsid w:val="62173015"/>
    <w:rsid w:val="6228716A"/>
    <w:rsid w:val="62652744"/>
    <w:rsid w:val="62A30E36"/>
    <w:rsid w:val="63A20CFF"/>
    <w:rsid w:val="63F83144"/>
    <w:rsid w:val="65AA7C28"/>
    <w:rsid w:val="66DC6D4D"/>
    <w:rsid w:val="68B735CD"/>
    <w:rsid w:val="69807AEF"/>
    <w:rsid w:val="6A400653"/>
    <w:rsid w:val="6A7F45BF"/>
    <w:rsid w:val="6B5A68F5"/>
    <w:rsid w:val="6BBF5D79"/>
    <w:rsid w:val="6BC9041D"/>
    <w:rsid w:val="6DAB7F02"/>
    <w:rsid w:val="719E17CE"/>
    <w:rsid w:val="71CD20B4"/>
    <w:rsid w:val="72567DE8"/>
    <w:rsid w:val="72C16AF2"/>
    <w:rsid w:val="72FA6ED8"/>
    <w:rsid w:val="73A76E7D"/>
    <w:rsid w:val="74A23383"/>
    <w:rsid w:val="75730384"/>
    <w:rsid w:val="78401AE9"/>
    <w:rsid w:val="78DC5ABF"/>
    <w:rsid w:val="7B4E5EDA"/>
    <w:rsid w:val="7BEB3862"/>
    <w:rsid w:val="7C7B7C1A"/>
    <w:rsid w:val="7D210FAE"/>
    <w:rsid w:val="7DE95B7F"/>
    <w:rsid w:val="7DF64DA9"/>
    <w:rsid w:val="7E151C77"/>
    <w:rsid w:val="BEB97195"/>
    <w:rsid w:val="CB70DE25"/>
    <w:rsid w:val="E7C65617"/>
    <w:rsid w:val="FBC9E3D8"/>
    <w:rsid w:val="FCF6214B"/>
    <w:rsid w:val="FDE75CD3"/>
    <w:rsid w:val="FFF74D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0"/>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3"/>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6"/>
    <w:basedOn w:val="1"/>
    <w:next w:val="1"/>
    <w:link w:val="37"/>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7">
    <w:name w:val="Document Map"/>
    <w:basedOn w:val="1"/>
    <w:link w:val="27"/>
    <w:semiHidden/>
    <w:unhideWhenUsed/>
    <w:qFormat/>
    <w:uiPriority w:val="99"/>
    <w:rPr>
      <w:rFonts w:ascii="宋体"/>
      <w:sz w:val="18"/>
      <w:szCs w:val="18"/>
    </w:rPr>
  </w:style>
  <w:style w:type="paragraph" w:styleId="8">
    <w:name w:val="Body Text"/>
    <w:basedOn w:val="1"/>
    <w:next w:val="9"/>
    <w:link w:val="38"/>
    <w:qFormat/>
    <w:uiPriority w:val="0"/>
    <w:pPr>
      <w:spacing w:after="120"/>
    </w:pPr>
    <w:rPr>
      <w:rFonts w:ascii="Times New Roman" w:hAnsi="Times New Roman"/>
      <w:szCs w:val="24"/>
    </w:rPr>
  </w:style>
  <w:style w:type="paragraph" w:customStyle="1" w:styleId="9">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paragraph" w:styleId="10">
    <w:name w:val="Body Text Indent"/>
    <w:basedOn w:val="1"/>
    <w:unhideWhenUsed/>
    <w:qFormat/>
    <w:uiPriority w:val="99"/>
    <w:pPr>
      <w:spacing w:after="120"/>
      <w:ind w:left="420" w:leftChars="200"/>
    </w:pPr>
  </w:style>
  <w:style w:type="paragraph" w:styleId="11">
    <w:name w:val="Plain Text"/>
    <w:basedOn w:val="1"/>
    <w:link w:val="31"/>
    <w:qFormat/>
    <w:uiPriority w:val="0"/>
    <w:rPr>
      <w:rFonts w:ascii="宋体" w:hAnsi="Courier New"/>
      <w:kern w:val="0"/>
      <w:szCs w:val="20"/>
    </w:rPr>
  </w:style>
  <w:style w:type="paragraph" w:styleId="12">
    <w:name w:val="Date"/>
    <w:basedOn w:val="1"/>
    <w:next w:val="1"/>
    <w:link w:val="29"/>
    <w:semiHidden/>
    <w:unhideWhenUsed/>
    <w:qFormat/>
    <w:uiPriority w:val="99"/>
    <w:pPr>
      <w:ind w:left="100" w:leftChars="2500"/>
    </w:pPr>
  </w:style>
  <w:style w:type="paragraph" w:styleId="13">
    <w:name w:val="Body Text Indent 2"/>
    <w:basedOn w:val="1"/>
    <w:link w:val="42"/>
    <w:qFormat/>
    <w:uiPriority w:val="99"/>
    <w:pPr>
      <w:spacing w:after="120" w:line="480" w:lineRule="auto"/>
      <w:ind w:left="420" w:leftChars="200"/>
    </w:pPr>
    <w:rPr>
      <w:kern w:val="0"/>
      <w:sz w:val="24"/>
    </w:rPr>
  </w:style>
  <w:style w:type="paragraph" w:styleId="14">
    <w:name w:val="endnote text"/>
    <w:basedOn w:val="1"/>
    <w:next w:val="8"/>
    <w:qFormat/>
    <w:uiPriority w:val="0"/>
    <w:rPr>
      <w:rFonts w:ascii="Times New Roman" w:hAnsi="Times New Roman" w:eastAsia="宋体" w:cs="Times New Roman"/>
    </w:rPr>
  </w:style>
  <w:style w:type="paragraph" w:styleId="15">
    <w:name w:val="footer"/>
    <w:basedOn w:val="1"/>
    <w:link w:val="26"/>
    <w:unhideWhenUsed/>
    <w:qFormat/>
    <w:uiPriority w:val="99"/>
    <w:pPr>
      <w:tabs>
        <w:tab w:val="center" w:pos="4153"/>
        <w:tab w:val="right" w:pos="8306"/>
      </w:tabs>
      <w:snapToGrid w:val="0"/>
      <w:jc w:val="left"/>
    </w:pPr>
    <w:rPr>
      <w:sz w:val="18"/>
      <w:szCs w:val="18"/>
    </w:rPr>
  </w:style>
  <w:style w:type="paragraph" w:styleId="16">
    <w:name w:val="header"/>
    <w:basedOn w:val="1"/>
    <w:link w:val="25"/>
    <w:unhideWhenUsed/>
    <w:qFormat/>
    <w:uiPriority w:val="0"/>
    <w:pPr>
      <w:pBdr>
        <w:bottom w:val="single" w:color="auto" w:sz="6" w:space="1"/>
      </w:pBdr>
      <w:tabs>
        <w:tab w:val="center" w:pos="4153"/>
        <w:tab w:val="right" w:pos="8306"/>
      </w:tabs>
      <w:snapToGrid w:val="0"/>
      <w:jc w:val="center"/>
    </w:pPr>
    <w:rPr>
      <w:sz w:val="18"/>
      <w:szCs w:val="18"/>
    </w:rPr>
  </w:style>
  <w:style w:type="paragraph" w:styleId="1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8">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9">
    <w:name w:val="Body Text First Indent 2"/>
    <w:basedOn w:val="10"/>
    <w:unhideWhenUsed/>
    <w:qFormat/>
    <w:uiPriority w:val="99"/>
    <w:pPr>
      <w:spacing w:before="100" w:beforeAutospacing="1"/>
      <w:ind w:firstLine="420"/>
    </w:pPr>
    <w:rPr>
      <w:szCs w:val="21"/>
    </w:rPr>
  </w:style>
  <w:style w:type="table" w:styleId="21">
    <w:name w:val="Table Grid"/>
    <w:basedOn w:val="20"/>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rPr>
  </w:style>
  <w:style w:type="character" w:styleId="24">
    <w:name w:val="page number"/>
    <w:basedOn w:val="22"/>
    <w:qFormat/>
    <w:uiPriority w:val="0"/>
  </w:style>
  <w:style w:type="character" w:customStyle="1" w:styleId="25">
    <w:name w:val="页眉 字符"/>
    <w:basedOn w:val="22"/>
    <w:link w:val="16"/>
    <w:qFormat/>
    <w:uiPriority w:val="0"/>
    <w:rPr>
      <w:rFonts w:ascii="Calibri" w:hAnsi="Calibri" w:eastAsia="宋体" w:cs="Times New Roman"/>
      <w:sz w:val="18"/>
      <w:szCs w:val="18"/>
    </w:rPr>
  </w:style>
  <w:style w:type="character" w:customStyle="1" w:styleId="26">
    <w:name w:val="页脚 字符"/>
    <w:basedOn w:val="22"/>
    <w:link w:val="15"/>
    <w:qFormat/>
    <w:uiPriority w:val="99"/>
    <w:rPr>
      <w:rFonts w:ascii="Calibri" w:hAnsi="Calibri" w:eastAsia="宋体" w:cs="Times New Roman"/>
      <w:sz w:val="18"/>
      <w:szCs w:val="18"/>
    </w:rPr>
  </w:style>
  <w:style w:type="character" w:customStyle="1" w:styleId="27">
    <w:name w:val="文档结构图 字符"/>
    <w:basedOn w:val="22"/>
    <w:link w:val="7"/>
    <w:semiHidden/>
    <w:qFormat/>
    <w:uiPriority w:val="99"/>
    <w:rPr>
      <w:rFonts w:ascii="宋体" w:hAnsi="Calibri" w:eastAsia="宋体" w:cs="Times New Roman"/>
      <w:sz w:val="18"/>
      <w:szCs w:val="18"/>
    </w:rPr>
  </w:style>
  <w:style w:type="paragraph" w:customStyle="1" w:styleId="28">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9">
    <w:name w:val="日期 字符"/>
    <w:basedOn w:val="22"/>
    <w:link w:val="12"/>
    <w:semiHidden/>
    <w:qFormat/>
    <w:uiPriority w:val="99"/>
    <w:rPr>
      <w:rFonts w:ascii="Calibri" w:hAnsi="Calibri" w:eastAsia="宋体" w:cs="Times New Roman"/>
    </w:rPr>
  </w:style>
  <w:style w:type="character" w:customStyle="1" w:styleId="30">
    <w:name w:val="标题 1 字符"/>
    <w:basedOn w:val="22"/>
    <w:link w:val="2"/>
    <w:qFormat/>
    <w:uiPriority w:val="0"/>
    <w:rPr>
      <w:rFonts w:ascii="Cambria" w:hAnsi="Cambria" w:eastAsia="华文中宋" w:cs="Times New Roman"/>
      <w:b/>
      <w:bCs/>
      <w:sz w:val="44"/>
      <w:szCs w:val="28"/>
    </w:rPr>
  </w:style>
  <w:style w:type="character" w:customStyle="1" w:styleId="31">
    <w:name w:val="纯文本 字符"/>
    <w:link w:val="11"/>
    <w:qFormat/>
    <w:locked/>
    <w:uiPriority w:val="0"/>
    <w:rPr>
      <w:rFonts w:ascii="宋体" w:hAnsi="Courier New"/>
      <w:sz w:val="21"/>
    </w:rPr>
  </w:style>
  <w:style w:type="character" w:customStyle="1" w:styleId="32">
    <w:name w:val="纯文本 Char"/>
    <w:basedOn w:val="22"/>
    <w:semiHidden/>
    <w:qFormat/>
    <w:uiPriority w:val="99"/>
    <w:rPr>
      <w:rFonts w:ascii="宋体" w:hAnsi="Courier New" w:cs="Courier New"/>
      <w:kern w:val="2"/>
      <w:sz w:val="21"/>
      <w:szCs w:val="21"/>
    </w:rPr>
  </w:style>
  <w:style w:type="character" w:customStyle="1" w:styleId="33">
    <w:name w:val="标题 2 字符"/>
    <w:basedOn w:val="22"/>
    <w:link w:val="3"/>
    <w:semiHidden/>
    <w:qFormat/>
    <w:uiPriority w:val="9"/>
    <w:rPr>
      <w:rFonts w:asciiTheme="majorHAnsi" w:hAnsiTheme="majorHAnsi" w:eastAsiaTheme="majorEastAsia" w:cstheme="majorBidi"/>
      <w:b/>
      <w:bCs/>
      <w:kern w:val="2"/>
      <w:sz w:val="32"/>
      <w:szCs w:val="32"/>
    </w:rPr>
  </w:style>
  <w:style w:type="paragraph" w:customStyle="1" w:styleId="34">
    <w:name w:val="Table Paragraph"/>
    <w:basedOn w:val="1"/>
    <w:qFormat/>
    <w:uiPriority w:val="1"/>
  </w:style>
  <w:style w:type="paragraph" w:customStyle="1" w:styleId="35">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6">
    <w:name w:val="Char1 Char Char Char Char Char Char Char"/>
    <w:basedOn w:val="1"/>
    <w:qFormat/>
    <w:uiPriority w:val="0"/>
    <w:rPr>
      <w:rFonts w:ascii="Tahoma" w:hAnsi="Tahoma"/>
      <w:sz w:val="24"/>
      <w:szCs w:val="20"/>
    </w:rPr>
  </w:style>
  <w:style w:type="character" w:customStyle="1" w:styleId="37">
    <w:name w:val="标题 6 字符"/>
    <w:basedOn w:val="22"/>
    <w:link w:val="5"/>
    <w:qFormat/>
    <w:uiPriority w:val="9"/>
    <w:rPr>
      <w:rFonts w:asciiTheme="majorHAnsi" w:hAnsiTheme="majorHAnsi" w:eastAsiaTheme="majorEastAsia" w:cstheme="majorBidi"/>
      <w:b/>
      <w:bCs/>
      <w:kern w:val="2"/>
      <w:sz w:val="24"/>
      <w:szCs w:val="24"/>
    </w:rPr>
  </w:style>
  <w:style w:type="character" w:customStyle="1" w:styleId="38">
    <w:name w:val="正文文本 字符"/>
    <w:basedOn w:val="22"/>
    <w:link w:val="8"/>
    <w:qFormat/>
    <w:uiPriority w:val="0"/>
    <w:rPr>
      <w:kern w:val="2"/>
      <w:sz w:val="21"/>
      <w:szCs w:val="24"/>
    </w:rPr>
  </w:style>
  <w:style w:type="paragraph" w:styleId="39">
    <w:name w:val="List Paragraph"/>
    <w:basedOn w:val="1"/>
    <w:qFormat/>
    <w:uiPriority w:val="34"/>
    <w:pPr>
      <w:ind w:firstLine="420" w:firstLineChars="200"/>
    </w:pPr>
    <w:rPr>
      <w:rFonts w:ascii="Times New Roman" w:hAnsi="Times New Roman"/>
      <w:szCs w:val="24"/>
    </w:rPr>
  </w:style>
  <w:style w:type="paragraph" w:customStyle="1" w:styleId="40">
    <w:name w:val="样式 宋体1"/>
    <w:basedOn w:val="1"/>
    <w:qFormat/>
    <w:uiPriority w:val="0"/>
    <w:pPr>
      <w:ind w:firstLine="420" w:firstLineChars="200"/>
      <w:jc w:val="left"/>
    </w:pPr>
    <w:rPr>
      <w:rFonts w:ascii="宋体" w:hAnsi="宋体" w:eastAsia="等线" w:cs="宋体"/>
      <w:szCs w:val="20"/>
    </w:rPr>
  </w:style>
  <w:style w:type="paragraph" w:customStyle="1" w:styleId="41">
    <w:name w:val="Normal_1"/>
    <w:qFormat/>
    <w:uiPriority w:val="0"/>
    <w:rPr>
      <w:rFonts w:ascii="Calibri" w:hAnsi="Calibri" w:eastAsia="宋体" w:cs="Times New Roman"/>
      <w:sz w:val="24"/>
      <w:szCs w:val="24"/>
      <w:lang w:val="en-US" w:eastAsia="zh-CN" w:bidi="ar-SA"/>
    </w:rPr>
  </w:style>
  <w:style w:type="character" w:customStyle="1" w:styleId="42">
    <w:name w:val="正文文本缩进 2 字符"/>
    <w:link w:val="13"/>
    <w:qFormat/>
    <w:uiPriority w:val="99"/>
    <w:rPr>
      <w:rFonts w:ascii="Calibri" w:hAnsi="Calibri"/>
      <w:sz w:val="24"/>
      <w:szCs w:val="22"/>
    </w:rPr>
  </w:style>
  <w:style w:type="paragraph" w:customStyle="1" w:styleId="43">
    <w:name w:val="01 文件标题"/>
    <w:basedOn w:val="1"/>
    <w:next w:val="1"/>
    <w:qFormat/>
    <w:uiPriority w:val="0"/>
    <w:pPr>
      <w:spacing w:line="560" w:lineRule="exact"/>
      <w:jc w:val="center"/>
    </w:pPr>
    <w:rPr>
      <w:rFonts w:ascii="方正小标宋简体" w:eastAsia="方正小标宋简体"/>
      <w:sz w:val="44"/>
    </w:rPr>
  </w:style>
  <w:style w:type="paragraph" w:customStyle="1" w:styleId="44">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5">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2993</Words>
  <Characters>3149</Characters>
  <Lines>31</Lines>
  <Paragraphs>9</Paragraphs>
  <TotalTime>0</TotalTime>
  <ScaleCrop>false</ScaleCrop>
  <LinksUpToDate>false</LinksUpToDate>
  <CharactersWithSpaces>3253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2025-01-21T03:35:00Z</dcterms:created>
  <dc:creator>china</dc:creator>
  <cp:lastModifiedBy>郭畅</cp:lastModifiedBy>
  <cp:lastPrinted>2020-08-26T02:17:00Z</cp:lastPrinted>
  <dcterms:modified xsi:type="dcterms:W3CDTF">2026-07-31T02:31:16Z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87A7CA5D650648F7B9512DEABA9C0F74_13</vt:lpwstr>
  </property>
  <property fmtid="{D5CDD505-2E9C-101B-9397-08002B2CF9AE}" pid="4" name="KSOTemplateDocerSaveRecord">
    <vt:lpwstr>eyJoZGlkIjoiMjc5NTgyNzY2MWI3MjY1ODkwZDg3YjAzM2I0MzQ2MjYiLCJ1c2VySWQiOiIzMzE3MTU2MzcifQ==</vt:lpwstr>
  </property>
</Properties>
</file>