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38C91AFA">
      <w:pPr>
        <w:pStyle w:val="41"/>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《机械设计基础》数字教材资源制作</w:t>
      </w:r>
    </w:p>
    <w:p w14:paraId="6E018500">
      <w:pPr>
        <w:pStyle w:val="41"/>
        <w:ind w:firstLine="2560" w:firstLineChars="800"/>
        <w:jc w:val="both"/>
        <w:rPr>
          <w:rFonts w:hint="eastAsia" w:ascii="黑体" w:hAnsi="黑体" w:eastAsia="黑体"/>
          <w:kern w:val="0"/>
          <w:sz w:val="32"/>
          <w:szCs w:val="32"/>
        </w:rPr>
      </w:pPr>
      <w:r>
        <w:rPr>
          <w:rFonts w:hint="eastAsia" w:ascii="黑体" w:hAnsi="黑体" w:eastAsia="黑体"/>
          <w:kern w:val="0"/>
          <w:sz w:val="32"/>
          <w:szCs w:val="32"/>
        </w:rPr>
        <w:t>（第一期）项目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w:t>
      </w:r>
      <w:r>
        <w:rPr>
          <w:rFonts w:ascii="黑体" w:hAnsi="黑体" w:eastAsia="黑体"/>
          <w:sz w:val="32"/>
          <w:szCs w:val="32"/>
        </w:rPr>
        <w:t>月</w:t>
      </w:r>
    </w:p>
    <w:p w14:paraId="3FD890A2">
      <w:pPr>
        <w:pStyle w:val="17"/>
      </w:pPr>
    </w:p>
    <w:p w14:paraId="40E4DFFA">
      <w:pPr>
        <w:pStyle w:val="17"/>
        <w:rPr>
          <w:szCs w:val="22"/>
        </w:rPr>
      </w:pP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b/>
          <w:sz w:val="36"/>
          <w:szCs w:val="36"/>
          <w:u w:val="none"/>
        </w:rPr>
        <w:t>《机械设计基础》数字教材资源制作（第一</w:t>
      </w:r>
      <w:r>
        <w:rPr>
          <w:rFonts w:ascii="黑体" w:hAnsi="黑体" w:eastAsia="黑体"/>
          <w:b/>
          <w:sz w:val="36"/>
          <w:szCs w:val="36"/>
          <w:u w:val="none"/>
        </w:rPr>
        <w:t>期</w:t>
      </w:r>
      <w:r>
        <w:rPr>
          <w:rFonts w:hint="eastAsia" w:ascii="黑体" w:hAnsi="黑体" w:eastAsia="黑体"/>
          <w:b/>
          <w:sz w:val="36"/>
          <w:szCs w:val="36"/>
          <w:u w:val="none"/>
        </w:rPr>
        <w:t>）项目询比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《机械设计基础》数字教材资源制作（第一期） 项目需进行采购，现采用发布公告方式，邀请</w:t>
      </w:r>
      <w:r>
        <w:rPr>
          <w:rFonts w:hint="eastAsia" w:ascii="仿宋" w:hAnsi="仿宋" w:eastAsia="仿宋"/>
          <w:sz w:val="24"/>
          <w:szCs w:val="24"/>
        </w:rPr>
        <w:t>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17794_WPSOffice_Level2"/>
      <w:bookmarkStart w:id="2" w:name="_Toc4659"/>
      <w:bookmarkStart w:id="3" w:name="_Toc26475"/>
      <w:bookmarkStart w:id="4" w:name="_Toc3564"/>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1.项目名称：</w:t>
      </w:r>
      <w:r>
        <w:rPr>
          <w:rFonts w:hint="eastAsia" w:ascii="仿宋" w:hAnsi="仿宋" w:eastAsia="仿宋"/>
          <w:sz w:val="24"/>
          <w:szCs w:val="24"/>
          <w:u w:val="none"/>
        </w:rPr>
        <w:t>《机械设计基础》数字教材资源制作（第一期）项目</w:t>
      </w:r>
    </w:p>
    <w:p w14:paraId="44784280">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 为满足轨道交通装备制造类专业人才培养需求，通过开发数字教材提升</w:t>
      </w:r>
      <w:bookmarkStart w:id="5" w:name="_Hlk209647061"/>
      <w:r>
        <w:rPr>
          <w:rFonts w:hint="eastAsia" w:ascii="仿宋" w:hAnsi="仿宋" w:eastAsia="仿宋"/>
          <w:sz w:val="24"/>
          <w:szCs w:val="24"/>
        </w:rPr>
        <w:t>《机械设计基础》课程</w:t>
      </w:r>
      <w:bookmarkEnd w:id="5"/>
      <w:r>
        <w:rPr>
          <w:rFonts w:hint="eastAsia" w:ascii="仿宋" w:hAnsi="仿宋" w:eastAsia="仿宋"/>
          <w:sz w:val="24"/>
          <w:szCs w:val="24"/>
        </w:rPr>
        <w:t>的教学效果。根据项目教学内容的需要，需设计和制作数字化教学资源。教学资源需紧密结合真实岗位工作流程、技术规范与国家标准，服务学生的理论学习、技能训练、知识拓展及技能要点掌握。</w:t>
      </w:r>
    </w:p>
    <w:p w14:paraId="5BF0E805">
      <w:pPr>
        <w:pStyle w:val="17"/>
        <w:snapToGrid w:val="0"/>
        <w:spacing w:before="0" w:beforeAutospacing="0" w:after="0" w:line="360" w:lineRule="auto"/>
        <w:ind w:left="0" w:leftChars="0" w:firstLine="480" w:firstLineChars="200"/>
        <w:rPr>
          <w:rFonts w:hint="eastAsia" w:ascii="仿宋" w:hAnsi="仿宋" w:eastAsia="仿宋"/>
          <w:sz w:val="24"/>
          <w:szCs w:val="24"/>
          <w:lang w:eastAsia="zh-CN"/>
        </w:rPr>
      </w:pPr>
      <w:r>
        <w:rPr>
          <w:rFonts w:hint="eastAsia" w:ascii="仿宋" w:hAnsi="仿宋" w:eastAsia="仿宋"/>
          <w:sz w:val="24"/>
          <w:szCs w:val="24"/>
        </w:rPr>
        <w:t>3.服务内容：供应商需严格按照采购人提供的技术规范、操作流程、国家标准及教学需求，完成《机械设计基础》课程数字教材的工艺流程脚本编写、视频拍摄与后期剪辑、合成、二维动画设计、三维动画设计等数字资源的策划、脚本编写、制作、修改及最终交付视频拍摄服务</w:t>
      </w:r>
      <w:r>
        <w:rPr>
          <w:rFonts w:hint="eastAsia" w:ascii="仿宋" w:hAnsi="仿宋" w:eastAsia="仿宋"/>
          <w:sz w:val="24"/>
          <w:szCs w:val="24"/>
          <w:lang w:eastAsia="zh-CN"/>
        </w:rPr>
        <w:t>。</w:t>
      </w:r>
    </w:p>
    <w:p w14:paraId="71947C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rPr>
        <w:t>7.145</w:t>
      </w:r>
      <w:r>
        <w:rPr>
          <w:rFonts w:ascii="仿宋" w:hAnsi="仿宋" w:eastAsia="仿宋"/>
          <w:sz w:val="24"/>
          <w:szCs w:val="24"/>
          <w:u w:val="none"/>
        </w:rPr>
        <w:t>万元</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2、特定资格条件：必须具备视频制作、数字资源制作或者软件设计资质。</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6" w:name="_Toc58335831"/>
      <w:r>
        <w:rPr>
          <w:rFonts w:hint="eastAsia" w:ascii="仿宋" w:hAnsi="仿宋" w:eastAsia="仿宋"/>
          <w:b/>
          <w:bCs/>
          <w:sz w:val="24"/>
          <w:szCs w:val="24"/>
        </w:rPr>
        <w:t>三、响应文件提交的截止时间、开启时间及地点</w:t>
      </w:r>
      <w:bookmarkEnd w:id="6"/>
    </w:p>
    <w:p w14:paraId="054E627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1．首次响应文件的提交截止时间：2025年</w:t>
      </w:r>
      <w:r>
        <w:rPr>
          <w:rFonts w:hint="eastAsia" w:ascii="仿宋" w:hAnsi="仿宋" w:eastAsia="仿宋"/>
          <w:sz w:val="24"/>
          <w:szCs w:val="24"/>
          <w:lang w:val="en-US" w:eastAsia="zh-CN"/>
        </w:rPr>
        <w:t>10</w:t>
      </w:r>
      <w:r>
        <w:rPr>
          <w:rFonts w:hint="eastAsia" w:ascii="仿宋" w:hAnsi="仿宋" w:eastAsia="仿宋"/>
          <w:sz w:val="24"/>
          <w:szCs w:val="24"/>
        </w:rPr>
        <w:t>月</w:t>
      </w:r>
      <w:r>
        <w:rPr>
          <w:rFonts w:hint="eastAsia" w:ascii="仿宋" w:hAnsi="仿宋" w:eastAsia="仿宋"/>
          <w:sz w:val="24"/>
          <w:szCs w:val="24"/>
          <w:lang w:val="en-US" w:eastAsia="zh-CN"/>
        </w:rPr>
        <w:t>15</w:t>
      </w:r>
      <w:r>
        <w:rPr>
          <w:rFonts w:hint="eastAsia" w:ascii="仿宋" w:hAnsi="仿宋" w:eastAsia="仿宋"/>
          <w:sz w:val="24"/>
          <w:szCs w:val="24"/>
        </w:rPr>
        <w:t>日</w:t>
      </w:r>
      <w:r>
        <w:rPr>
          <w:rFonts w:hint="eastAsia" w:ascii="仿宋" w:hAnsi="仿宋" w:eastAsia="仿宋"/>
          <w:sz w:val="24"/>
          <w:szCs w:val="24"/>
          <w:lang w:val="en-US" w:eastAsia="zh-CN"/>
        </w:rPr>
        <w:t>15</w:t>
      </w:r>
      <w:r>
        <w:rPr>
          <w:rFonts w:hint="eastAsia" w:ascii="仿宋" w:hAnsi="仿宋" w:eastAsia="仿宋"/>
          <w:sz w:val="24"/>
          <w:szCs w:val="24"/>
        </w:rPr>
        <w:t>时</w:t>
      </w:r>
    </w:p>
    <w:p w14:paraId="5FCFB0A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2．首次响应文件的开启时间：2025年1</w:t>
      </w:r>
      <w:r>
        <w:rPr>
          <w:rFonts w:hint="eastAsia" w:ascii="仿宋" w:hAnsi="仿宋" w:eastAsia="仿宋"/>
          <w:sz w:val="24"/>
          <w:szCs w:val="24"/>
          <w:lang w:val="en-US" w:eastAsia="zh-CN"/>
        </w:rPr>
        <w:t>0</w:t>
      </w:r>
      <w:r>
        <w:rPr>
          <w:rFonts w:hint="eastAsia" w:ascii="仿宋" w:hAnsi="仿宋" w:eastAsia="仿宋"/>
          <w:sz w:val="24"/>
          <w:szCs w:val="24"/>
        </w:rPr>
        <w:t>月</w:t>
      </w:r>
      <w:r>
        <w:rPr>
          <w:rFonts w:hint="eastAsia" w:ascii="仿宋" w:hAnsi="仿宋" w:eastAsia="仿宋"/>
          <w:sz w:val="24"/>
          <w:szCs w:val="24"/>
          <w:lang w:val="en-US" w:eastAsia="zh-CN"/>
        </w:rPr>
        <w:t>15</w:t>
      </w:r>
      <w:bookmarkStart w:id="11" w:name="_GoBack"/>
      <w:bookmarkEnd w:id="11"/>
      <w:r>
        <w:rPr>
          <w:rFonts w:hint="eastAsia" w:ascii="仿宋" w:hAnsi="仿宋" w:eastAsia="仿宋"/>
          <w:sz w:val="24"/>
          <w:szCs w:val="24"/>
        </w:rPr>
        <w:t>日</w:t>
      </w:r>
      <w:r>
        <w:rPr>
          <w:rFonts w:hint="eastAsia" w:ascii="仿宋" w:hAnsi="仿宋" w:eastAsia="仿宋"/>
          <w:sz w:val="24"/>
          <w:szCs w:val="24"/>
          <w:lang w:val="en-US" w:eastAsia="zh-CN"/>
        </w:rPr>
        <w:t>15</w:t>
      </w:r>
      <w:r>
        <w:rPr>
          <w:rFonts w:hint="eastAsia" w:ascii="仿宋" w:hAnsi="仿宋" w:eastAsia="仿宋"/>
          <w:sz w:val="24"/>
          <w:szCs w:val="24"/>
        </w:rPr>
        <w:t>时</w:t>
      </w:r>
    </w:p>
    <w:p w14:paraId="63DB6ACB">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3"/>
      <w:r>
        <w:rPr>
          <w:rFonts w:hint="eastAsia" w:ascii="仿宋" w:hAnsi="仿宋" w:eastAsia="仿宋" w:cs="宋体"/>
          <w:bCs w:val="0"/>
          <w:kern w:val="0"/>
          <w:sz w:val="24"/>
          <w:szCs w:val="24"/>
        </w:rPr>
        <w:t>五、疑问及质疑</w:t>
      </w:r>
      <w:bookmarkEnd w:id="8"/>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4"/>
      <w:r>
        <w:rPr>
          <w:rFonts w:hint="eastAsia" w:ascii="仿宋" w:hAnsi="仿宋" w:eastAsia="仿宋" w:cs="宋体"/>
          <w:bCs w:val="0"/>
          <w:kern w:val="0"/>
          <w:sz w:val="24"/>
          <w:szCs w:val="24"/>
        </w:rPr>
        <w:t>六、采购项目联系人姓名和电话</w:t>
      </w:r>
      <w:bookmarkEnd w:id="9"/>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胡美娟</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话：13873376812</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7"/>
      </w:pPr>
    </w:p>
    <w:p w14:paraId="42402AF4"/>
    <w:p w14:paraId="06CBF053">
      <w:pPr>
        <w:pStyle w:val="17"/>
      </w:pPr>
    </w:p>
    <w:p w14:paraId="0617B9A7"/>
    <w:p w14:paraId="4FFDF357">
      <w:pPr>
        <w:pStyle w:val="17"/>
      </w:pPr>
    </w:p>
    <w:p w14:paraId="5EE97DA2">
      <w:pPr>
        <w:pStyle w:val="17"/>
        <w:ind w:left="0" w:leftChars="0" w:firstLine="0"/>
        <w:rPr>
          <w:szCs w:val="22"/>
        </w:rPr>
      </w:pPr>
    </w:p>
    <w:p w14:paraId="102C28AC"/>
    <w:p w14:paraId="167C6777">
      <w:pPr>
        <w:pStyle w:val="7"/>
        <w:rPr>
          <w:szCs w:val="22"/>
        </w:rPr>
      </w:pPr>
    </w:p>
    <w:p w14:paraId="43A9A7CF"/>
    <w:p w14:paraId="13F8E109">
      <w:pPr>
        <w:pStyle w:val="7"/>
        <w:rPr>
          <w:szCs w:val="22"/>
        </w:rPr>
      </w:pPr>
    </w:p>
    <w:p w14:paraId="1612AF17">
      <w:pPr>
        <w:pStyle w:val="17"/>
        <w:ind w:left="0" w:leftChars="0" w:firstLine="0"/>
        <w:jc w:val="center"/>
        <w:rPr>
          <w:rFonts w:ascii="仿宋" w:hAnsi="仿宋" w:eastAsia="仿宋"/>
          <w:b/>
          <w:sz w:val="36"/>
          <w:szCs w:val="36"/>
        </w:rPr>
      </w:pPr>
    </w:p>
    <w:p w14:paraId="611302C1">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《机械设计基础》数字教材资源制作（第一期）项目</w:t>
      </w:r>
    </w:p>
    <w:p w14:paraId="5A3630E4">
      <w:pPr>
        <w:pStyle w:val="42"/>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基本要求：为满足轨道交通装备制造类专业人才培养需求，通过开发数字教材提升《机械设计基础》课程的教学效果。根据项目教学内容的需要，需设计和制作数字化教学资源。教学资源需紧密结合真实岗位工作流程、技术规范与国家标准，服务学生的理论学习、技能训练、知识拓展及技能要点掌握。</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74C75946">
      <w:pPr>
        <w:spacing w:line="360" w:lineRule="auto"/>
        <w:ind w:firstLine="480" w:firstLineChars="200"/>
        <w:rPr>
          <w:rFonts w:hint="eastAsia" w:ascii="仿宋" w:hAnsi="仿宋" w:eastAsia="仿宋" w:cs="宋体"/>
          <w:kern w:val="0"/>
          <w:sz w:val="24"/>
          <w:szCs w:val="24"/>
        </w:rPr>
      </w:pPr>
      <w:r>
        <w:rPr>
          <w:rFonts w:hint="eastAsia" w:ascii="仿宋" w:hAnsi="仿宋" w:eastAsia="仿宋" w:cs="宋体"/>
          <w:kern w:val="0"/>
          <w:sz w:val="24"/>
          <w:szCs w:val="24"/>
        </w:rPr>
        <w:t>供应商需严格按照采购人提供的技术规范、操作流程、国家标准及教学需求，完成以下数字资源的策划、脚本编写、制作、修改及最终交付。</w:t>
      </w:r>
    </w:p>
    <w:p w14:paraId="1EB8DAA7">
      <w:pPr>
        <w:spacing w:line="360" w:lineRule="auto"/>
        <w:ind w:firstLine="482" w:firstLineChars="200"/>
        <w:rPr>
          <w:rFonts w:hint="eastAsia" w:ascii="仿宋" w:hAnsi="仿宋" w:eastAsia="仿宋" w:cs="宋体"/>
          <w:kern w:val="0"/>
          <w:sz w:val="24"/>
          <w:szCs w:val="24"/>
        </w:rPr>
      </w:pPr>
      <w:r>
        <w:rPr>
          <w:rFonts w:hint="eastAsia" w:ascii="仿宋" w:hAnsi="仿宋" w:eastAsia="仿宋" w:cs="宋体"/>
          <w:b/>
          <w:bCs/>
          <w:kern w:val="0"/>
          <w:sz w:val="24"/>
          <w:szCs w:val="24"/>
        </w:rPr>
        <w:t>1.二维原理与流程动画。</w:t>
      </w:r>
      <w:r>
        <w:rPr>
          <w:rFonts w:hint="eastAsia" w:ascii="仿宋" w:hAnsi="仿宋" w:eastAsia="仿宋" w:cs="宋体"/>
          <w:kern w:val="0"/>
          <w:sz w:val="24"/>
          <w:szCs w:val="24"/>
        </w:rPr>
        <w:t>内容：用于阐释平面机构的组成及运动、绘制平面机构的运动简图、平面机构具有确定运动的条件的工作原理、零件结构、关键部件功能等。要求：风格清晰简洁，逻辑性强，色彩搭配符合工业标准，能准确、生动地展示抽象原理和宏观流程。时长总计不少于 360 秒。</w:t>
      </w:r>
    </w:p>
    <w:p w14:paraId="34A8F4D6">
      <w:pPr>
        <w:spacing w:line="360" w:lineRule="auto"/>
        <w:ind w:firstLine="482" w:firstLineChars="200"/>
        <w:rPr>
          <w:rFonts w:hint="eastAsia" w:ascii="仿宋" w:hAnsi="仿宋" w:eastAsia="仿宋" w:cs="宋体"/>
          <w:kern w:val="0"/>
          <w:sz w:val="24"/>
          <w:szCs w:val="24"/>
        </w:rPr>
      </w:pPr>
      <w:r>
        <w:rPr>
          <w:rFonts w:hint="eastAsia" w:ascii="仿宋" w:hAnsi="仿宋" w:eastAsia="仿宋" w:cs="宋体"/>
          <w:b/>
          <w:bCs/>
          <w:kern w:val="0"/>
          <w:sz w:val="24"/>
          <w:szCs w:val="24"/>
        </w:rPr>
        <w:t>（2）三维设备拆装与结构动画。</w:t>
      </w:r>
      <w:r>
        <w:rPr>
          <w:rFonts w:hint="eastAsia" w:ascii="仿宋" w:hAnsi="仿宋" w:eastAsia="仿宋" w:cs="宋体"/>
          <w:kern w:val="0"/>
          <w:sz w:val="24"/>
          <w:szCs w:val="24"/>
        </w:rPr>
        <w:t>内容：聚焦凸轮机构的应用、齿轮传动的特点等关键部件的精细三维模型展示、虚拟拆解与组装动画、内部结构透视、部件间装配关系等。要求：模型精度高、比例准确、材质逼真；动画流畅，清晰展示拆装顺序、工具使用、配合关系及内部结构；支持多角度观察。时长总计不少于 360 秒。</w:t>
      </w:r>
    </w:p>
    <w:p w14:paraId="50C58A1C">
      <w:pPr>
        <w:spacing w:line="360" w:lineRule="auto"/>
        <w:ind w:firstLine="482" w:firstLineChars="200"/>
        <w:rPr>
          <w:rFonts w:hint="eastAsia" w:ascii="仿宋" w:hAnsi="仿宋" w:eastAsia="仿宋" w:cs="宋体"/>
          <w:kern w:val="0"/>
          <w:sz w:val="24"/>
          <w:szCs w:val="24"/>
        </w:rPr>
      </w:pPr>
      <w:r>
        <w:rPr>
          <w:rFonts w:hint="eastAsia" w:ascii="仿宋" w:hAnsi="仿宋" w:eastAsia="仿宋" w:cs="宋体"/>
          <w:b/>
          <w:bCs/>
          <w:kern w:val="0"/>
          <w:sz w:val="24"/>
          <w:szCs w:val="24"/>
        </w:rPr>
        <w:t>（3）知识描述视频动画。</w:t>
      </w:r>
      <w:r>
        <w:rPr>
          <w:rFonts w:hint="eastAsia" w:ascii="仿宋" w:hAnsi="仿宋" w:eastAsia="仿宋" w:cs="宋体"/>
          <w:kern w:val="0"/>
          <w:sz w:val="24"/>
          <w:szCs w:val="24"/>
        </w:rPr>
        <w:t>内容：系统描述各项目章节的知识，对教学内容进行整体介绍。要求：讲解内容准确、条理清晰；背景与场景设计符合教学情境。总计不少于 550分钟。</w:t>
      </w:r>
    </w:p>
    <w:p w14:paraId="4550423E">
      <w:pPr>
        <w:spacing w:line="360" w:lineRule="auto"/>
        <w:ind w:firstLine="482" w:firstLineChars="200"/>
        <w:rPr>
          <w:rFonts w:hint="eastAsia" w:ascii="仿宋" w:hAnsi="仿宋" w:eastAsia="仿宋"/>
          <w:sz w:val="24"/>
          <w:szCs w:val="24"/>
          <w:highlight w:val="yellow"/>
        </w:rPr>
      </w:pPr>
      <w:r>
        <w:rPr>
          <w:rFonts w:hint="eastAsia" w:ascii="仿宋" w:hAnsi="仿宋" w:eastAsia="仿宋" w:cs="宋体"/>
          <w:b/>
          <w:bCs/>
          <w:kern w:val="0"/>
          <w:sz w:val="24"/>
          <w:szCs w:val="24"/>
        </w:rPr>
        <w:t>（4）配套资源：</w:t>
      </w:r>
      <w:r>
        <w:rPr>
          <w:rFonts w:hint="eastAsia" w:ascii="仿宋" w:hAnsi="仿宋" w:eastAsia="仿宋" w:cs="宋体"/>
          <w:kern w:val="0"/>
          <w:sz w:val="24"/>
          <w:szCs w:val="24"/>
        </w:rPr>
        <w:t>根据项目主要知识点和技术关键点，编写工艺文件的脚本；提供所有视频、动画的原始工程文件、素材文件；提供分镜头脚本、解说词文稿（电子版）；根据采购人要求进行修改完善直至最终验收通过。</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1E470C61">
      <w:pPr>
        <w:snapToGrid w:val="0"/>
        <w:spacing w:before="156" w:beforeLines="50" w:line="360" w:lineRule="auto"/>
        <w:ind w:firstLine="480" w:firstLineChars="200"/>
        <w:jc w:val="left"/>
        <w:rPr>
          <w:rFonts w:hint="eastAsia" w:ascii="仿宋" w:hAnsi="仿宋" w:eastAsia="仿宋" w:cstheme="minorEastAsia"/>
          <w:bCs/>
          <w:sz w:val="24"/>
          <w:szCs w:val="24"/>
        </w:rPr>
      </w:pPr>
      <w:bookmarkStart w:id="10" w:name="OLE_LINK4"/>
      <w:r>
        <w:rPr>
          <w:rFonts w:hint="eastAsia" w:ascii="仿宋" w:hAnsi="仿宋" w:eastAsia="仿宋" w:cstheme="minorEastAsia"/>
          <w:bCs/>
          <w:sz w:val="24"/>
          <w:szCs w:val="24"/>
        </w:rPr>
        <w:t>1、技术准确性：所有资源内容必须严格符合国家及行业相关技术标准、检修规程、安全规范及采购人提供的技术资料，确保专业知识无错误。</w:t>
      </w:r>
    </w:p>
    <w:p w14:paraId="26B2B2B7">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2、教学适用性：资源设计需紧密结合高职学生认知特点和实训教学目标，重点突出、难点解析透彻，能有效支撑课前预习、理论学习和操作规范掌握。</w:t>
      </w:r>
    </w:p>
    <w:p w14:paraId="307EE947">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3、制作水准：</w:t>
      </w:r>
    </w:p>
    <w:p w14:paraId="0FC8179F">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视频：画面稳定清晰，构图合理，光线充足均匀，录音清晰无杂音，剪辑流畅，字幕准确同步。</w:t>
      </w:r>
    </w:p>
    <w:p w14:paraId="0A3EE58A">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动画（2D/3D）：视觉效果专业，动作流畅自然，模型精细准确（3D），色彩协调，信息传达清晰高效。</w:t>
      </w:r>
    </w:p>
    <w:p w14:paraId="29F88A25">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4、规范性：专业技术知识点表述准确，解说词、术语、单位、符号等使用规范统一；安全警示标识醒目、位置恰当。</w:t>
      </w:r>
    </w:p>
    <w:p w14:paraId="3ED86AF5">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5、兼容性与格式：最终交付成品格式需为通用高清格式（如MP4 H.264），能在常用电脑及多媒体教学设备上流畅播放，源文件需可编辑。</w:t>
      </w:r>
    </w:p>
    <w:p w14:paraId="0F8C17B7">
      <w:pPr>
        <w:snapToGrid w:val="0"/>
        <w:spacing w:before="156" w:beforeLines="50" w:line="360" w:lineRule="auto"/>
        <w:ind w:firstLine="480" w:firstLineChars="200"/>
        <w:jc w:val="left"/>
        <w:rPr>
          <w:rFonts w:hint="eastAsia" w:ascii="仿宋" w:hAnsi="仿宋" w:eastAsia="仿宋" w:cstheme="minorEastAsia"/>
          <w:bCs/>
          <w:sz w:val="24"/>
          <w:szCs w:val="24"/>
        </w:rPr>
      </w:pPr>
      <w:r>
        <w:rPr>
          <w:rFonts w:hint="eastAsia" w:ascii="仿宋" w:hAnsi="仿宋" w:eastAsia="仿宋" w:cstheme="minorEastAsia"/>
          <w:bCs/>
          <w:sz w:val="24"/>
          <w:szCs w:val="24"/>
        </w:rPr>
        <w:t>6、响应与修改：在制作过程中及验收阶段，供应商需积极响应采购人的反馈意见，在规定时间内完成修改完善工作。</w:t>
      </w:r>
    </w:p>
    <w:bookmarkEnd w:id="10"/>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3820837">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Cs/>
          <w:sz w:val="24"/>
          <w:szCs w:val="24"/>
        </w:rPr>
        <w:t>最终成果需通过采购人组织的专家验收，满足本通知规定的所有内容、质量、格式要求，并签署验收合格报告。</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w:t>
      </w:r>
      <w:r>
        <w:rPr>
          <w:rFonts w:hint="eastAsia" w:ascii="仿宋" w:hAnsi="仿宋" w:eastAsia="仿宋" w:cs="仿宋"/>
          <w:color w:val="333333"/>
          <w:kern w:val="0"/>
          <w:sz w:val="24"/>
          <w:szCs w:val="24"/>
          <w:u w:val="none"/>
        </w:rPr>
        <w:t>标上限价为7.145万元，报价为一次性报价。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合同签订后60个日历日内完成所有数字资源的制作、修改并交付验收。</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6DFB97B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1.参与投标的单位中标后须是湖南省乐采云电商平台的合格供应商。</w:t>
      </w:r>
    </w:p>
    <w:p w14:paraId="62F8E745">
      <w:pPr>
        <w:snapToGrid w:val="0"/>
        <w:spacing w:line="360" w:lineRule="auto"/>
        <w:ind w:firstLine="482" w:firstLineChars="200"/>
        <w:jc w:val="left"/>
        <w:rPr>
          <w:rFonts w:hint="eastAsia" w:ascii="仿宋" w:hAnsi="仿宋" w:eastAsia="仿宋" w:cstheme="minorEastAsia"/>
          <w:b/>
          <w:sz w:val="24"/>
          <w:szCs w:val="24"/>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776"/>
        <w:gridCol w:w="648"/>
        <w:gridCol w:w="5967"/>
      </w:tblGrid>
      <w:tr w14:paraId="1D9D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4" w:type="pct"/>
            <w:vAlign w:val="center"/>
          </w:tcPr>
          <w:p w14:paraId="2DAEE72C">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评分项</w:t>
            </w:r>
          </w:p>
        </w:tc>
        <w:tc>
          <w:tcPr>
            <w:tcW w:w="455" w:type="pct"/>
            <w:vAlign w:val="center"/>
          </w:tcPr>
          <w:p w14:paraId="29E7418D">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计分内容</w:t>
            </w:r>
          </w:p>
        </w:tc>
        <w:tc>
          <w:tcPr>
            <w:tcW w:w="378" w:type="pct"/>
            <w:vAlign w:val="center"/>
          </w:tcPr>
          <w:p w14:paraId="27CA8B67">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分值</w:t>
            </w:r>
          </w:p>
        </w:tc>
        <w:tc>
          <w:tcPr>
            <w:tcW w:w="3500" w:type="pct"/>
            <w:vAlign w:val="center"/>
          </w:tcPr>
          <w:p w14:paraId="2052A558">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评分标准</w:t>
            </w:r>
          </w:p>
        </w:tc>
      </w:tr>
      <w:tr w14:paraId="1CFE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pct"/>
            <w:vAlign w:val="center"/>
          </w:tcPr>
          <w:p w14:paraId="4442DF61">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价格部分</w:t>
            </w:r>
          </w:p>
          <w:p w14:paraId="49BAB666">
            <w:pPr>
              <w:adjustRightInd w:val="0"/>
              <w:snapToGrid w:val="0"/>
              <w:spacing w:line="300" w:lineRule="exact"/>
              <w:rPr>
                <w:rFonts w:hint="eastAsia" w:ascii="仿宋" w:hAnsi="仿宋" w:eastAsia="仿宋"/>
              </w:rPr>
            </w:pPr>
            <w:r>
              <w:rPr>
                <w:rFonts w:hint="eastAsia" w:ascii="仿宋" w:hAnsi="仿宋" w:eastAsia="仿宋" w:cs="仿宋_GB2312"/>
                <w:color w:val="000000"/>
                <w:sz w:val="24"/>
              </w:rPr>
              <w:t>（30分）</w:t>
            </w:r>
          </w:p>
        </w:tc>
        <w:tc>
          <w:tcPr>
            <w:tcW w:w="455" w:type="pct"/>
            <w:vAlign w:val="center"/>
          </w:tcPr>
          <w:p w14:paraId="1AF450A2">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投标报价</w:t>
            </w:r>
          </w:p>
        </w:tc>
        <w:tc>
          <w:tcPr>
            <w:tcW w:w="378" w:type="pct"/>
            <w:vAlign w:val="center"/>
          </w:tcPr>
          <w:p w14:paraId="29C607B5">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30</w:t>
            </w:r>
          </w:p>
        </w:tc>
        <w:tc>
          <w:tcPr>
            <w:tcW w:w="6192" w:type="dxa"/>
            <w:vAlign w:val="center"/>
          </w:tcPr>
          <w:p w14:paraId="2D226EB7">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 xml:space="preserve">以经评委会一致认定满足招标文件要求且投标价格最低的投标报价为评标基准价，其价格得分计30分。其他投标人的价格得分统一按公式计算：报价得分=（评标基准价/投标报价）×价格权重。 </w:t>
            </w:r>
          </w:p>
        </w:tc>
      </w:tr>
      <w:tr w14:paraId="531E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restart"/>
            <w:vAlign w:val="center"/>
          </w:tcPr>
          <w:p w14:paraId="5EEA1824">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技术部分</w:t>
            </w:r>
          </w:p>
          <w:p w14:paraId="55AD175C">
            <w:pPr>
              <w:adjustRightInd w:val="0"/>
              <w:snapToGrid w:val="0"/>
              <w:spacing w:line="300" w:lineRule="exact"/>
              <w:rPr>
                <w:rFonts w:hint="eastAsia" w:ascii="仿宋" w:hAnsi="仿宋" w:eastAsia="仿宋"/>
              </w:rPr>
            </w:pPr>
            <w:r>
              <w:rPr>
                <w:rFonts w:hint="eastAsia" w:ascii="仿宋" w:hAnsi="仿宋" w:eastAsia="仿宋" w:cs="仿宋_GB2312"/>
                <w:color w:val="000000"/>
                <w:sz w:val="24"/>
              </w:rPr>
              <w:t>（35分）</w:t>
            </w:r>
          </w:p>
        </w:tc>
        <w:tc>
          <w:tcPr>
            <w:tcW w:w="455" w:type="pct"/>
            <w:vAlign w:val="center"/>
          </w:tcPr>
          <w:p w14:paraId="6C660F0B">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人员配置</w:t>
            </w:r>
          </w:p>
        </w:tc>
        <w:tc>
          <w:tcPr>
            <w:tcW w:w="378" w:type="pct"/>
            <w:vAlign w:val="center"/>
          </w:tcPr>
          <w:p w14:paraId="225C050B">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sz w:val="24"/>
              </w:rPr>
              <w:t>10</w:t>
            </w:r>
          </w:p>
        </w:tc>
        <w:tc>
          <w:tcPr>
            <w:tcW w:w="6192" w:type="dxa"/>
            <w:vAlign w:val="center"/>
          </w:tcPr>
          <w:p w14:paraId="3F3A4E23">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服务团队具备相关专业本科学历或者高级职称/资质的，每提供1人得2分，最多计算5人。</w:t>
            </w:r>
          </w:p>
          <w:p w14:paraId="3AD47812">
            <w:pPr>
              <w:jc w:val="left"/>
            </w:pPr>
            <w:r>
              <w:rPr>
                <w:rFonts w:hint="eastAsia" w:ascii="仿宋" w:hAnsi="仿宋" w:eastAsia="仿宋" w:cs="宋体"/>
                <w:b/>
                <w:bCs/>
                <w:sz w:val="24"/>
                <w:szCs w:val="24"/>
              </w:rPr>
              <w:t>本项满分10分。</w:t>
            </w:r>
          </w:p>
          <w:p w14:paraId="040F1ED6">
            <w:pPr>
              <w:adjustRightInd w:val="0"/>
              <w:snapToGrid w:val="0"/>
              <w:spacing w:line="300" w:lineRule="exact"/>
              <w:rPr>
                <w:rFonts w:hint="eastAsia" w:ascii="仿宋" w:hAnsi="仿宋" w:eastAsia="仿宋" w:cs="仿宋_GB2312"/>
                <w:color w:val="000000"/>
                <w:sz w:val="24"/>
              </w:rPr>
            </w:pPr>
            <w:r>
              <w:rPr>
                <w:rFonts w:hint="eastAsia" w:ascii="仿宋" w:hAnsi="仿宋" w:eastAsia="仿宋" w:cs="宋体"/>
                <w:b/>
                <w:bCs/>
                <w:sz w:val="24"/>
                <w:szCs w:val="24"/>
              </w:rPr>
              <w:t>【评审依据】：</w:t>
            </w:r>
            <w:r>
              <w:rPr>
                <w:rFonts w:hint="eastAsia" w:ascii="仿宋" w:hAnsi="仿宋" w:eastAsia="仿宋" w:cs="仿宋_GB2312"/>
                <w:b/>
                <w:bCs/>
                <w:color w:val="000000"/>
                <w:sz w:val="24"/>
              </w:rPr>
              <w:t>响应文件中提供以上人员证书扫描件和供应商为其缴纳的近三个月（不含询比当月）的社保证明扫描件并加盖供应商公章，未提供或提供的证明材料不齐全的不得分。服务团队中人员证书不得复用，否则不予加分。</w:t>
            </w:r>
          </w:p>
        </w:tc>
      </w:tr>
      <w:tr w14:paraId="1C21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664" w:type="pct"/>
            <w:vMerge w:val="continue"/>
            <w:vAlign w:val="center"/>
          </w:tcPr>
          <w:p w14:paraId="5C981E20">
            <w:pPr>
              <w:adjustRightInd w:val="0"/>
              <w:snapToGrid w:val="0"/>
              <w:spacing w:line="300" w:lineRule="exact"/>
              <w:rPr>
                <w:rFonts w:hint="eastAsia" w:ascii="仿宋" w:hAnsi="仿宋" w:eastAsia="仿宋" w:cs="仿宋_GB2312"/>
                <w:color w:val="000000"/>
                <w:sz w:val="24"/>
              </w:rPr>
            </w:pPr>
          </w:p>
        </w:tc>
        <w:tc>
          <w:tcPr>
            <w:tcW w:w="455" w:type="pct"/>
            <w:vAlign w:val="center"/>
          </w:tcPr>
          <w:p w14:paraId="52C88A7D">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实施方案</w:t>
            </w:r>
          </w:p>
        </w:tc>
        <w:tc>
          <w:tcPr>
            <w:tcW w:w="378" w:type="pct"/>
            <w:vAlign w:val="center"/>
          </w:tcPr>
          <w:p w14:paraId="7275C795">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10分</w:t>
            </w:r>
          </w:p>
        </w:tc>
        <w:tc>
          <w:tcPr>
            <w:tcW w:w="6192" w:type="dxa"/>
            <w:vAlign w:val="center"/>
          </w:tcPr>
          <w:p w14:paraId="2B7687BB">
            <w:pPr>
              <w:adjustRightInd w:val="0"/>
              <w:snapToGrid w:val="0"/>
              <w:spacing w:line="300" w:lineRule="exac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供应商根据本项目实施特点及技术要求，结合项目所在地现有情况制定实施方案，方案至少应包括：①技术保障措施；②人员组织保障措施；③进度保障措施；④质量保障措施；⑤售后保障服务。</w:t>
            </w:r>
          </w:p>
          <w:p w14:paraId="7D41DA49">
            <w:pPr>
              <w:jc w:val="left"/>
            </w:pPr>
            <w:r>
              <w:rPr>
                <w:rFonts w:hint="eastAsia" w:ascii="仿宋" w:hAnsi="仿宋" w:eastAsia="仿宋" w:cs="宋体"/>
                <w:b/>
                <w:bCs/>
                <w:sz w:val="24"/>
                <w:szCs w:val="24"/>
              </w:rPr>
              <w:t>本项满分10分。</w:t>
            </w:r>
          </w:p>
          <w:p w14:paraId="62601C0D">
            <w:pPr>
              <w:jc w:val="left"/>
            </w:pPr>
            <w:r>
              <w:rPr>
                <w:rFonts w:hint="eastAsia" w:ascii="仿宋" w:hAnsi="仿宋" w:eastAsia="仿宋" w:cs="宋体"/>
                <w:b/>
                <w:bCs/>
                <w:sz w:val="24"/>
                <w:szCs w:val="24"/>
              </w:rPr>
              <w:t>评审小组根据方案的完整性、合理性及操作性等进行评价，以上①~⑤条方案内容全面、科学合理，</w:t>
            </w:r>
            <w:r>
              <w:rPr>
                <w:rFonts w:ascii="仿宋" w:hAnsi="仿宋" w:eastAsia="仿宋" w:cs="仿宋_GB2312"/>
                <w:b/>
                <w:bCs/>
                <w:color w:val="000000"/>
                <w:sz w:val="24"/>
              </w:rPr>
              <w:t>技术细节100%符合轨道行业规范</w:t>
            </w:r>
            <w:r>
              <w:rPr>
                <w:rFonts w:hint="eastAsia" w:ascii="仿宋" w:hAnsi="仿宋" w:eastAsia="仿宋" w:cs="宋体"/>
                <w:b/>
                <w:bCs/>
                <w:sz w:val="24"/>
                <w:szCs w:val="24"/>
              </w:rPr>
              <w:t>的每条得2分；方案较完整，但是操作性一般的，且</w:t>
            </w:r>
            <w:r>
              <w:rPr>
                <w:rFonts w:ascii="仿宋" w:hAnsi="仿宋" w:eastAsia="仿宋" w:cs="仿宋_GB2312"/>
                <w:b/>
                <w:bCs/>
                <w:color w:val="000000"/>
                <w:sz w:val="24"/>
              </w:rPr>
              <w:t>存在≤2处技术表述不严谨</w:t>
            </w:r>
            <w:r>
              <w:rPr>
                <w:rFonts w:hint="eastAsia" w:ascii="仿宋" w:hAnsi="仿宋" w:eastAsia="仿宋" w:cs="宋体"/>
                <w:b/>
                <w:bCs/>
                <w:sz w:val="24"/>
                <w:szCs w:val="24"/>
              </w:rPr>
              <w:t>每条得1分；</w:t>
            </w:r>
            <w:r>
              <w:rPr>
                <w:rFonts w:hint="eastAsia" w:ascii="仿宋" w:hAnsi="仿宋" w:eastAsia="仿宋" w:cs="仿宋_GB2312"/>
                <w:b/>
                <w:bCs/>
                <w:color w:val="000000"/>
                <w:sz w:val="24"/>
              </w:rPr>
              <w:t>实施方案材料严重缺失</w:t>
            </w:r>
            <w:r>
              <w:rPr>
                <w:rFonts w:hint="eastAsia" w:ascii="仿宋" w:hAnsi="仿宋" w:eastAsia="仿宋" w:cs="宋体"/>
                <w:b/>
                <w:bCs/>
                <w:sz w:val="24"/>
                <w:szCs w:val="24"/>
              </w:rPr>
              <w:t>的不得分。</w:t>
            </w:r>
          </w:p>
        </w:tc>
      </w:tr>
      <w:tr w14:paraId="201F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continue"/>
            <w:vAlign w:val="center"/>
          </w:tcPr>
          <w:p w14:paraId="3B84549A">
            <w:pPr>
              <w:adjustRightInd w:val="0"/>
              <w:snapToGrid w:val="0"/>
              <w:spacing w:line="300" w:lineRule="exact"/>
              <w:rPr>
                <w:rFonts w:hint="eastAsia" w:ascii="仿宋" w:hAnsi="仿宋" w:eastAsia="仿宋" w:cs="仿宋_GB2312"/>
                <w:color w:val="000000"/>
                <w:sz w:val="24"/>
              </w:rPr>
            </w:pPr>
          </w:p>
        </w:tc>
        <w:tc>
          <w:tcPr>
            <w:tcW w:w="455" w:type="pct"/>
            <w:vAlign w:val="center"/>
          </w:tcPr>
          <w:p w14:paraId="5EAE62F2">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样品案例</w:t>
            </w:r>
          </w:p>
        </w:tc>
        <w:tc>
          <w:tcPr>
            <w:tcW w:w="378" w:type="pct"/>
            <w:vAlign w:val="center"/>
          </w:tcPr>
          <w:p w14:paraId="6316D74C">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15分</w:t>
            </w:r>
          </w:p>
        </w:tc>
        <w:tc>
          <w:tcPr>
            <w:tcW w:w="6192" w:type="dxa"/>
            <w:vAlign w:val="center"/>
          </w:tcPr>
          <w:p w14:paraId="0947A98B">
            <w:pPr>
              <w:adjustRightInd w:val="0"/>
              <w:snapToGrid w:val="0"/>
              <w:spacing w:line="300" w:lineRule="exact"/>
              <w:rPr>
                <w:rFonts w:hint="eastAsia" w:ascii="仿宋" w:hAnsi="仿宋" w:eastAsia="仿宋" w:cs="宋体"/>
                <w:sz w:val="24"/>
              </w:rPr>
            </w:pPr>
            <w:r>
              <w:rPr>
                <w:rFonts w:hint="eastAsia" w:ascii="仿宋" w:hAnsi="仿宋" w:eastAsia="仿宋" w:cs="宋体"/>
                <w:sz w:val="24"/>
              </w:rPr>
              <w:t>供应商需要现场提供以下演示内容：</w:t>
            </w:r>
          </w:p>
          <w:p w14:paraId="1D3FFD29">
            <w:pPr>
              <w:adjustRightInd w:val="0"/>
              <w:snapToGrid w:val="0"/>
              <w:spacing w:line="300" w:lineRule="exact"/>
              <w:rPr>
                <w:rFonts w:hint="eastAsia" w:ascii="仿宋" w:hAnsi="仿宋" w:eastAsia="仿宋" w:cs="宋体"/>
                <w:sz w:val="24"/>
              </w:rPr>
            </w:pPr>
            <w:r>
              <w:rPr>
                <w:rFonts w:hint="eastAsia" w:ascii="仿宋" w:hAnsi="仿宋" w:eastAsia="仿宋" w:cs="宋体"/>
                <w:sz w:val="24"/>
                <w:szCs w:val="24"/>
              </w:rPr>
              <w:t>①</w:t>
            </w:r>
            <w:r>
              <w:rPr>
                <w:rFonts w:hint="eastAsia" w:ascii="仿宋" w:hAnsi="仿宋" w:eastAsia="仿宋" w:cs="宋体"/>
                <w:sz w:val="24"/>
              </w:rPr>
              <w:t>内燃机车柴油发动机凸轮、连杆和联轴节运动原理的演示样例；</w:t>
            </w:r>
          </w:p>
          <w:p w14:paraId="3ADFC232">
            <w:pPr>
              <w:adjustRightInd w:val="0"/>
              <w:snapToGrid w:val="0"/>
              <w:spacing w:line="300" w:lineRule="exact"/>
              <w:rPr>
                <w:rFonts w:hint="eastAsia" w:ascii="仿宋" w:hAnsi="仿宋" w:eastAsia="仿宋" w:cs="宋体"/>
                <w:sz w:val="24"/>
              </w:rPr>
            </w:pPr>
            <w:r>
              <w:rPr>
                <w:rFonts w:hint="eastAsia" w:ascii="仿宋" w:hAnsi="仿宋" w:eastAsia="仿宋" w:cs="宋体"/>
                <w:sz w:val="24"/>
                <w:szCs w:val="24"/>
              </w:rPr>
              <w:t>②</w:t>
            </w:r>
            <w:r>
              <w:rPr>
                <w:rFonts w:hint="eastAsia" w:ascii="仿宋" w:hAnsi="仿宋" w:eastAsia="仿宋" w:cs="宋体"/>
                <w:sz w:val="24"/>
              </w:rPr>
              <w:t>中国机械发展史介绍的短片样片，大约30秒；</w:t>
            </w:r>
          </w:p>
          <w:p w14:paraId="3529C9C3">
            <w:pPr>
              <w:adjustRightInd w:val="0"/>
              <w:snapToGrid w:val="0"/>
              <w:spacing w:line="300" w:lineRule="exact"/>
              <w:rPr>
                <w:rFonts w:hint="eastAsia" w:ascii="仿宋" w:hAnsi="仿宋" w:eastAsia="仿宋" w:cs="宋体"/>
                <w:sz w:val="24"/>
              </w:rPr>
            </w:pPr>
            <w:r>
              <w:rPr>
                <w:rFonts w:hint="eastAsia" w:ascii="仿宋" w:hAnsi="仿宋" w:eastAsia="仿宋" w:cs="宋体"/>
                <w:sz w:val="24"/>
                <w:szCs w:val="24"/>
              </w:rPr>
              <w:t>③</w:t>
            </w:r>
            <w:r>
              <w:rPr>
                <w:rFonts w:hint="eastAsia" w:ascii="仿宋" w:hAnsi="仿宋" w:eastAsia="仿宋" w:cs="宋体"/>
                <w:sz w:val="24"/>
              </w:rPr>
              <w:t>5张风格统一的运动简图动画，包含凸轮、齿轮传动、平面连杆机构、带传动机构和轴承。</w:t>
            </w:r>
          </w:p>
          <w:p w14:paraId="1F2E1043">
            <w:pPr>
              <w:adjustRightInd w:val="0"/>
              <w:snapToGrid w:val="0"/>
              <w:spacing w:line="300" w:lineRule="exact"/>
              <w:rPr>
                <w:rFonts w:hint="eastAsia" w:ascii="仿宋" w:hAnsi="仿宋" w:eastAsia="仿宋" w:cs="仿宋_GB2312"/>
                <w:sz w:val="24"/>
              </w:rPr>
            </w:pPr>
            <w:r>
              <w:rPr>
                <w:rFonts w:hint="eastAsia" w:ascii="仿宋" w:hAnsi="仿宋" w:eastAsia="仿宋" w:cs="宋体"/>
                <w:sz w:val="24"/>
              </w:rPr>
              <w:t>根据技术要求进行对比评分</w:t>
            </w:r>
            <w:r>
              <w:rPr>
                <w:rFonts w:hint="eastAsia" w:ascii="仿宋" w:hAnsi="仿宋" w:eastAsia="仿宋" w:cs="仿宋_GB2312"/>
                <w:sz w:val="24"/>
              </w:rPr>
              <w:t>。</w:t>
            </w:r>
          </w:p>
          <w:p w14:paraId="19524798">
            <w:pPr>
              <w:jc w:val="left"/>
              <w:rPr>
                <w:rFonts w:hint="eastAsia" w:ascii="仿宋" w:hAnsi="仿宋" w:eastAsia="仿宋" w:cs="仿宋_GB2312"/>
                <w:sz w:val="24"/>
              </w:rPr>
            </w:pPr>
            <w:r>
              <w:rPr>
                <w:rFonts w:hint="eastAsia" w:ascii="仿宋" w:hAnsi="仿宋" w:eastAsia="仿宋" w:cs="宋体"/>
                <w:b/>
                <w:bCs/>
                <w:sz w:val="24"/>
                <w:szCs w:val="24"/>
              </w:rPr>
              <w:t>本项满分1</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w:t>
            </w:r>
          </w:p>
          <w:p w14:paraId="7E4E6256">
            <w:pPr>
              <w:adjustRightInd w:val="0"/>
              <w:snapToGrid w:val="0"/>
              <w:spacing w:line="300" w:lineRule="exact"/>
              <w:rPr>
                <w:rFonts w:hint="eastAsia" w:ascii="仿宋" w:hAnsi="仿宋" w:eastAsia="仿宋" w:cs="仿宋_GB2312"/>
                <w:sz w:val="24"/>
              </w:rPr>
            </w:pPr>
            <w:r>
              <w:rPr>
                <w:rFonts w:hint="eastAsia" w:ascii="仿宋" w:hAnsi="仿宋" w:eastAsia="仿宋" w:cs="宋体"/>
                <w:b/>
                <w:bCs/>
                <w:sz w:val="24"/>
              </w:rPr>
              <w:t>【评审依据】：</w:t>
            </w:r>
            <w:r>
              <w:rPr>
                <w:rFonts w:hint="eastAsia" w:ascii="仿宋" w:hAnsi="仿宋" w:eastAsia="仿宋" w:cs="仿宋_GB2312"/>
                <w:b/>
                <w:bCs/>
                <w:sz w:val="24"/>
              </w:rPr>
              <w:t>每种类型至少提供1个。高度相关成功案例，且技术方案创新性强，样品指标全面优于要求的得5分；样品主要指标达标但存在次要缺陷的得2分；样品主要指标达标但存在次要缺陷的得1分。</w:t>
            </w:r>
          </w:p>
        </w:tc>
      </w:tr>
      <w:tr w14:paraId="7D51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restart"/>
            <w:vAlign w:val="center"/>
          </w:tcPr>
          <w:p w14:paraId="71C07FE2">
            <w:pPr>
              <w:adjustRightInd w:val="0"/>
              <w:snapToGrid w:val="0"/>
              <w:spacing w:line="300" w:lineRule="exact"/>
              <w:jc w:val="center"/>
              <w:rPr>
                <w:rFonts w:hint="eastAsia" w:ascii="仿宋" w:hAnsi="仿宋" w:eastAsia="仿宋"/>
              </w:rPr>
            </w:pPr>
          </w:p>
          <w:p w14:paraId="00F6E85B">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商务部分</w:t>
            </w:r>
          </w:p>
          <w:p w14:paraId="1B3CAA3A">
            <w:pPr>
              <w:adjustRightInd w:val="0"/>
              <w:snapToGrid w:val="0"/>
              <w:spacing w:line="300" w:lineRule="exact"/>
              <w:jc w:val="center"/>
              <w:rPr>
                <w:rFonts w:hint="eastAsia" w:ascii="仿宋" w:hAnsi="仿宋" w:eastAsia="仿宋"/>
                <w:b/>
                <w:sz w:val="24"/>
                <w:szCs w:val="20"/>
              </w:rPr>
            </w:pPr>
            <w:r>
              <w:rPr>
                <w:rFonts w:hint="eastAsia" w:ascii="仿宋" w:hAnsi="仿宋" w:eastAsia="仿宋" w:cs="仿宋_GB2312"/>
                <w:color w:val="000000"/>
                <w:sz w:val="24"/>
              </w:rPr>
              <w:t>(35分）</w:t>
            </w:r>
          </w:p>
        </w:tc>
        <w:tc>
          <w:tcPr>
            <w:tcW w:w="455" w:type="pct"/>
            <w:vAlign w:val="center"/>
          </w:tcPr>
          <w:p w14:paraId="015B2B46">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技术力量</w:t>
            </w:r>
          </w:p>
        </w:tc>
        <w:tc>
          <w:tcPr>
            <w:tcW w:w="378" w:type="pct"/>
            <w:vAlign w:val="center"/>
          </w:tcPr>
          <w:p w14:paraId="2197BDE3">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10分</w:t>
            </w:r>
          </w:p>
        </w:tc>
        <w:tc>
          <w:tcPr>
            <w:tcW w:w="6192" w:type="dxa"/>
            <w:vAlign w:val="center"/>
          </w:tcPr>
          <w:p w14:paraId="20DA2F03">
            <w:pPr>
              <w:pStyle w:val="15"/>
              <w:keepNext w:val="0"/>
              <w:keepLines w:val="0"/>
              <w:widowControl/>
              <w:suppressLineNumbers w:val="0"/>
              <w:spacing w:before="0" w:beforeAutospacing="0" w:after="0" w:afterAutospacing="0" w:line="300" w:lineRule="exact"/>
              <w:ind w:left="0" w:right="0"/>
              <w:jc w:val="both"/>
              <w:rPr>
                <w:rFonts w:hint="eastAsia" w:ascii="仿宋" w:hAnsi="仿宋" w:eastAsia="仿宋" w:cs="仿宋"/>
                <w:b w:val="0"/>
                <w:bCs w:val="0"/>
                <w:i w:val="0"/>
                <w:iCs w:val="0"/>
                <w:color w:val="000000"/>
                <w:spacing w:val="0"/>
                <w:w w:val="100"/>
                <w:sz w:val="24"/>
                <w:szCs w:val="24"/>
                <w:vertAlign w:val="baseline"/>
                <w:lang w:val="en-US" w:eastAsia="zh-CN"/>
              </w:rPr>
            </w:pPr>
            <w:r>
              <w:rPr>
                <w:rFonts w:ascii="仿宋" w:hAnsi="仿宋" w:eastAsia="仿宋" w:cs="仿宋"/>
                <w:b w:val="0"/>
                <w:bCs w:val="0"/>
                <w:i w:val="0"/>
                <w:iCs w:val="0"/>
                <w:color w:val="000000"/>
                <w:spacing w:val="0"/>
                <w:w w:val="100"/>
                <w:sz w:val="24"/>
                <w:szCs w:val="24"/>
                <w:vertAlign w:val="baseline"/>
              </w:rPr>
              <w:t>供应商提供相关专业的ISO9001证书、</w:t>
            </w:r>
            <w:r>
              <w:rPr>
                <w:rFonts w:hint="eastAsia" w:ascii="仿宋" w:hAnsi="仿宋" w:eastAsia="仿宋" w:cs="仿宋"/>
                <w:b w:val="0"/>
                <w:bCs w:val="0"/>
                <w:i w:val="0"/>
                <w:iCs w:val="0"/>
                <w:color w:val="000000"/>
                <w:spacing w:val="0"/>
                <w:w w:val="100"/>
                <w:sz w:val="24"/>
                <w:szCs w:val="24"/>
                <w:vertAlign w:val="baseline"/>
              </w:rPr>
              <w:t>高新技术企业证书、科技型企业证书的，每提供1个加1分，最高加3分；供应商每提供1个</w:t>
            </w:r>
            <w:r>
              <w:rPr>
                <w:rFonts w:hint="eastAsia" w:ascii="仿宋" w:hAnsi="仿宋" w:eastAsia="仿宋" w:cs="仿宋"/>
                <w:b/>
                <w:bCs/>
                <w:i w:val="0"/>
                <w:iCs w:val="0"/>
                <w:color w:val="000000"/>
                <w:spacing w:val="0"/>
                <w:w w:val="100"/>
                <w:sz w:val="24"/>
                <w:szCs w:val="24"/>
                <w:vertAlign w:val="baseline"/>
              </w:rPr>
              <w:t>近三年内</w:t>
            </w:r>
            <w:r>
              <w:rPr>
                <w:rFonts w:hint="eastAsia" w:ascii="仿宋" w:hAnsi="仿宋" w:eastAsia="仿宋" w:cs="仿宋"/>
                <w:b w:val="0"/>
                <w:bCs w:val="0"/>
                <w:i w:val="0"/>
                <w:iCs w:val="0"/>
                <w:color w:val="000000"/>
                <w:spacing w:val="0"/>
                <w:w w:val="100"/>
                <w:sz w:val="24"/>
                <w:szCs w:val="24"/>
                <w:vertAlign w:val="baseline"/>
              </w:rPr>
              <w:t>获得省部级（含）以上政府部门颁发的</w:t>
            </w:r>
            <w:r>
              <w:rPr>
                <w:rFonts w:hint="eastAsia" w:ascii="仿宋" w:hAnsi="仿宋" w:eastAsia="仿宋" w:cs="仿宋"/>
                <w:b/>
                <w:bCs/>
                <w:i w:val="0"/>
                <w:iCs w:val="0"/>
                <w:color w:val="000000"/>
                <w:spacing w:val="0"/>
                <w:w w:val="100"/>
                <w:sz w:val="24"/>
                <w:szCs w:val="24"/>
                <w:vertAlign w:val="baseline"/>
              </w:rPr>
              <w:t>数字教育资源类</w:t>
            </w:r>
            <w:r>
              <w:rPr>
                <w:rFonts w:hint="eastAsia" w:ascii="仿宋" w:hAnsi="仿宋" w:eastAsia="仿宋" w:cs="仿宋"/>
                <w:b w:val="0"/>
                <w:bCs w:val="0"/>
                <w:i w:val="0"/>
                <w:iCs w:val="0"/>
                <w:color w:val="000000"/>
                <w:spacing w:val="0"/>
                <w:w w:val="100"/>
                <w:sz w:val="24"/>
                <w:szCs w:val="24"/>
                <w:vertAlign w:val="baseline"/>
              </w:rPr>
              <w:t>奖项的案例，可加1分</w:t>
            </w:r>
            <w:r>
              <w:rPr>
                <w:rFonts w:hint="eastAsia" w:ascii="仿宋" w:hAnsi="仿宋" w:eastAsia="仿宋" w:cs="仿宋"/>
                <w:b w:val="0"/>
                <w:bCs w:val="0"/>
                <w:i w:val="0"/>
                <w:iCs w:val="0"/>
                <w:color w:val="000000"/>
                <w:spacing w:val="0"/>
                <w:w w:val="100"/>
                <w:sz w:val="24"/>
                <w:szCs w:val="24"/>
                <w:vertAlign w:val="baseline"/>
                <w:lang w:eastAsia="zh-CN"/>
              </w:rPr>
              <w:t>，</w:t>
            </w:r>
            <w:r>
              <w:rPr>
                <w:rFonts w:hint="eastAsia" w:ascii="仿宋" w:hAnsi="仿宋" w:eastAsia="仿宋" w:cs="仿宋"/>
                <w:b w:val="0"/>
                <w:bCs w:val="0"/>
                <w:i w:val="0"/>
                <w:iCs w:val="0"/>
                <w:color w:val="000000"/>
                <w:spacing w:val="0"/>
                <w:w w:val="100"/>
                <w:sz w:val="24"/>
                <w:szCs w:val="24"/>
                <w:vertAlign w:val="baseline"/>
                <w:lang w:val="en-US" w:eastAsia="zh-CN"/>
              </w:rPr>
              <w:t>最高可加7分。</w:t>
            </w:r>
          </w:p>
          <w:p w14:paraId="2CAE1350">
            <w:pPr>
              <w:jc w:val="left"/>
              <w:rPr>
                <w:rFonts w:hint="default" w:ascii="仿宋" w:hAnsi="仿宋" w:eastAsia="仿宋" w:cs="仿宋"/>
                <w:b w:val="0"/>
                <w:bCs w:val="0"/>
                <w:i w:val="0"/>
                <w:iCs w:val="0"/>
                <w:color w:val="000000"/>
                <w:spacing w:val="0"/>
                <w:w w:val="100"/>
                <w:sz w:val="24"/>
                <w:szCs w:val="24"/>
                <w:vertAlign w:val="baseline"/>
                <w:lang w:val="en-US" w:eastAsia="zh-CN"/>
              </w:rPr>
            </w:pPr>
            <w:r>
              <w:rPr>
                <w:rFonts w:hint="eastAsia" w:ascii="仿宋" w:hAnsi="仿宋" w:eastAsia="仿宋" w:cs="宋体"/>
                <w:b/>
                <w:bCs/>
                <w:sz w:val="24"/>
                <w:szCs w:val="24"/>
              </w:rPr>
              <w:t>本项满分10分。</w:t>
            </w:r>
          </w:p>
          <w:p w14:paraId="5776A2D3">
            <w:pPr>
              <w:pStyle w:val="15"/>
              <w:keepNext w:val="0"/>
              <w:keepLines w:val="0"/>
              <w:widowControl/>
              <w:suppressLineNumbers w:val="0"/>
              <w:spacing w:before="0" w:beforeAutospacing="0" w:after="0" w:afterAutospacing="0" w:line="17" w:lineRule="atLeast"/>
              <w:ind w:left="0" w:right="0"/>
              <w:jc w:val="both"/>
              <w:rPr>
                <w:rFonts w:hint="eastAsia" w:ascii="仿宋" w:hAnsi="仿宋" w:eastAsia="仿宋" w:cs="仿宋_GB2312"/>
                <w:color w:val="000000"/>
              </w:rPr>
            </w:pPr>
            <w:r>
              <w:rPr>
                <w:rFonts w:ascii="仿宋" w:hAnsi="仿宋" w:eastAsia="仿宋" w:cs="仿宋"/>
                <w:b/>
                <w:bCs/>
                <w:i w:val="0"/>
                <w:iCs w:val="0"/>
                <w:color w:val="000000"/>
                <w:spacing w:val="0"/>
                <w:w w:val="100"/>
                <w:sz w:val="24"/>
                <w:szCs w:val="24"/>
                <w:vertAlign w:val="baseline"/>
              </w:rPr>
              <w:t>【评审依据】：</w:t>
            </w:r>
            <w:r>
              <w:rPr>
                <w:rFonts w:hint="eastAsia" w:ascii="仿宋" w:hAnsi="仿宋" w:eastAsia="仿宋" w:cs="仿宋"/>
                <w:b/>
                <w:bCs/>
                <w:i w:val="0"/>
                <w:iCs w:val="0"/>
                <w:color w:val="000000"/>
                <w:spacing w:val="0"/>
                <w:w w:val="100"/>
                <w:sz w:val="24"/>
                <w:szCs w:val="24"/>
                <w:vertAlign w:val="baseline"/>
              </w:rPr>
              <w:t>证书类证明材料须提供清晰复印件并加盖公章，奖项类案例须同时提供获奖证书扫描件及作品内容说明，并加盖公章，同一作品不重复计分。</w:t>
            </w:r>
          </w:p>
        </w:tc>
      </w:tr>
      <w:tr w14:paraId="0F91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continue"/>
            <w:vAlign w:val="center"/>
          </w:tcPr>
          <w:p w14:paraId="38098D14">
            <w:pPr>
              <w:adjustRightInd w:val="0"/>
              <w:snapToGrid w:val="0"/>
              <w:spacing w:line="300" w:lineRule="exact"/>
              <w:rPr>
                <w:rFonts w:hint="eastAsia" w:ascii="仿宋" w:hAnsi="仿宋" w:eastAsia="仿宋"/>
              </w:rPr>
            </w:pPr>
          </w:p>
        </w:tc>
        <w:tc>
          <w:tcPr>
            <w:tcW w:w="455" w:type="pct"/>
            <w:vAlign w:val="center"/>
          </w:tcPr>
          <w:p w14:paraId="61760AE9">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履约能力</w:t>
            </w:r>
          </w:p>
        </w:tc>
        <w:tc>
          <w:tcPr>
            <w:tcW w:w="378" w:type="pct"/>
            <w:vAlign w:val="center"/>
          </w:tcPr>
          <w:p w14:paraId="088D73E6">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10分</w:t>
            </w:r>
          </w:p>
        </w:tc>
        <w:tc>
          <w:tcPr>
            <w:tcW w:w="6192" w:type="dxa"/>
            <w:vAlign w:val="center"/>
          </w:tcPr>
          <w:p w14:paraId="23C30A21">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由于本项目需要高度融合到</w:t>
            </w:r>
            <w:r>
              <w:rPr>
                <w:rFonts w:hint="eastAsia" w:ascii="仿宋" w:hAnsi="仿宋" w:eastAsia="仿宋" w:cs="宋体"/>
                <w:b/>
                <w:bCs/>
                <w:sz w:val="24"/>
              </w:rPr>
              <w:t>出版社的数字教材平台</w:t>
            </w:r>
            <w:r>
              <w:rPr>
                <w:rFonts w:hint="eastAsia" w:ascii="仿宋" w:hAnsi="仿宋" w:eastAsia="仿宋" w:cs="宋体"/>
                <w:sz w:val="24"/>
              </w:rPr>
              <w:t>中</w:t>
            </w:r>
            <w:r>
              <w:rPr>
                <w:rFonts w:hint="eastAsia" w:ascii="仿宋" w:hAnsi="仿宋" w:eastAsia="仿宋" w:cs="宋体"/>
                <w:b/>
                <w:bCs/>
                <w:sz w:val="24"/>
              </w:rPr>
              <w:t>，</w:t>
            </w:r>
            <w:r>
              <w:rPr>
                <w:rFonts w:hint="eastAsia" w:ascii="仿宋" w:hAnsi="仿宋" w:eastAsia="仿宋" w:cs="宋体"/>
                <w:sz w:val="24"/>
              </w:rPr>
              <w:t>属于</w:t>
            </w:r>
            <w:r>
              <w:rPr>
                <w:rFonts w:hint="eastAsia" w:ascii="仿宋" w:hAnsi="仿宋" w:eastAsia="仿宋" w:cs="宋体"/>
                <w:b/>
                <w:bCs/>
                <w:sz w:val="24"/>
              </w:rPr>
              <w:t>重点项目，</w:t>
            </w:r>
            <w:r>
              <w:rPr>
                <w:rFonts w:hint="eastAsia" w:ascii="仿宋" w:hAnsi="仿宋" w:eastAsia="仿宋" w:cs="宋体"/>
                <w:sz w:val="24"/>
              </w:rPr>
              <w:t>所以要求</w:t>
            </w:r>
            <w:r>
              <w:rPr>
                <w:rFonts w:hint="eastAsia" w:ascii="仿宋" w:hAnsi="仿宋" w:eastAsia="仿宋" w:cs="仿宋_GB2312"/>
                <w:color w:val="000000"/>
                <w:sz w:val="24"/>
              </w:rPr>
              <w:t>供应商</w:t>
            </w:r>
            <w:r>
              <w:rPr>
                <w:rFonts w:hint="eastAsia" w:ascii="仿宋" w:hAnsi="仿宋" w:eastAsia="仿宋" w:cs="宋体"/>
                <w:sz w:val="24"/>
              </w:rPr>
              <w:t>提供</w:t>
            </w:r>
            <w:r>
              <w:rPr>
                <w:rFonts w:ascii="仿宋" w:hAnsi="仿宋" w:eastAsia="仿宋" w:cs="仿宋_GB2312"/>
                <w:b/>
                <w:bCs/>
                <w:color w:val="000000"/>
                <w:sz w:val="24"/>
              </w:rPr>
              <w:t>近</w:t>
            </w:r>
            <w:r>
              <w:rPr>
                <w:rFonts w:hint="eastAsia" w:ascii="仿宋" w:hAnsi="仿宋" w:eastAsia="仿宋" w:cs="仿宋_GB2312"/>
                <w:b/>
                <w:bCs/>
                <w:color w:val="000000"/>
                <w:sz w:val="24"/>
              </w:rPr>
              <w:t>三</w:t>
            </w:r>
            <w:r>
              <w:rPr>
                <w:rFonts w:ascii="仿宋" w:hAnsi="仿宋" w:eastAsia="仿宋" w:cs="仿宋_GB2312"/>
                <w:b/>
                <w:bCs/>
                <w:color w:val="000000"/>
                <w:sz w:val="24"/>
              </w:rPr>
              <w:t>年内（从提交响应文件截止日倒推）</w:t>
            </w:r>
            <w:r>
              <w:rPr>
                <w:rFonts w:hint="eastAsia" w:ascii="仿宋" w:hAnsi="仿宋" w:eastAsia="仿宋" w:cs="仿宋_GB2312"/>
                <w:b/>
                <w:bCs/>
                <w:color w:val="000000"/>
                <w:sz w:val="24"/>
              </w:rPr>
              <w:t>在数字教材平台上</w:t>
            </w:r>
            <w:r>
              <w:rPr>
                <w:rFonts w:hint="eastAsia" w:ascii="仿宋" w:hAnsi="仿宋" w:eastAsia="仿宋" w:cs="宋体"/>
                <w:sz w:val="24"/>
              </w:rPr>
              <w:t>的</w:t>
            </w:r>
            <w:r>
              <w:rPr>
                <w:rFonts w:hint="eastAsia" w:ascii="仿宋" w:hAnsi="仿宋" w:eastAsia="仿宋" w:cs="宋体"/>
                <w:b/>
                <w:bCs/>
                <w:sz w:val="24"/>
              </w:rPr>
              <w:t>案例</w:t>
            </w:r>
            <w:r>
              <w:rPr>
                <w:rFonts w:hint="eastAsia" w:ascii="仿宋" w:hAnsi="仿宋" w:eastAsia="仿宋" w:cs="宋体"/>
                <w:sz w:val="24"/>
              </w:rPr>
              <w:t>（包括但不仅限于数字教材对应合同、出版或者即将出版证明、教材中相关企业参编信息等）</w:t>
            </w:r>
            <w:r>
              <w:rPr>
                <w:rFonts w:hint="eastAsia" w:ascii="仿宋" w:hAnsi="仿宋" w:eastAsia="仿宋" w:cs="仿宋_GB2312"/>
                <w:color w:val="000000"/>
                <w:sz w:val="24"/>
              </w:rPr>
              <w:t>，每提供一个加5分</w:t>
            </w:r>
            <w:r>
              <w:rPr>
                <w:rFonts w:hint="eastAsia" w:ascii="仿宋" w:hAnsi="仿宋" w:eastAsia="仿宋" w:cs="仿宋_GB2312"/>
                <w:color w:val="000000"/>
                <w:sz w:val="24"/>
                <w:lang w:eastAsia="zh-CN"/>
              </w:rPr>
              <w:t>，</w:t>
            </w:r>
            <w:r>
              <w:rPr>
                <w:rFonts w:hint="eastAsia" w:ascii="仿宋" w:hAnsi="仿宋" w:eastAsia="仿宋" w:cs="仿宋_GB2312"/>
                <w:color w:val="000000"/>
                <w:sz w:val="24"/>
              </w:rPr>
              <w:t>无有效证明不加分。</w:t>
            </w:r>
          </w:p>
          <w:p w14:paraId="0A117128">
            <w:pPr>
              <w:jc w:val="left"/>
              <w:rPr>
                <w:rFonts w:hint="eastAsia" w:ascii="仿宋" w:hAnsi="仿宋" w:eastAsia="仿宋" w:cs="仿宋_GB2312"/>
                <w:color w:val="000000"/>
                <w:sz w:val="24"/>
              </w:rPr>
            </w:pPr>
            <w:r>
              <w:rPr>
                <w:rFonts w:hint="eastAsia" w:ascii="仿宋" w:hAnsi="仿宋" w:eastAsia="仿宋" w:cs="宋体"/>
                <w:b/>
                <w:bCs/>
                <w:sz w:val="24"/>
                <w:szCs w:val="24"/>
              </w:rPr>
              <w:t>本项满分10分。</w:t>
            </w:r>
          </w:p>
          <w:p w14:paraId="6F439AA9">
            <w:pPr>
              <w:adjustRightInd w:val="0"/>
              <w:snapToGrid w:val="0"/>
              <w:spacing w:line="300" w:lineRule="exact"/>
              <w:rPr>
                <w:rFonts w:hint="eastAsia" w:ascii="仿宋" w:hAnsi="仿宋" w:eastAsia="仿宋" w:cs="仿宋_GB2312"/>
                <w:color w:val="000000"/>
                <w:sz w:val="24"/>
              </w:rPr>
            </w:pPr>
            <w:r>
              <w:rPr>
                <w:rFonts w:hint="eastAsia" w:ascii="仿宋" w:hAnsi="仿宋" w:eastAsia="仿宋" w:cs="宋体"/>
                <w:b/>
                <w:bCs/>
                <w:sz w:val="24"/>
              </w:rPr>
              <w:t>【评审依据】：响应文件中提供完整立项报告和结项证明，未提供不得分。</w:t>
            </w:r>
          </w:p>
        </w:tc>
      </w:tr>
      <w:tr w14:paraId="0B6D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pct"/>
            <w:vMerge w:val="continue"/>
            <w:vAlign w:val="center"/>
          </w:tcPr>
          <w:p w14:paraId="4FF7750F">
            <w:pPr>
              <w:adjustRightInd w:val="0"/>
              <w:snapToGrid w:val="0"/>
              <w:spacing w:line="300" w:lineRule="exact"/>
              <w:rPr>
                <w:rFonts w:hint="eastAsia" w:ascii="仿宋" w:hAnsi="仿宋" w:eastAsia="仿宋" w:cs="仿宋_GB2312"/>
                <w:color w:val="000000"/>
                <w:sz w:val="24"/>
              </w:rPr>
            </w:pPr>
          </w:p>
        </w:tc>
        <w:tc>
          <w:tcPr>
            <w:tcW w:w="455" w:type="pct"/>
            <w:vAlign w:val="center"/>
          </w:tcPr>
          <w:p w14:paraId="63528DEC">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类似业绩</w:t>
            </w:r>
          </w:p>
        </w:tc>
        <w:tc>
          <w:tcPr>
            <w:tcW w:w="378" w:type="pct"/>
            <w:vAlign w:val="center"/>
          </w:tcPr>
          <w:p w14:paraId="711B8FE4">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15分</w:t>
            </w:r>
          </w:p>
        </w:tc>
        <w:tc>
          <w:tcPr>
            <w:tcW w:w="6192" w:type="dxa"/>
            <w:vAlign w:val="center"/>
          </w:tcPr>
          <w:p w14:paraId="496C1304">
            <w:pPr>
              <w:jc w:val="left"/>
              <w:rPr>
                <w:rFonts w:hint="eastAsia" w:ascii="仿宋" w:hAnsi="仿宋" w:eastAsia="仿宋"/>
                <w:sz w:val="24"/>
                <w:szCs w:val="24"/>
              </w:rPr>
            </w:pPr>
            <w:r>
              <w:rPr>
                <w:rFonts w:hint="eastAsia" w:ascii="仿宋" w:hAnsi="仿宋" w:eastAsia="仿宋" w:cs="宋体"/>
                <w:sz w:val="24"/>
                <w:szCs w:val="24"/>
              </w:rPr>
              <w:t>供应商提供自2022年12月至本项目响应文件递交截止时间（以合同签订日期为准）具有轨道交通类、院校类的教学资源建设服务项目合同的,每提供一份合同计3分。</w:t>
            </w:r>
            <w:r>
              <w:rPr>
                <w:rFonts w:hint="eastAsia" w:ascii="仿宋" w:hAnsi="仿宋" w:eastAsia="仿宋"/>
                <w:sz w:val="24"/>
                <w:szCs w:val="24"/>
              </w:rPr>
              <w:t>（提供佐证材料复印件加盖公章，未提供不计分）</w:t>
            </w:r>
          </w:p>
          <w:p w14:paraId="74A6ADE9">
            <w:pPr>
              <w:jc w:val="left"/>
              <w:rPr>
                <w:rFonts w:hint="eastAsia" w:ascii="仿宋" w:hAnsi="仿宋" w:eastAsia="仿宋"/>
                <w:sz w:val="24"/>
                <w:szCs w:val="24"/>
              </w:rPr>
            </w:pPr>
            <w:r>
              <w:rPr>
                <w:rFonts w:hint="eastAsia" w:ascii="仿宋" w:hAnsi="仿宋" w:eastAsia="仿宋" w:cs="宋体"/>
                <w:b/>
                <w:bCs/>
                <w:sz w:val="24"/>
                <w:szCs w:val="24"/>
              </w:rPr>
              <w:t>本项满分1</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w:t>
            </w:r>
          </w:p>
          <w:p w14:paraId="52225D97">
            <w:pPr>
              <w:jc w:val="left"/>
              <w:rPr>
                <w:rFonts w:hint="eastAsia" w:ascii="仿宋" w:hAnsi="仿宋" w:eastAsia="仿宋" w:cs="仿宋_GB2312"/>
                <w:color w:val="000000"/>
                <w:sz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1B39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499" w:type="pct"/>
            <w:gridSpan w:val="3"/>
            <w:vAlign w:val="center"/>
          </w:tcPr>
          <w:p w14:paraId="788603F2">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合计</w:t>
            </w:r>
          </w:p>
        </w:tc>
        <w:tc>
          <w:tcPr>
            <w:tcW w:w="3500" w:type="pct"/>
            <w:vAlign w:val="center"/>
          </w:tcPr>
          <w:p w14:paraId="48525FFD">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100</w:t>
            </w:r>
          </w:p>
        </w:tc>
      </w:tr>
    </w:tbl>
    <w:p w14:paraId="7A099A91">
      <w:pPr>
        <w:pStyle w:val="17"/>
        <w:ind w:left="0" w:leftChars="0" w:firstLine="0"/>
        <w:jc w:val="center"/>
        <w:rPr>
          <w:rFonts w:hint="eastAsia" w:ascii="宋体" w:hAnsi="宋体" w:eastAsia="仿宋" w:cs="宋体"/>
          <w:b/>
          <w:color w:val="333333"/>
          <w:kern w:val="0"/>
          <w:sz w:val="36"/>
          <w:szCs w:val="36"/>
        </w:rPr>
      </w:pPr>
    </w:p>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730307BF">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hint="eastAsia" w:ascii="仿宋" w:hAnsi="仿宋" w:eastAsia="仿宋"/>
          <w:b/>
          <w:bCs/>
          <w:sz w:val="24"/>
          <w:szCs w:val="24"/>
        </w:rPr>
        <w:t>四、保密承诺书：</w:t>
      </w:r>
      <w:r>
        <w:rPr>
          <w:rFonts w:hint="eastAsia" w:ascii="仿宋" w:hAnsi="仿宋" w:eastAsia="仿宋"/>
          <w:sz w:val="24"/>
          <w:szCs w:val="24"/>
        </w:rPr>
        <w:t>格式自拟，并加盖公章</w:t>
      </w:r>
    </w:p>
    <w:p w14:paraId="083C3535"/>
    <w:p w14:paraId="26A326CD">
      <w:pPr>
        <w:pStyle w:val="17"/>
        <w:ind w:left="0" w:leftChars="0" w:firstLine="0"/>
      </w:pPr>
    </w:p>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widowControl/>
        <w:jc w:val="left"/>
        <w:rPr>
          <w:rFonts w:hint="eastAsia" w:ascii="仿宋_GB2312" w:hAnsi="宋体" w:eastAsia="仿宋_GB2312"/>
          <w:b/>
          <w:kern w:val="0"/>
          <w:szCs w:val="20"/>
        </w:rPr>
      </w:pPr>
      <w:r>
        <w:rPr>
          <w:rFonts w:hint="eastAsia" w:ascii="仿宋_GB2312" w:hAnsi="宋体" w:eastAsia="仿宋_GB2312"/>
          <w:b/>
        </w:rPr>
        <w:br w:type="page"/>
      </w: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7"/>
      </w:pPr>
    </w:p>
    <w:p w14:paraId="10CB8852"/>
    <w:p w14:paraId="7F870902"/>
    <w:p w14:paraId="78DBABB8">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7"/>
        <w:rPr>
          <w:rFonts w:hint="eastAsia" w:ascii="仿宋" w:hAnsi="仿宋" w:eastAsia="仿宋"/>
        </w:rPr>
      </w:pPr>
    </w:p>
    <w:p w14:paraId="5550980C">
      <w:pPr>
        <w:pStyle w:val="1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1"/>
      </w:rPr>
    </w:pPr>
    <w:r>
      <w:fldChar w:fldCharType="begin"/>
    </w:r>
    <w:r>
      <w:rPr>
        <w:rStyle w:val="21"/>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0690E"/>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91D64"/>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6B4B"/>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04FC"/>
    <w:rsid w:val="002E4315"/>
    <w:rsid w:val="002F4670"/>
    <w:rsid w:val="002F4721"/>
    <w:rsid w:val="00311258"/>
    <w:rsid w:val="003238D3"/>
    <w:rsid w:val="00340274"/>
    <w:rsid w:val="00343BF0"/>
    <w:rsid w:val="00347B94"/>
    <w:rsid w:val="003578B1"/>
    <w:rsid w:val="00357989"/>
    <w:rsid w:val="003603F2"/>
    <w:rsid w:val="00362036"/>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1186"/>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572A8"/>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23B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3206"/>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548A4"/>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5708"/>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B6AF1"/>
    <w:rsid w:val="00DC4125"/>
    <w:rsid w:val="00DC427D"/>
    <w:rsid w:val="00DC6665"/>
    <w:rsid w:val="00DC66BD"/>
    <w:rsid w:val="00DD0341"/>
    <w:rsid w:val="00DD785A"/>
    <w:rsid w:val="00DE0768"/>
    <w:rsid w:val="00DE34F6"/>
    <w:rsid w:val="00DE577F"/>
    <w:rsid w:val="00DF0F48"/>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B5DB4"/>
    <w:rsid w:val="00FC011A"/>
    <w:rsid w:val="00FE0327"/>
    <w:rsid w:val="00FE4AAE"/>
    <w:rsid w:val="00FE55F5"/>
    <w:rsid w:val="00FF6106"/>
    <w:rsid w:val="017442FA"/>
    <w:rsid w:val="0215299B"/>
    <w:rsid w:val="044E0E32"/>
    <w:rsid w:val="05997E8B"/>
    <w:rsid w:val="066D3445"/>
    <w:rsid w:val="08964B56"/>
    <w:rsid w:val="08C83CB5"/>
    <w:rsid w:val="097D7547"/>
    <w:rsid w:val="09902C2B"/>
    <w:rsid w:val="099D4028"/>
    <w:rsid w:val="0A9926DB"/>
    <w:rsid w:val="0C3721EC"/>
    <w:rsid w:val="0CEC11E8"/>
    <w:rsid w:val="0CFD51A3"/>
    <w:rsid w:val="0D7A240F"/>
    <w:rsid w:val="0E3746E5"/>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AAB45F6"/>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06A71A0"/>
    <w:rsid w:val="719E17CE"/>
    <w:rsid w:val="71CD20B4"/>
    <w:rsid w:val="72567DE8"/>
    <w:rsid w:val="72C16AF2"/>
    <w:rsid w:val="72FA6ED8"/>
    <w:rsid w:val="73A76E7D"/>
    <w:rsid w:val="74A23383"/>
    <w:rsid w:val="75730384"/>
    <w:rsid w:val="78401AE9"/>
    <w:rsid w:val="7B4E5EDA"/>
    <w:rsid w:val="7BEB3862"/>
    <w:rsid w:val="7C7B7C1A"/>
    <w:rsid w:val="7CB35A59"/>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4"/>
    <w:semiHidden/>
    <w:unhideWhenUsed/>
    <w:qFormat/>
    <w:uiPriority w:val="99"/>
    <w:rPr>
      <w:rFonts w:ascii="宋体"/>
      <w:sz w:val="18"/>
      <w:szCs w:val="18"/>
    </w:rPr>
  </w:style>
  <w:style w:type="paragraph" w:styleId="7">
    <w:name w:val="Body Text"/>
    <w:basedOn w:val="1"/>
    <w:next w:val="1"/>
    <w:link w:val="36"/>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40"/>
    <w:qFormat/>
    <w:uiPriority w:val="99"/>
    <w:pPr>
      <w:spacing w:after="120" w:line="480" w:lineRule="auto"/>
      <w:ind w:left="420" w:leftChars="200"/>
    </w:pPr>
    <w:rPr>
      <w:kern w:val="0"/>
      <w:sz w:val="24"/>
    </w:r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9628"/>
      </w:tabs>
      <w:spacing w:line="480" w:lineRule="auto"/>
    </w:pPr>
    <w:rPr>
      <w:rFonts w:ascii="仿宋_GB2312" w:hAnsi="宋体" w:eastAsia="仿宋_GB2312"/>
      <w:b/>
      <w:sz w:val="24"/>
      <w:szCs w:val="20"/>
    </w:rPr>
  </w:style>
  <w:style w:type="paragraph" w:styleId="15">
    <w:name w:val="Normal (Web)"/>
    <w:basedOn w:val="1"/>
    <w:semiHidden/>
    <w:unhideWhenUsed/>
    <w:qFormat/>
    <w:uiPriority w:val="99"/>
    <w:rPr>
      <w:sz w:val="24"/>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8"/>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customStyle="1" w:styleId="22">
    <w:name w:val="页眉 字符"/>
    <w:basedOn w:val="20"/>
    <w:link w:val="13"/>
    <w:qFormat/>
    <w:uiPriority w:val="0"/>
    <w:rPr>
      <w:rFonts w:ascii="Calibri" w:hAnsi="Calibri" w:eastAsia="宋体" w:cs="Times New Roman"/>
      <w:sz w:val="18"/>
      <w:szCs w:val="18"/>
    </w:rPr>
  </w:style>
  <w:style w:type="character" w:customStyle="1" w:styleId="23">
    <w:name w:val="页脚 字符"/>
    <w:basedOn w:val="20"/>
    <w:link w:val="12"/>
    <w:qFormat/>
    <w:uiPriority w:val="99"/>
    <w:rPr>
      <w:rFonts w:ascii="Calibri" w:hAnsi="Calibri" w:eastAsia="宋体" w:cs="Times New Roman"/>
      <w:sz w:val="18"/>
      <w:szCs w:val="18"/>
    </w:rPr>
  </w:style>
  <w:style w:type="character" w:customStyle="1" w:styleId="24">
    <w:name w:val="文档结构图 字符"/>
    <w:basedOn w:val="20"/>
    <w:link w:val="6"/>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字符"/>
    <w:basedOn w:val="20"/>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字符"/>
    <w:basedOn w:val="20"/>
    <w:link w:val="2"/>
    <w:qFormat/>
    <w:uiPriority w:val="0"/>
    <w:rPr>
      <w:rFonts w:ascii="Cambria" w:hAnsi="Cambria" w:eastAsia="华文中宋" w:cs="Times New Roman"/>
      <w:b/>
      <w:bCs/>
      <w:sz w:val="44"/>
      <w:szCs w:val="28"/>
    </w:rPr>
  </w:style>
  <w:style w:type="character" w:customStyle="1" w:styleId="29">
    <w:name w:val="纯文本 字符"/>
    <w:link w:val="10"/>
    <w:qFormat/>
    <w:locked/>
    <w:uiPriority w:val="0"/>
    <w:rPr>
      <w:rFonts w:ascii="宋体" w:hAnsi="Courier New"/>
      <w:sz w:val="21"/>
    </w:rPr>
  </w:style>
  <w:style w:type="character" w:customStyle="1" w:styleId="30">
    <w:name w:val="纯文本 Char"/>
    <w:basedOn w:val="20"/>
    <w:semiHidden/>
    <w:qFormat/>
    <w:uiPriority w:val="99"/>
    <w:rPr>
      <w:rFonts w:ascii="宋体" w:hAnsi="Courier New" w:cs="Courier New"/>
      <w:kern w:val="2"/>
      <w:sz w:val="21"/>
      <w:szCs w:val="21"/>
    </w:rPr>
  </w:style>
  <w:style w:type="character" w:customStyle="1" w:styleId="31">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20"/>
    <w:link w:val="4"/>
    <w:qFormat/>
    <w:uiPriority w:val="9"/>
    <w:rPr>
      <w:rFonts w:asciiTheme="majorHAnsi" w:hAnsiTheme="majorHAnsi" w:eastAsiaTheme="majorEastAsia" w:cstheme="majorBidi"/>
      <w:b/>
      <w:bCs/>
      <w:kern w:val="2"/>
      <w:sz w:val="24"/>
      <w:szCs w:val="24"/>
    </w:rPr>
  </w:style>
  <w:style w:type="character" w:customStyle="1" w:styleId="36">
    <w:name w:val="正文文本 字符"/>
    <w:basedOn w:val="20"/>
    <w:link w:val="7"/>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9"/>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4">
    <w:name w:val="Char1 Char Char Char Char Char Char Char1"/>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2768</Words>
  <Characters>2858</Characters>
  <Lines>43</Lines>
  <Paragraphs>12</Paragraphs>
  <TotalTime>1</TotalTime>
  <ScaleCrop>false</ScaleCrop>
  <LinksUpToDate>false</LinksUpToDate>
  <CharactersWithSpaces>2890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2025-09-25T03:16:00Z</dcterms:created>
  <dc:creator>china</dc:creator>
  <cp:lastModifiedBy>Grape</cp:lastModifiedBy>
  <cp:lastPrinted>2020-08-24T02:17:00Z</cp:lastPrinted>
  <dcterms:modified xsi:type="dcterms:W3CDTF">2025-10-10T00:22:18Z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8BCDDE03DCE64374AB66A5D67400E94F_13</vt:lpwstr>
  </property>
  <property fmtid="{D5CDD505-2E9C-101B-9397-08002B2CF9AE}" pid="4" name="KSOTemplateDocerSaveRecord">
    <vt:lpwstr>eyJoZGlkIjoiZjc5OWVlZTI2MDJkNzVlMjAwNGE0NGYxZDY0Y2I0MDciLCJ1c2VySWQiOiI2MTMyODIwNzYifQ==</vt:lpwstr>
  </property>
</Properties>
</file>