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9"/>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9"/>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9"/>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9"/>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9"/>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9"/>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39"/>
        <w:ind w:firstLine="320" w:firstLineChars="100"/>
        <w:jc w:val="both"/>
        <w:rPr>
          <w:rFonts w:hint="eastAsia" w:ascii="黑体" w:hAnsi="黑体" w:eastAsia="黑体"/>
          <w:kern w:val="0"/>
          <w:sz w:val="32"/>
          <w:szCs w:val="32"/>
        </w:rPr>
      </w:pPr>
      <w:r>
        <w:rPr>
          <w:rFonts w:ascii="黑体" w:hAnsi="黑体" w:eastAsia="黑体"/>
          <w:sz w:val="32"/>
          <w:szCs w:val="32"/>
        </w:rPr>
        <w:t>采购项目名称：</w:t>
      </w:r>
      <w:r>
        <w:rPr>
          <w:rFonts w:hint="eastAsia" w:ascii="黑体" w:hAnsi="黑体" w:eastAsia="黑体" w:cs="Times New Roman"/>
          <w:sz w:val="32"/>
          <w:szCs w:val="32"/>
          <w:lang w:val="en-US" w:eastAsia="zh-CN"/>
        </w:rPr>
        <w:t>云龙西校区新建变电站设计服务项目</w:t>
      </w:r>
    </w:p>
    <w:p w14:paraId="3286CA34">
      <w:pPr>
        <w:pStyle w:val="9"/>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9"/>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9"/>
        <w:adjustRightInd w:val="0"/>
        <w:snapToGrid w:val="0"/>
        <w:spacing w:line="440" w:lineRule="exact"/>
        <w:jc w:val="center"/>
        <w:rPr>
          <w:rFonts w:hint="eastAsia" w:ascii="黑体" w:hAnsi="黑体" w:eastAsia="黑体"/>
          <w:b/>
          <w:sz w:val="32"/>
        </w:rPr>
      </w:pPr>
    </w:p>
    <w:p w14:paraId="12277452">
      <w:pPr>
        <w:pStyle w:val="9"/>
        <w:adjustRightInd w:val="0"/>
        <w:snapToGrid w:val="0"/>
        <w:spacing w:line="440" w:lineRule="exact"/>
        <w:jc w:val="center"/>
        <w:rPr>
          <w:rFonts w:hint="eastAsia" w:ascii="黑体" w:hAnsi="黑体" w:eastAsia="黑体"/>
          <w:b/>
          <w:sz w:val="32"/>
        </w:rPr>
      </w:pPr>
    </w:p>
    <w:p w14:paraId="263E19F8">
      <w:pPr>
        <w:pStyle w:val="9"/>
        <w:adjustRightInd w:val="0"/>
        <w:snapToGrid w:val="0"/>
        <w:spacing w:line="440" w:lineRule="exact"/>
        <w:jc w:val="center"/>
        <w:rPr>
          <w:rFonts w:hint="eastAsia" w:ascii="黑体" w:hAnsi="黑体" w:eastAsia="黑体"/>
          <w:b/>
          <w:sz w:val="32"/>
        </w:rPr>
      </w:pPr>
    </w:p>
    <w:p w14:paraId="00E611DA">
      <w:pPr>
        <w:pStyle w:val="9"/>
        <w:adjustRightInd w:val="0"/>
        <w:snapToGrid w:val="0"/>
        <w:spacing w:line="440" w:lineRule="exact"/>
        <w:jc w:val="center"/>
        <w:rPr>
          <w:rFonts w:hint="eastAsia" w:ascii="黑体" w:hAnsi="黑体" w:eastAsia="黑体"/>
          <w:b/>
          <w:sz w:val="32"/>
        </w:rPr>
      </w:pPr>
    </w:p>
    <w:p w14:paraId="5BD02E6F">
      <w:pPr>
        <w:pStyle w:val="9"/>
        <w:adjustRightInd w:val="0"/>
        <w:snapToGrid w:val="0"/>
        <w:spacing w:line="440" w:lineRule="exact"/>
        <w:jc w:val="center"/>
        <w:rPr>
          <w:rFonts w:hint="eastAsia" w:ascii="黑体" w:hAnsi="黑体" w:eastAsia="黑体"/>
          <w:b/>
          <w:sz w:val="32"/>
        </w:rPr>
      </w:pPr>
    </w:p>
    <w:p w14:paraId="51D3F09C">
      <w:pPr>
        <w:pStyle w:val="9"/>
        <w:adjustRightInd w:val="0"/>
        <w:snapToGrid w:val="0"/>
        <w:spacing w:line="440" w:lineRule="exact"/>
        <w:jc w:val="center"/>
        <w:rPr>
          <w:rFonts w:hint="eastAsia" w:ascii="黑体" w:hAnsi="黑体" w:eastAsia="黑体"/>
          <w:b/>
          <w:sz w:val="32"/>
        </w:rPr>
      </w:pPr>
    </w:p>
    <w:p w14:paraId="33437265">
      <w:pPr>
        <w:pStyle w:val="9"/>
        <w:adjustRightInd w:val="0"/>
        <w:snapToGrid w:val="0"/>
        <w:spacing w:line="440" w:lineRule="exact"/>
        <w:jc w:val="center"/>
        <w:rPr>
          <w:rFonts w:hint="eastAsia" w:ascii="黑体" w:hAnsi="黑体" w:eastAsia="黑体"/>
          <w:b/>
          <w:sz w:val="32"/>
        </w:rPr>
      </w:pPr>
    </w:p>
    <w:p w14:paraId="646F9A24">
      <w:pPr>
        <w:pStyle w:val="9"/>
        <w:adjustRightInd w:val="0"/>
        <w:snapToGrid w:val="0"/>
        <w:spacing w:line="440" w:lineRule="exact"/>
        <w:jc w:val="center"/>
        <w:rPr>
          <w:rFonts w:hint="eastAsia" w:ascii="黑体" w:hAnsi="黑体" w:eastAsia="黑体"/>
          <w:b/>
          <w:sz w:val="32"/>
        </w:rPr>
      </w:pPr>
    </w:p>
    <w:p w14:paraId="3BDBB089">
      <w:pPr>
        <w:pStyle w:val="9"/>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lang w:val="en-US" w:eastAsia="zh-CN"/>
        </w:rPr>
        <w:t>十</w:t>
      </w:r>
      <w:r>
        <w:rPr>
          <w:rFonts w:ascii="黑体" w:hAnsi="黑体" w:eastAsia="黑体"/>
          <w:sz w:val="32"/>
          <w:szCs w:val="32"/>
        </w:rPr>
        <w:t>月</w:t>
      </w:r>
    </w:p>
    <w:p w14:paraId="3FD890A2">
      <w:pPr>
        <w:pStyle w:val="15"/>
      </w:pPr>
    </w:p>
    <w:p w14:paraId="40E4DFFA">
      <w:pPr>
        <w:pStyle w:val="15"/>
        <w:rPr>
          <w:szCs w:val="22"/>
        </w:rPr>
      </w:pPr>
    </w:p>
    <w:p w14:paraId="11D4FA5A">
      <w:pPr>
        <w:pStyle w:val="15"/>
        <w:snapToGrid w:val="0"/>
        <w:spacing w:before="0" w:beforeAutospacing="0" w:after="0" w:line="360" w:lineRule="auto"/>
        <w:ind w:left="718" w:leftChars="342" w:firstLine="0" w:firstLineChars="0"/>
        <w:jc w:val="center"/>
        <w:rPr>
          <w:rFonts w:hint="eastAsia" w:ascii="黑体" w:hAnsi="黑体" w:eastAsia="黑体" w:cs="Times New Roman"/>
          <w:b/>
          <w:sz w:val="36"/>
          <w:szCs w:val="36"/>
        </w:rPr>
      </w:pPr>
      <w:r>
        <w:rPr>
          <w:rFonts w:hint="eastAsia" w:ascii="黑体" w:hAnsi="黑体" w:eastAsia="黑体"/>
          <w:b/>
          <w:sz w:val="36"/>
          <w:szCs w:val="36"/>
          <w:u w:val="none"/>
          <w:lang w:val="en-US" w:eastAsia="zh-CN"/>
        </w:rPr>
        <w:t>云龙西校区新建变电站设计服务项目</w:t>
      </w:r>
      <w:r>
        <w:rPr>
          <w:rFonts w:hint="eastAsia" w:ascii="黑体" w:hAnsi="黑体" w:eastAsia="黑体" w:cs="Times New Roman"/>
          <w:b/>
          <w:sz w:val="36"/>
          <w:szCs w:val="36"/>
          <w:u w:val="none"/>
        </w:rPr>
        <w:t>询</w:t>
      </w:r>
      <w:r>
        <w:rPr>
          <w:rFonts w:hint="eastAsia" w:ascii="黑体" w:hAnsi="黑体" w:eastAsia="黑体" w:cs="Times New Roman"/>
          <w:b/>
          <w:sz w:val="36"/>
          <w:szCs w:val="36"/>
        </w:rPr>
        <w:t>比采购公告</w:t>
      </w:r>
    </w:p>
    <w:p w14:paraId="0FA957A0">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cs="Times New Roman"/>
          <w:sz w:val="24"/>
          <w:szCs w:val="24"/>
          <w:lang w:val="en-US" w:eastAsia="zh-CN"/>
        </w:rPr>
        <w:t>湖南</w:t>
      </w:r>
      <w:r>
        <w:rPr>
          <w:rFonts w:ascii="仿宋" w:hAnsi="仿宋" w:eastAsia="仿宋"/>
          <w:sz w:val="24"/>
          <w:szCs w:val="24"/>
        </w:rPr>
        <w:t>铁道职业技术学院</w:t>
      </w:r>
      <w:r>
        <w:rPr>
          <w:rFonts w:hint="eastAsia" w:ascii="仿宋" w:hAnsi="仿宋" w:eastAsia="仿宋" w:cs="Times New Roman"/>
          <w:sz w:val="24"/>
          <w:szCs w:val="24"/>
          <w:u w:val="none"/>
          <w:lang w:val="en-US" w:eastAsia="zh-CN"/>
        </w:rPr>
        <w:t>云龙西校区新建变电站设计服务</w:t>
      </w:r>
      <w:r>
        <w:rPr>
          <w:rFonts w:hint="eastAsia" w:ascii="仿宋" w:hAnsi="仿宋" w:eastAsia="仿宋"/>
          <w:sz w:val="24"/>
          <w:szCs w:val="24"/>
          <w:u w:val="none"/>
        </w:rPr>
        <w:t>项目需进</w:t>
      </w:r>
      <w:r>
        <w:rPr>
          <w:rFonts w:hint="eastAsia" w:ascii="仿宋" w:hAnsi="仿宋" w:eastAsia="仿宋"/>
          <w:sz w:val="24"/>
          <w:szCs w:val="24"/>
        </w:rPr>
        <w:t>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31662_WPSOffice_Level2"/>
      <w:bookmarkStart w:id="1" w:name="_Toc26475"/>
      <w:bookmarkStart w:id="2" w:name="_Toc3564"/>
      <w:bookmarkStart w:id="3" w:name="_Toc4659"/>
      <w:bookmarkStart w:id="4" w:name="_Toc17794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w:t>
      </w:r>
      <w:r>
        <w:rPr>
          <w:rFonts w:hint="eastAsia" w:ascii="仿宋" w:hAnsi="仿宋" w:eastAsia="仿宋" w:cs="Times New Roman"/>
          <w:sz w:val="24"/>
          <w:szCs w:val="24"/>
          <w:u w:val="none"/>
          <w:lang w:val="en-US" w:eastAsia="zh-CN"/>
        </w:rPr>
        <w:t>云龙西校区新建变电站设计服务项</w:t>
      </w:r>
      <w:r>
        <w:rPr>
          <w:rFonts w:hint="eastAsia" w:ascii="仿宋" w:hAnsi="仿宋" w:eastAsia="仿宋"/>
          <w:sz w:val="24"/>
          <w:szCs w:val="24"/>
          <w:u w:val="none"/>
        </w:rPr>
        <w:t>目</w:t>
      </w:r>
    </w:p>
    <w:p w14:paraId="21D764A5">
      <w:pPr>
        <w:spacing w:line="500" w:lineRule="exact"/>
        <w:ind w:firstLine="480" w:firstLineChars="200"/>
        <w:rPr>
          <w:rFonts w:hint="eastAsia" w:ascii="仿宋" w:hAnsi="仿宋" w:eastAsia="仿宋"/>
          <w:sz w:val="24"/>
          <w:szCs w:val="24"/>
        </w:rPr>
      </w:pPr>
      <w:r>
        <w:rPr>
          <w:rFonts w:hint="eastAsia" w:ascii="仿宋" w:hAnsi="仿宋" w:eastAsia="仿宋"/>
          <w:sz w:val="24"/>
          <w:szCs w:val="24"/>
        </w:rPr>
        <w:t xml:space="preserve">2.项目概况: </w:t>
      </w:r>
      <w:r>
        <w:rPr>
          <w:rFonts w:hint="eastAsia" w:ascii="仿宋" w:hAnsi="仿宋" w:eastAsia="仿宋" w:cs="Times New Roman"/>
          <w:color w:val="auto"/>
          <w:sz w:val="24"/>
          <w:szCs w:val="24"/>
        </w:rPr>
        <w:t xml:space="preserve"> </w:t>
      </w:r>
      <w:r>
        <w:rPr>
          <w:rFonts w:hint="eastAsia" w:ascii="仿宋" w:hAnsi="仿宋" w:eastAsia="仿宋" w:cs="仿宋"/>
          <w:color w:val="auto"/>
          <w:kern w:val="0"/>
          <w:sz w:val="24"/>
          <w:szCs w:val="24"/>
          <w:lang w:val="en-US" w:eastAsia="zh-CN"/>
        </w:rPr>
        <w:t>因为云龙西校区实训二变电站电力负荷已经达到峰值，后续建设的产教融合大楼、7#、8#栋学生宿舍等建筑单体需要新建变电站，拟在产教融合中心一楼新建变电站，建设内容包含新建高压专线（含高压成套设备）及相关土建工程，因此需委托具备电力设计资质的设计单位对上述建设内容进行设计。</w:t>
      </w:r>
    </w:p>
    <w:p w14:paraId="29862A57">
      <w:pPr>
        <w:numPr>
          <w:ilvl w:val="0"/>
          <w:numId w:val="0"/>
        </w:numPr>
        <w:spacing w:line="500" w:lineRule="exact"/>
        <w:ind w:firstLine="480" w:firstLineChars="200"/>
        <w:rPr>
          <w:rFonts w:hint="eastAsia" w:ascii="仿宋" w:hAnsi="仿宋" w:eastAsia="仿宋"/>
          <w:sz w:val="24"/>
          <w:szCs w:val="24"/>
        </w:rPr>
      </w:pPr>
      <w:r>
        <w:rPr>
          <w:rFonts w:hint="eastAsia" w:ascii="仿宋" w:hAnsi="仿宋" w:eastAsia="仿宋"/>
          <w:sz w:val="24"/>
          <w:szCs w:val="24"/>
        </w:rPr>
        <w:t>3.服务内容：</w:t>
      </w:r>
    </w:p>
    <w:p w14:paraId="46C8A258">
      <w:pPr>
        <w:numPr>
          <w:ilvl w:val="0"/>
          <w:numId w:val="0"/>
        </w:numPr>
        <w:spacing w:line="500" w:lineRule="exact"/>
        <w:ind w:firstLine="480" w:firstLineChars="200"/>
        <w:rPr>
          <w:rFonts w:hint="eastAsia" w:ascii="仿宋" w:hAnsi="仿宋" w:eastAsia="仿宋" w:cs="Times New Roman"/>
          <w:color w:val="auto"/>
          <w:sz w:val="24"/>
          <w:szCs w:val="24"/>
        </w:rPr>
      </w:pPr>
      <w:r>
        <w:rPr>
          <w:rFonts w:hint="eastAsia" w:ascii="仿宋" w:hAnsi="仿宋" w:eastAsia="仿宋" w:cs="Times New Roman"/>
          <w:color w:val="auto"/>
          <w:sz w:val="24"/>
          <w:szCs w:val="24"/>
          <w:lang w:val="en-US" w:eastAsia="zh-CN"/>
        </w:rPr>
        <w:t>（1）完</w:t>
      </w:r>
      <w:r>
        <w:rPr>
          <w:rFonts w:hint="eastAsia" w:ascii="仿宋" w:hAnsi="仿宋" w:eastAsia="仿宋" w:cs="Times New Roman"/>
          <w:color w:val="auto"/>
          <w:sz w:val="24"/>
          <w:szCs w:val="24"/>
          <w:lang w:eastAsia="zh-CN"/>
        </w:rPr>
        <w:t>成</w:t>
      </w:r>
      <w:r>
        <w:rPr>
          <w:rFonts w:hint="eastAsia" w:ascii="仿宋" w:hAnsi="仿宋" w:eastAsia="仿宋" w:cs="Times New Roman"/>
          <w:color w:val="auto"/>
          <w:sz w:val="24"/>
          <w:szCs w:val="24"/>
          <w:lang w:val="en-US" w:eastAsia="zh-CN"/>
        </w:rPr>
        <w:t>新建产教融合大楼和7#</w:t>
      </w:r>
      <w:r>
        <w:rPr>
          <w:rFonts w:hint="eastAsia" w:ascii="仿宋" w:hAnsi="仿宋" w:eastAsia="仿宋"/>
          <w:sz w:val="24"/>
          <w:szCs w:val="24"/>
          <w:lang w:val="en-US" w:eastAsia="zh-CN"/>
        </w:rPr>
        <w:t>栋宿舍楼</w:t>
      </w:r>
      <w:r>
        <w:rPr>
          <w:rFonts w:hint="eastAsia" w:ascii="仿宋" w:hAnsi="仿宋" w:eastAsia="仿宋" w:cs="Times New Roman"/>
          <w:color w:val="auto"/>
          <w:sz w:val="24"/>
          <w:szCs w:val="24"/>
          <w:lang w:val="en-US" w:eastAsia="zh-CN"/>
        </w:rPr>
        <w:t>高压外线（主备供电源），高低压端设备</w:t>
      </w:r>
      <w:r>
        <w:rPr>
          <w:rFonts w:hint="eastAsia" w:ascii="仿宋" w:hAnsi="仿宋" w:eastAsia="仿宋" w:cs="Times New Roman"/>
          <w:color w:val="auto"/>
          <w:sz w:val="24"/>
          <w:szCs w:val="24"/>
          <w:lang w:eastAsia="zh-CN"/>
        </w:rPr>
        <w:t>，</w:t>
      </w:r>
      <w:r>
        <w:rPr>
          <w:rFonts w:hint="eastAsia" w:ascii="仿宋" w:hAnsi="仿宋" w:eastAsia="仿宋" w:cs="Times New Roman"/>
          <w:color w:val="auto"/>
          <w:sz w:val="24"/>
          <w:szCs w:val="24"/>
          <w:lang w:val="en-US" w:eastAsia="zh-CN"/>
        </w:rPr>
        <w:t>及相关的土建设计内容</w:t>
      </w:r>
      <w:r>
        <w:rPr>
          <w:rFonts w:hint="eastAsia" w:ascii="仿宋" w:hAnsi="仿宋" w:eastAsia="仿宋" w:cs="Times New Roman"/>
          <w:color w:val="auto"/>
          <w:sz w:val="24"/>
          <w:szCs w:val="24"/>
        </w:rPr>
        <w:t>，按照国家、</w:t>
      </w:r>
      <w:r>
        <w:rPr>
          <w:rFonts w:hint="eastAsia" w:ascii="仿宋" w:hAnsi="仿宋" w:eastAsia="仿宋" w:cs="Times New Roman"/>
          <w:color w:val="auto"/>
          <w:sz w:val="24"/>
          <w:szCs w:val="24"/>
          <w:lang w:val="en-US" w:eastAsia="zh-CN"/>
        </w:rPr>
        <w:t>行业规范</w:t>
      </w:r>
      <w:r>
        <w:rPr>
          <w:rFonts w:hint="eastAsia" w:ascii="仿宋" w:hAnsi="仿宋" w:eastAsia="仿宋" w:cs="Times New Roman"/>
          <w:color w:val="auto"/>
          <w:sz w:val="24"/>
          <w:szCs w:val="24"/>
        </w:rPr>
        <w:t>要求</w:t>
      </w:r>
      <w:r>
        <w:rPr>
          <w:rFonts w:hint="eastAsia" w:ascii="仿宋" w:hAnsi="仿宋" w:eastAsia="仿宋" w:cs="Times New Roman"/>
          <w:color w:val="auto"/>
          <w:sz w:val="24"/>
          <w:szCs w:val="24"/>
          <w:lang w:val="en-US" w:eastAsia="zh-CN"/>
        </w:rPr>
        <w:t>出具合格的施工图纸</w:t>
      </w:r>
      <w:r>
        <w:rPr>
          <w:rFonts w:hint="eastAsia" w:ascii="仿宋" w:hAnsi="仿宋" w:eastAsia="仿宋" w:cs="Times New Roman"/>
          <w:color w:val="auto"/>
          <w:sz w:val="24"/>
          <w:szCs w:val="24"/>
        </w:rPr>
        <w:t>，并负责在项目</w:t>
      </w:r>
      <w:r>
        <w:rPr>
          <w:rFonts w:hint="eastAsia" w:ascii="仿宋" w:hAnsi="仿宋" w:eastAsia="仿宋" w:cs="Times New Roman"/>
          <w:color w:val="auto"/>
          <w:sz w:val="24"/>
          <w:szCs w:val="24"/>
          <w:lang w:val="en-US" w:eastAsia="zh-CN"/>
        </w:rPr>
        <w:t>施工过程中</w:t>
      </w:r>
      <w:r>
        <w:rPr>
          <w:rFonts w:hint="eastAsia" w:ascii="仿宋" w:hAnsi="仿宋" w:eastAsia="仿宋" w:cs="Times New Roman"/>
          <w:color w:val="auto"/>
          <w:sz w:val="24"/>
          <w:szCs w:val="24"/>
        </w:rPr>
        <w:t>，</w:t>
      </w:r>
      <w:r>
        <w:rPr>
          <w:rFonts w:hint="eastAsia" w:ascii="仿宋" w:hAnsi="仿宋" w:eastAsia="仿宋" w:cs="Times New Roman"/>
          <w:color w:val="auto"/>
          <w:sz w:val="24"/>
          <w:szCs w:val="24"/>
          <w:lang w:eastAsia="zh-CN"/>
        </w:rPr>
        <w:t>及后续验收需设计配合</w:t>
      </w:r>
      <w:r>
        <w:rPr>
          <w:rFonts w:hint="eastAsia" w:ascii="仿宋" w:hAnsi="仿宋" w:eastAsia="仿宋" w:cs="Times New Roman"/>
          <w:color w:val="auto"/>
          <w:sz w:val="24"/>
          <w:szCs w:val="24"/>
          <w:lang w:val="en-US" w:eastAsia="zh-CN"/>
        </w:rPr>
        <w:t>办理</w:t>
      </w:r>
      <w:r>
        <w:rPr>
          <w:rFonts w:hint="eastAsia" w:ascii="仿宋" w:hAnsi="仿宋" w:eastAsia="仿宋" w:cs="Times New Roman"/>
          <w:color w:val="auto"/>
          <w:sz w:val="24"/>
          <w:szCs w:val="24"/>
          <w:lang w:eastAsia="zh-CN"/>
        </w:rPr>
        <w:t>的相关事宜</w:t>
      </w:r>
      <w:r>
        <w:rPr>
          <w:rFonts w:hint="eastAsia" w:ascii="仿宋" w:hAnsi="仿宋" w:eastAsia="仿宋" w:cs="Times New Roman"/>
          <w:color w:val="auto"/>
          <w:sz w:val="24"/>
          <w:szCs w:val="24"/>
        </w:rPr>
        <w:t>。</w:t>
      </w:r>
    </w:p>
    <w:p w14:paraId="72316068">
      <w:pPr>
        <w:numPr>
          <w:ilvl w:val="0"/>
          <w:numId w:val="0"/>
        </w:numPr>
        <w:spacing w:line="500" w:lineRule="exact"/>
        <w:ind w:firstLine="480" w:firstLineChars="200"/>
        <w:rPr>
          <w:rFonts w:hint="eastAsia" w:ascii="仿宋" w:hAnsi="仿宋" w:eastAsia="仿宋" w:cs="Times New Roman"/>
          <w:color w:val="auto"/>
          <w:sz w:val="24"/>
          <w:szCs w:val="24"/>
        </w:rPr>
      </w:pPr>
      <w:r>
        <w:rPr>
          <w:rFonts w:hint="eastAsia" w:ascii="仿宋" w:hAnsi="仿宋" w:eastAsia="仿宋" w:cs="Times New Roman"/>
          <w:color w:val="auto"/>
          <w:sz w:val="24"/>
          <w:szCs w:val="24"/>
          <w:lang w:val="en-US" w:eastAsia="zh-CN"/>
        </w:rPr>
        <w:t>（2）</w:t>
      </w:r>
      <w:r>
        <w:rPr>
          <w:rFonts w:hint="eastAsia" w:ascii="仿宋" w:hAnsi="仿宋" w:eastAsia="仿宋" w:cs="Times New Roman"/>
          <w:color w:val="auto"/>
          <w:sz w:val="24"/>
          <w:szCs w:val="24"/>
        </w:rPr>
        <w:t>在项目</w:t>
      </w:r>
      <w:r>
        <w:rPr>
          <w:rFonts w:hint="eastAsia" w:ascii="仿宋" w:hAnsi="仿宋" w:eastAsia="仿宋" w:cs="Times New Roman"/>
          <w:color w:val="auto"/>
          <w:sz w:val="24"/>
          <w:szCs w:val="24"/>
          <w:lang w:val="en-US" w:eastAsia="zh-CN"/>
        </w:rPr>
        <w:t>设计</w:t>
      </w:r>
      <w:r>
        <w:rPr>
          <w:rFonts w:hint="eastAsia" w:ascii="仿宋" w:hAnsi="仿宋" w:eastAsia="仿宋" w:cs="Times New Roman"/>
          <w:color w:val="auto"/>
          <w:sz w:val="24"/>
          <w:szCs w:val="24"/>
        </w:rPr>
        <w:t>过程中，积极与</w:t>
      </w:r>
      <w:r>
        <w:rPr>
          <w:rFonts w:hint="eastAsia" w:ascii="仿宋" w:hAnsi="仿宋" w:eastAsia="仿宋" w:cs="Times New Roman"/>
          <w:color w:val="auto"/>
          <w:sz w:val="24"/>
          <w:szCs w:val="24"/>
          <w:lang w:val="en-US" w:eastAsia="zh-CN"/>
        </w:rPr>
        <w:t>电业局</w:t>
      </w:r>
      <w:r>
        <w:rPr>
          <w:rFonts w:hint="eastAsia" w:ascii="仿宋" w:hAnsi="仿宋" w:eastAsia="仿宋" w:cs="Times New Roman"/>
          <w:color w:val="auto"/>
          <w:sz w:val="24"/>
          <w:szCs w:val="24"/>
        </w:rPr>
        <w:t>沟通衔接，</w:t>
      </w:r>
      <w:r>
        <w:rPr>
          <w:rFonts w:hint="eastAsia" w:ascii="仿宋" w:hAnsi="仿宋" w:eastAsia="仿宋" w:cs="Times New Roman"/>
          <w:color w:val="auto"/>
          <w:sz w:val="24"/>
          <w:szCs w:val="24"/>
          <w:lang w:val="en-US" w:eastAsia="zh-CN"/>
        </w:rPr>
        <w:t>出具经电业局审查合格的施工图纸，设计周期满足项目整体进度要求，全过程</w:t>
      </w:r>
      <w:r>
        <w:rPr>
          <w:rFonts w:hint="eastAsia" w:ascii="仿宋" w:hAnsi="仿宋" w:eastAsia="仿宋" w:cs="Times New Roman"/>
          <w:color w:val="auto"/>
          <w:sz w:val="24"/>
          <w:szCs w:val="24"/>
        </w:rPr>
        <w:t>协助</w:t>
      </w:r>
      <w:r>
        <w:rPr>
          <w:rFonts w:hint="eastAsia" w:ascii="仿宋" w:hAnsi="仿宋" w:eastAsia="仿宋" w:cs="Times New Roman"/>
          <w:color w:val="auto"/>
          <w:sz w:val="24"/>
          <w:szCs w:val="24"/>
          <w:lang w:val="en-US" w:eastAsia="zh-CN"/>
        </w:rPr>
        <w:t>涉及电力工程建设相关需设计解释或需出具设计变更的事项。</w:t>
      </w:r>
    </w:p>
    <w:p w14:paraId="71947C1A">
      <w:pPr>
        <w:numPr>
          <w:ilvl w:val="0"/>
          <w:numId w:val="0"/>
        </w:numPr>
        <w:spacing w:line="500" w:lineRule="exact"/>
        <w:ind w:firstLine="480" w:firstLineChars="200"/>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4.采购预算：</w:t>
      </w:r>
      <w:r>
        <w:rPr>
          <w:rFonts w:hint="eastAsia" w:ascii="仿宋" w:hAnsi="仿宋" w:eastAsia="仿宋" w:cs="Times New Roman"/>
          <w:color w:val="auto"/>
          <w:sz w:val="24"/>
          <w:szCs w:val="24"/>
          <w:u w:val="none"/>
          <w:lang w:val="en-US" w:eastAsia="zh-CN"/>
        </w:rPr>
        <w:t>6.4</w:t>
      </w:r>
      <w:r>
        <w:rPr>
          <w:rFonts w:hint="eastAsia" w:ascii="仿宋" w:hAnsi="仿宋" w:eastAsia="仿宋" w:cs="Times New Roman"/>
          <w:color w:val="auto"/>
          <w:sz w:val="24"/>
          <w:szCs w:val="24"/>
          <w:lang w:val="en-US" w:eastAsia="zh-CN"/>
        </w:rPr>
        <w:t>万元。</w:t>
      </w:r>
    </w:p>
    <w:p w14:paraId="453272DD">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28892676">
      <w:pPr>
        <w:spacing w:line="500" w:lineRule="exact"/>
        <w:ind w:firstLine="480" w:firstLineChars="200"/>
        <w:jc w:val="both"/>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1、基本资格条件：供应商必须是在中华人民共和国境内注册登记的法人、其他组织或者自然人，且应当符合下列规定，即：</w:t>
      </w:r>
    </w:p>
    <w:p w14:paraId="49DFDDB6">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（1）具有独立承担民事责任的能力；</w:t>
      </w:r>
    </w:p>
    <w:p w14:paraId="360CAE09">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（2）具有良好的商业信誉和健全的财务会计制度；</w:t>
      </w:r>
    </w:p>
    <w:p w14:paraId="16D34765">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（3）具有履行合同所必需的设备和专业技术能力；</w:t>
      </w:r>
    </w:p>
    <w:p w14:paraId="479A6EC4">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（4）有依法缴纳税收的良好记录；</w:t>
      </w:r>
    </w:p>
    <w:p w14:paraId="58C58FB2">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（5）参加采购活动前三年内，在经营活动中没有重大违法记录；</w:t>
      </w:r>
    </w:p>
    <w:p w14:paraId="7674D132">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）法律、行政法规规定的其他条件。</w:t>
      </w:r>
    </w:p>
    <w:p w14:paraId="795C50B8">
      <w:pPr>
        <w:spacing w:before="156" w:beforeLines="50" w:line="360" w:lineRule="auto"/>
        <w:ind w:firstLine="480" w:firstLineChars="20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2、特定资格条件：电力部门认可的具有</w:t>
      </w:r>
      <w:r>
        <w:rPr>
          <w:rFonts w:hint="eastAsia" w:ascii="仿宋" w:hAnsi="仿宋" w:eastAsia="仿宋" w:cs="仿宋"/>
          <w:color w:val="auto"/>
          <w:kern w:val="0"/>
          <w:sz w:val="24"/>
          <w:szCs w:val="24"/>
          <w:lang w:eastAsia="zh-CN"/>
        </w:rPr>
        <w:t>电力设计资质</w:t>
      </w:r>
      <w:r>
        <w:rPr>
          <w:rFonts w:hint="eastAsia" w:ascii="仿宋" w:hAnsi="仿宋" w:eastAsia="仿宋" w:cs="仿宋"/>
          <w:color w:val="auto"/>
          <w:kern w:val="0"/>
          <w:sz w:val="24"/>
          <w:szCs w:val="24"/>
          <w:lang w:val="en-US" w:eastAsia="zh-CN"/>
        </w:rPr>
        <w:t>的设计单位</w:t>
      </w:r>
      <w:r>
        <w:rPr>
          <w:rFonts w:hint="eastAsia" w:ascii="仿宋" w:hAnsi="仿宋" w:eastAsia="仿宋" w:cs="仿宋"/>
          <w:color w:val="auto"/>
          <w:kern w:val="0"/>
          <w:sz w:val="24"/>
          <w:szCs w:val="24"/>
          <w:lang w:eastAsia="zh-CN"/>
        </w:rPr>
        <w:t>。</w:t>
      </w:r>
    </w:p>
    <w:p w14:paraId="4B673CBE">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3、不接受联合体投标</w:t>
      </w:r>
    </w:p>
    <w:p w14:paraId="773A98C1">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r>
        <w:rPr>
          <w:rFonts w:hint="eastAsia" w:ascii="仿宋" w:hAnsi="仿宋" w:eastAsia="仿宋"/>
          <w:b/>
          <w:bCs/>
          <w:sz w:val="24"/>
          <w:szCs w:val="24"/>
        </w:rPr>
        <w:t>三、响应文件提交的截止时间、开启时间及地点</w:t>
      </w:r>
      <w:bookmarkEnd w:id="5"/>
    </w:p>
    <w:p w14:paraId="054E6273">
      <w:pPr>
        <w:pStyle w:val="15"/>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rPr>
        <w:t>1．首次响应文件的提交截止时间：2025年</w:t>
      </w:r>
      <w:r>
        <w:rPr>
          <w:rFonts w:hint="eastAsia" w:ascii="仿宋" w:hAnsi="仿宋" w:eastAsia="仿宋"/>
          <w:sz w:val="24"/>
          <w:szCs w:val="24"/>
          <w:u w:val="none"/>
        </w:rPr>
        <w:t>1</w:t>
      </w:r>
      <w:r>
        <w:rPr>
          <w:rFonts w:hint="eastAsia" w:ascii="仿宋" w:hAnsi="仿宋" w:eastAsia="仿宋"/>
          <w:sz w:val="24"/>
          <w:szCs w:val="24"/>
          <w:u w:val="none"/>
          <w:lang w:val="en-US" w:eastAsia="zh-CN"/>
        </w:rPr>
        <w:t>1</w:t>
      </w:r>
      <w:r>
        <w:rPr>
          <w:rFonts w:hint="eastAsia" w:ascii="仿宋" w:hAnsi="仿宋" w:eastAsia="仿宋"/>
          <w:sz w:val="24"/>
          <w:szCs w:val="24"/>
          <w:u w:val="none"/>
        </w:rPr>
        <w:t>月</w:t>
      </w:r>
      <w:r>
        <w:rPr>
          <w:rFonts w:hint="eastAsia" w:ascii="仿宋" w:hAnsi="仿宋" w:eastAsia="仿宋"/>
          <w:sz w:val="24"/>
          <w:szCs w:val="24"/>
          <w:u w:val="none"/>
          <w:lang w:val="en-US" w:eastAsia="zh-CN"/>
        </w:rPr>
        <w:t>4</w:t>
      </w:r>
      <w:r>
        <w:rPr>
          <w:rFonts w:hint="eastAsia" w:ascii="仿宋" w:hAnsi="仿宋" w:eastAsia="仿宋"/>
          <w:sz w:val="24"/>
          <w:szCs w:val="24"/>
          <w:u w:val="none"/>
        </w:rPr>
        <w:t>日</w:t>
      </w:r>
      <w:r>
        <w:rPr>
          <w:rFonts w:hint="eastAsia" w:ascii="仿宋" w:hAnsi="仿宋" w:eastAsia="仿宋"/>
          <w:sz w:val="24"/>
          <w:szCs w:val="24"/>
          <w:u w:val="none"/>
          <w:lang w:val="en-US" w:eastAsia="zh-CN"/>
        </w:rPr>
        <w:t>16</w:t>
      </w:r>
      <w:r>
        <w:rPr>
          <w:rFonts w:hint="eastAsia" w:ascii="仿宋" w:hAnsi="仿宋" w:eastAsia="仿宋"/>
          <w:sz w:val="24"/>
          <w:szCs w:val="24"/>
          <w:u w:val="none"/>
        </w:rPr>
        <w:t>时</w:t>
      </w:r>
    </w:p>
    <w:p w14:paraId="5FCFB0A5">
      <w:pPr>
        <w:pStyle w:val="15"/>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u w:val="none"/>
        </w:rPr>
        <w:t>2．首次响应文件的开启时间：2025年1</w:t>
      </w:r>
      <w:r>
        <w:rPr>
          <w:rFonts w:hint="eastAsia" w:ascii="仿宋" w:hAnsi="仿宋" w:eastAsia="仿宋"/>
          <w:sz w:val="24"/>
          <w:szCs w:val="24"/>
          <w:u w:val="none"/>
          <w:lang w:val="en-US" w:eastAsia="zh-CN"/>
        </w:rPr>
        <w:t>1</w:t>
      </w:r>
      <w:r>
        <w:rPr>
          <w:rFonts w:hint="eastAsia" w:ascii="仿宋" w:hAnsi="仿宋" w:eastAsia="仿宋"/>
          <w:sz w:val="24"/>
          <w:szCs w:val="24"/>
          <w:u w:val="none"/>
        </w:rPr>
        <w:t>月</w:t>
      </w:r>
      <w:r>
        <w:rPr>
          <w:rFonts w:hint="eastAsia" w:ascii="仿宋" w:hAnsi="仿宋" w:eastAsia="仿宋"/>
          <w:sz w:val="24"/>
          <w:szCs w:val="24"/>
          <w:u w:val="none"/>
          <w:lang w:val="en-US" w:eastAsia="zh-CN"/>
        </w:rPr>
        <w:t>4</w:t>
      </w:r>
      <w:r>
        <w:rPr>
          <w:rFonts w:hint="eastAsia" w:ascii="仿宋" w:hAnsi="仿宋" w:eastAsia="仿宋"/>
          <w:sz w:val="24"/>
          <w:szCs w:val="24"/>
          <w:u w:val="none"/>
        </w:rPr>
        <w:t>日</w:t>
      </w:r>
      <w:r>
        <w:rPr>
          <w:rFonts w:hint="eastAsia" w:ascii="仿宋" w:hAnsi="仿宋" w:eastAsia="仿宋"/>
          <w:sz w:val="24"/>
          <w:szCs w:val="24"/>
          <w:u w:val="none"/>
          <w:lang w:val="en-US" w:eastAsia="zh-CN"/>
        </w:rPr>
        <w:t>16</w:t>
      </w:r>
      <w:r>
        <w:rPr>
          <w:rFonts w:hint="eastAsia" w:ascii="仿宋" w:hAnsi="仿宋" w:eastAsia="仿宋"/>
          <w:sz w:val="24"/>
          <w:szCs w:val="24"/>
          <w:u w:val="none"/>
        </w:rPr>
        <w:t>时</w:t>
      </w:r>
    </w:p>
    <w:p w14:paraId="63DB6ACB">
      <w:pPr>
        <w:pStyle w:val="15"/>
        <w:snapToGrid w:val="0"/>
        <w:spacing w:before="0" w:beforeAutospacing="0" w:after="0" w:line="360" w:lineRule="auto"/>
        <w:ind w:left="0" w:leftChars="0" w:firstLine="480" w:firstLineChars="200"/>
        <w:jc w:val="left"/>
        <w:rPr>
          <w:rFonts w:hint="default" w:ascii="仿宋" w:hAnsi="仿宋" w:eastAsia="仿宋"/>
          <w:sz w:val="24"/>
          <w:szCs w:val="24"/>
          <w:lang w:val="en-US" w:eastAsia="zh-CN"/>
        </w:rPr>
      </w:pPr>
      <w:r>
        <w:rPr>
          <w:rFonts w:hint="eastAsia" w:ascii="仿宋" w:hAnsi="仿宋" w:eastAsia="仿宋"/>
          <w:sz w:val="24"/>
          <w:szCs w:val="24"/>
        </w:rPr>
        <w:t>3．首次响应文件的开启地点：湖南铁道职业技术学院</w:t>
      </w:r>
      <w:r>
        <w:rPr>
          <w:rFonts w:hint="eastAsia" w:ascii="仿宋" w:hAnsi="仿宋" w:eastAsia="仿宋"/>
          <w:sz w:val="24"/>
          <w:szCs w:val="24"/>
          <w:lang w:val="en-US" w:eastAsia="zh-CN"/>
        </w:rPr>
        <w:t>新校区建设指挥部</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1025DCB2">
      <w:pPr>
        <w:snapToGrid w:val="0"/>
        <w:spacing w:line="360" w:lineRule="auto"/>
        <w:ind w:firstLine="480" w:firstLineChars="200"/>
        <w:jc w:val="left"/>
        <w:rPr>
          <w:rFonts w:hint="eastAsia" w:ascii="仿宋" w:hAnsi="仿宋" w:eastAsia="仿宋" w:cstheme="minorEastAsia"/>
          <w:sz w:val="24"/>
          <w:szCs w:val="24"/>
          <w:u w:val="none"/>
        </w:rPr>
      </w:pPr>
      <w:r>
        <w:rPr>
          <w:rFonts w:hint="eastAsia" w:ascii="仿宋" w:hAnsi="仿宋" w:eastAsia="仿宋" w:cstheme="minorEastAsia"/>
          <w:sz w:val="24"/>
          <w:szCs w:val="24"/>
        </w:rPr>
        <w:t>联系人姓名</w:t>
      </w:r>
      <w:r>
        <w:rPr>
          <w:rFonts w:hint="eastAsia" w:ascii="仿宋" w:hAnsi="仿宋" w:eastAsia="仿宋" w:cstheme="minorEastAsia"/>
          <w:sz w:val="24"/>
          <w:szCs w:val="24"/>
          <w:u w:val="none"/>
        </w:rPr>
        <w:t>：</w:t>
      </w:r>
      <w:r>
        <w:rPr>
          <w:rFonts w:hint="eastAsia" w:ascii="仿宋" w:hAnsi="仿宋" w:eastAsia="仿宋" w:cstheme="minorEastAsia"/>
          <w:sz w:val="24"/>
          <w:szCs w:val="24"/>
          <w:u w:val="none"/>
          <w:lang w:val="en-US" w:eastAsia="zh-CN"/>
        </w:rPr>
        <w:t>张浩波</w:t>
      </w:r>
      <w:r>
        <w:rPr>
          <w:rFonts w:hint="eastAsia" w:ascii="仿宋" w:hAnsi="仿宋" w:eastAsia="仿宋" w:cstheme="minorEastAsia"/>
          <w:sz w:val="24"/>
          <w:szCs w:val="24"/>
          <w:u w:val="none"/>
        </w:rPr>
        <w:t xml:space="preserve">        </w:t>
      </w:r>
    </w:p>
    <w:p w14:paraId="4B2ADA83">
      <w:pPr>
        <w:snapToGrid w:val="0"/>
        <w:spacing w:line="360" w:lineRule="auto"/>
        <w:ind w:firstLine="480" w:firstLineChars="200"/>
        <w:jc w:val="left"/>
        <w:rPr>
          <w:rFonts w:hint="eastAsia" w:ascii="仿宋" w:hAnsi="仿宋" w:eastAsia="仿宋" w:cstheme="minorEastAsia"/>
          <w:sz w:val="24"/>
          <w:szCs w:val="24"/>
          <w:u w:val="none"/>
        </w:rPr>
      </w:pPr>
      <w:r>
        <w:rPr>
          <w:rFonts w:hint="eastAsia" w:ascii="仿宋" w:hAnsi="仿宋" w:eastAsia="仿宋" w:cstheme="minorEastAsia"/>
          <w:sz w:val="24"/>
          <w:szCs w:val="24"/>
          <w:u w:val="none"/>
        </w:rPr>
        <w:t>电 话：</w:t>
      </w:r>
      <w:r>
        <w:rPr>
          <w:rFonts w:hint="eastAsia" w:ascii="仿宋" w:hAnsi="仿宋" w:eastAsia="仿宋" w:cstheme="minorEastAsia"/>
          <w:sz w:val="24"/>
          <w:szCs w:val="24"/>
          <w:u w:val="none"/>
          <w:lang w:val="en-US" w:eastAsia="zh-CN"/>
        </w:rPr>
        <w:t>13762398301</w:t>
      </w:r>
      <w:r>
        <w:rPr>
          <w:rFonts w:hint="eastAsia" w:ascii="仿宋" w:hAnsi="仿宋" w:eastAsia="仿宋" w:cstheme="minorEastAsia"/>
          <w:sz w:val="24"/>
          <w:szCs w:val="24"/>
          <w:u w:val="none"/>
        </w:rPr>
        <w:t xml:space="preserve">    </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址：株洲市石峰区田心路18号</w:t>
      </w:r>
    </w:p>
    <w:p w14:paraId="22F3A15E">
      <w:pPr>
        <w:pStyle w:val="15"/>
      </w:pPr>
    </w:p>
    <w:p w14:paraId="42402AF4"/>
    <w:p w14:paraId="06CBF053">
      <w:pPr>
        <w:pStyle w:val="15"/>
      </w:pPr>
    </w:p>
    <w:p w14:paraId="0617B9A7"/>
    <w:p w14:paraId="4FFDF357">
      <w:pPr>
        <w:pStyle w:val="15"/>
      </w:pPr>
    </w:p>
    <w:p w14:paraId="5EE97DA2">
      <w:pPr>
        <w:pStyle w:val="15"/>
        <w:ind w:left="0" w:leftChars="0" w:firstLine="0"/>
        <w:rPr>
          <w:szCs w:val="22"/>
        </w:rPr>
      </w:pPr>
    </w:p>
    <w:p w14:paraId="102C28AC"/>
    <w:p w14:paraId="360ECAAB"/>
    <w:p w14:paraId="611302C1">
      <w:pPr>
        <w:pStyle w:val="15"/>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1．项目名称：</w:t>
      </w:r>
      <w:r>
        <w:rPr>
          <w:rFonts w:hint="eastAsia" w:ascii="仿宋" w:hAnsi="仿宋" w:eastAsia="仿宋" w:cs="Times New Roman"/>
          <w:sz w:val="24"/>
          <w:szCs w:val="24"/>
          <w:u w:val="none"/>
          <w:lang w:val="en-US" w:eastAsia="zh-CN"/>
        </w:rPr>
        <w:t>云龙西校区新建变电站设计服务</w:t>
      </w:r>
      <w:r>
        <w:rPr>
          <w:rFonts w:hint="eastAsia" w:ascii="仿宋" w:hAnsi="仿宋" w:eastAsia="仿宋" w:cs="仿宋"/>
          <w:color w:val="333333"/>
          <w:kern w:val="0"/>
          <w:sz w:val="24"/>
          <w:szCs w:val="24"/>
          <w:u w:val="none"/>
        </w:rPr>
        <w:t>项目</w:t>
      </w:r>
    </w:p>
    <w:p w14:paraId="5A3630E4">
      <w:pPr>
        <w:spacing w:before="156" w:beforeLines="50"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2．服务期限：</w:t>
      </w:r>
      <w:r>
        <w:rPr>
          <w:rFonts w:hint="eastAsia" w:ascii="仿宋" w:hAnsi="仿宋" w:eastAsia="仿宋" w:cs="仿宋"/>
          <w:color w:val="333333"/>
          <w:kern w:val="0"/>
          <w:sz w:val="24"/>
          <w:szCs w:val="24"/>
          <w:lang w:val="en-US" w:eastAsia="zh-CN"/>
        </w:rPr>
        <w:t>从签订合同后开始至</w:t>
      </w:r>
      <w:r>
        <w:rPr>
          <w:rFonts w:hint="eastAsia" w:ascii="仿宋" w:hAnsi="仿宋" w:eastAsia="仿宋" w:cs="仿宋"/>
          <w:color w:val="auto"/>
          <w:kern w:val="0"/>
          <w:sz w:val="24"/>
          <w:szCs w:val="24"/>
          <w:u w:val="none"/>
          <w:lang w:eastAsia="zh-CN"/>
        </w:rPr>
        <w:t>完成</w:t>
      </w:r>
      <w:r>
        <w:rPr>
          <w:rFonts w:hint="eastAsia" w:ascii="仿宋" w:hAnsi="仿宋" w:eastAsia="仿宋" w:cs="仿宋"/>
          <w:color w:val="auto"/>
          <w:kern w:val="0"/>
          <w:sz w:val="24"/>
          <w:szCs w:val="24"/>
          <w:u w:val="none"/>
          <w:lang w:val="en-US" w:eastAsia="zh-CN"/>
        </w:rPr>
        <w:t>高压专线、高低压成套深化</w:t>
      </w:r>
      <w:r>
        <w:rPr>
          <w:rFonts w:hint="eastAsia" w:ascii="仿宋" w:hAnsi="仿宋" w:eastAsia="仿宋" w:cs="仿宋"/>
          <w:color w:val="auto"/>
          <w:kern w:val="0"/>
          <w:sz w:val="24"/>
          <w:szCs w:val="24"/>
          <w:u w:val="none"/>
          <w:lang w:eastAsia="zh-CN"/>
        </w:rPr>
        <w:t>设计</w:t>
      </w:r>
      <w:r>
        <w:rPr>
          <w:rFonts w:hint="eastAsia" w:ascii="仿宋" w:hAnsi="仿宋" w:eastAsia="仿宋" w:cs="仿宋"/>
          <w:color w:val="auto"/>
          <w:kern w:val="0"/>
          <w:sz w:val="24"/>
          <w:szCs w:val="24"/>
          <w:u w:val="none"/>
          <w:lang w:val="en-US" w:eastAsia="zh-CN"/>
        </w:rPr>
        <w:t>和整个</w:t>
      </w:r>
      <w:r>
        <w:rPr>
          <w:rFonts w:hint="eastAsia" w:ascii="仿宋" w:hAnsi="仿宋" w:eastAsia="仿宋" w:cs="仿宋"/>
          <w:color w:val="auto"/>
          <w:kern w:val="0"/>
          <w:sz w:val="24"/>
          <w:szCs w:val="24"/>
          <w:u w:val="none"/>
          <w:lang w:eastAsia="zh-CN"/>
        </w:rPr>
        <w:t>配电工程验收合格需设计配合办理的相关事项为止。</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75D510CD">
      <w:pPr>
        <w:numPr>
          <w:ilvl w:val="0"/>
          <w:numId w:val="0"/>
        </w:numPr>
        <w:spacing w:line="500" w:lineRule="exact"/>
        <w:ind w:firstLine="480" w:firstLineChars="200"/>
        <w:rPr>
          <w:rFonts w:hint="eastAsia" w:ascii="仿宋" w:hAnsi="仿宋" w:eastAsia="仿宋" w:cs="Times New Roman"/>
          <w:color w:val="auto"/>
          <w:sz w:val="24"/>
          <w:szCs w:val="24"/>
        </w:rPr>
      </w:pPr>
      <w:r>
        <w:rPr>
          <w:rFonts w:hint="eastAsia" w:ascii="仿宋" w:hAnsi="仿宋" w:eastAsia="仿宋" w:cs="Times New Roman"/>
          <w:color w:val="auto"/>
          <w:sz w:val="24"/>
          <w:szCs w:val="24"/>
          <w:lang w:val="en-US" w:eastAsia="zh-CN"/>
        </w:rPr>
        <w:t>1、完</w:t>
      </w:r>
      <w:r>
        <w:rPr>
          <w:rFonts w:hint="eastAsia" w:ascii="仿宋" w:hAnsi="仿宋" w:eastAsia="仿宋" w:cs="Times New Roman"/>
          <w:color w:val="auto"/>
          <w:sz w:val="24"/>
          <w:szCs w:val="24"/>
          <w:lang w:eastAsia="zh-CN"/>
        </w:rPr>
        <w:t>成</w:t>
      </w:r>
      <w:r>
        <w:rPr>
          <w:rFonts w:hint="eastAsia" w:ascii="仿宋" w:hAnsi="仿宋" w:eastAsia="仿宋" w:cs="Times New Roman"/>
          <w:color w:val="auto"/>
          <w:sz w:val="24"/>
          <w:szCs w:val="24"/>
          <w:lang w:val="en-US" w:eastAsia="zh-CN"/>
        </w:rPr>
        <w:t>新建产教融合大楼和7#</w:t>
      </w:r>
      <w:r>
        <w:rPr>
          <w:rFonts w:hint="eastAsia" w:ascii="仿宋" w:hAnsi="仿宋" w:eastAsia="仿宋"/>
          <w:sz w:val="24"/>
          <w:szCs w:val="24"/>
          <w:lang w:val="en-US" w:eastAsia="zh-CN"/>
        </w:rPr>
        <w:t>栋宿舍楼</w:t>
      </w:r>
      <w:r>
        <w:rPr>
          <w:rFonts w:hint="eastAsia" w:ascii="仿宋" w:hAnsi="仿宋" w:eastAsia="仿宋" w:cs="Times New Roman"/>
          <w:color w:val="auto"/>
          <w:sz w:val="24"/>
          <w:szCs w:val="24"/>
          <w:lang w:val="en-US" w:eastAsia="zh-CN"/>
        </w:rPr>
        <w:t>高压外线（主备供电源），高低压端设备</w:t>
      </w:r>
      <w:r>
        <w:rPr>
          <w:rFonts w:hint="eastAsia" w:ascii="仿宋" w:hAnsi="仿宋" w:eastAsia="仿宋" w:cs="Times New Roman"/>
          <w:color w:val="auto"/>
          <w:sz w:val="24"/>
          <w:szCs w:val="24"/>
          <w:lang w:eastAsia="zh-CN"/>
        </w:rPr>
        <w:t>，</w:t>
      </w:r>
      <w:r>
        <w:rPr>
          <w:rFonts w:hint="eastAsia" w:ascii="仿宋" w:hAnsi="仿宋" w:eastAsia="仿宋" w:cs="Times New Roman"/>
          <w:color w:val="auto"/>
          <w:sz w:val="24"/>
          <w:szCs w:val="24"/>
          <w:lang w:val="en-US" w:eastAsia="zh-CN"/>
        </w:rPr>
        <w:t>及相关的土建设计内容</w:t>
      </w:r>
      <w:r>
        <w:rPr>
          <w:rFonts w:hint="eastAsia" w:ascii="仿宋" w:hAnsi="仿宋" w:eastAsia="仿宋" w:cs="Times New Roman"/>
          <w:color w:val="auto"/>
          <w:sz w:val="24"/>
          <w:szCs w:val="24"/>
        </w:rPr>
        <w:t>，按照国家、</w:t>
      </w:r>
      <w:r>
        <w:rPr>
          <w:rFonts w:hint="eastAsia" w:ascii="仿宋" w:hAnsi="仿宋" w:eastAsia="仿宋" w:cs="Times New Roman"/>
          <w:color w:val="auto"/>
          <w:sz w:val="24"/>
          <w:szCs w:val="24"/>
          <w:lang w:val="en-US" w:eastAsia="zh-CN"/>
        </w:rPr>
        <w:t>行业规范</w:t>
      </w:r>
      <w:r>
        <w:rPr>
          <w:rFonts w:hint="eastAsia" w:ascii="仿宋" w:hAnsi="仿宋" w:eastAsia="仿宋" w:cs="Times New Roman"/>
          <w:color w:val="auto"/>
          <w:sz w:val="24"/>
          <w:szCs w:val="24"/>
        </w:rPr>
        <w:t>要求</w:t>
      </w:r>
      <w:r>
        <w:rPr>
          <w:rFonts w:hint="eastAsia" w:ascii="仿宋" w:hAnsi="仿宋" w:eastAsia="仿宋" w:cs="Times New Roman"/>
          <w:color w:val="auto"/>
          <w:sz w:val="24"/>
          <w:szCs w:val="24"/>
          <w:lang w:val="en-US" w:eastAsia="zh-CN"/>
        </w:rPr>
        <w:t>出具合格的施工图纸</w:t>
      </w:r>
      <w:r>
        <w:rPr>
          <w:rFonts w:hint="eastAsia" w:ascii="仿宋" w:hAnsi="仿宋" w:eastAsia="仿宋" w:cs="Times New Roman"/>
          <w:color w:val="auto"/>
          <w:sz w:val="24"/>
          <w:szCs w:val="24"/>
        </w:rPr>
        <w:t>，并负责在项目</w:t>
      </w:r>
      <w:r>
        <w:rPr>
          <w:rFonts w:hint="eastAsia" w:ascii="仿宋" w:hAnsi="仿宋" w:eastAsia="仿宋" w:cs="Times New Roman"/>
          <w:color w:val="auto"/>
          <w:sz w:val="24"/>
          <w:szCs w:val="24"/>
          <w:lang w:val="en-US" w:eastAsia="zh-CN"/>
        </w:rPr>
        <w:t>施工过程中</w:t>
      </w:r>
      <w:r>
        <w:rPr>
          <w:rFonts w:hint="eastAsia" w:ascii="仿宋" w:hAnsi="仿宋" w:eastAsia="仿宋" w:cs="Times New Roman"/>
          <w:color w:val="auto"/>
          <w:sz w:val="24"/>
          <w:szCs w:val="24"/>
        </w:rPr>
        <w:t>，</w:t>
      </w:r>
      <w:r>
        <w:rPr>
          <w:rFonts w:hint="eastAsia" w:ascii="仿宋" w:hAnsi="仿宋" w:eastAsia="仿宋" w:cs="Times New Roman"/>
          <w:color w:val="auto"/>
          <w:sz w:val="24"/>
          <w:szCs w:val="24"/>
          <w:lang w:eastAsia="zh-CN"/>
        </w:rPr>
        <w:t>及后续验收需设计配合</w:t>
      </w:r>
      <w:r>
        <w:rPr>
          <w:rFonts w:hint="eastAsia" w:ascii="仿宋" w:hAnsi="仿宋" w:eastAsia="仿宋" w:cs="Times New Roman"/>
          <w:color w:val="auto"/>
          <w:sz w:val="24"/>
          <w:szCs w:val="24"/>
          <w:lang w:val="en-US" w:eastAsia="zh-CN"/>
        </w:rPr>
        <w:t>办理</w:t>
      </w:r>
      <w:r>
        <w:rPr>
          <w:rFonts w:hint="eastAsia" w:ascii="仿宋" w:hAnsi="仿宋" w:eastAsia="仿宋" w:cs="Times New Roman"/>
          <w:color w:val="auto"/>
          <w:sz w:val="24"/>
          <w:szCs w:val="24"/>
          <w:lang w:eastAsia="zh-CN"/>
        </w:rPr>
        <w:t>的相关事宜</w:t>
      </w:r>
      <w:r>
        <w:rPr>
          <w:rFonts w:hint="eastAsia" w:ascii="仿宋" w:hAnsi="仿宋" w:eastAsia="仿宋" w:cs="Times New Roman"/>
          <w:color w:val="auto"/>
          <w:sz w:val="24"/>
          <w:szCs w:val="24"/>
        </w:rPr>
        <w:t>。</w:t>
      </w:r>
    </w:p>
    <w:p w14:paraId="447F0556">
      <w:pPr>
        <w:numPr>
          <w:ilvl w:val="0"/>
          <w:numId w:val="0"/>
        </w:numPr>
        <w:spacing w:line="500" w:lineRule="exact"/>
        <w:ind w:firstLine="480" w:firstLineChars="200"/>
        <w:rPr>
          <w:rFonts w:hint="eastAsia" w:ascii="仿宋" w:hAnsi="仿宋" w:eastAsia="仿宋" w:cs="Times New Roman"/>
          <w:color w:val="auto"/>
          <w:sz w:val="24"/>
          <w:szCs w:val="24"/>
        </w:rPr>
      </w:pPr>
      <w:r>
        <w:rPr>
          <w:rFonts w:hint="eastAsia" w:ascii="仿宋" w:hAnsi="仿宋" w:eastAsia="仿宋" w:cs="Times New Roman"/>
          <w:color w:val="auto"/>
          <w:sz w:val="24"/>
          <w:szCs w:val="24"/>
          <w:lang w:val="en-US" w:eastAsia="zh-CN"/>
        </w:rPr>
        <w:t>2、</w:t>
      </w:r>
      <w:r>
        <w:rPr>
          <w:rFonts w:hint="eastAsia" w:ascii="仿宋" w:hAnsi="仿宋" w:eastAsia="仿宋" w:cs="Times New Roman"/>
          <w:color w:val="auto"/>
          <w:sz w:val="24"/>
          <w:szCs w:val="24"/>
        </w:rPr>
        <w:t>在项目</w:t>
      </w:r>
      <w:r>
        <w:rPr>
          <w:rFonts w:hint="eastAsia" w:ascii="仿宋" w:hAnsi="仿宋" w:eastAsia="仿宋" w:cs="Times New Roman"/>
          <w:color w:val="auto"/>
          <w:sz w:val="24"/>
          <w:szCs w:val="24"/>
          <w:lang w:val="en-US" w:eastAsia="zh-CN"/>
        </w:rPr>
        <w:t>设计</w:t>
      </w:r>
      <w:r>
        <w:rPr>
          <w:rFonts w:hint="eastAsia" w:ascii="仿宋" w:hAnsi="仿宋" w:eastAsia="仿宋" w:cs="Times New Roman"/>
          <w:color w:val="auto"/>
          <w:sz w:val="24"/>
          <w:szCs w:val="24"/>
        </w:rPr>
        <w:t>过程中，积极与</w:t>
      </w:r>
      <w:r>
        <w:rPr>
          <w:rFonts w:hint="eastAsia" w:ascii="仿宋" w:hAnsi="仿宋" w:eastAsia="仿宋" w:cs="Times New Roman"/>
          <w:color w:val="auto"/>
          <w:sz w:val="24"/>
          <w:szCs w:val="24"/>
          <w:lang w:val="en-US" w:eastAsia="zh-CN"/>
        </w:rPr>
        <w:t>电业局</w:t>
      </w:r>
      <w:r>
        <w:rPr>
          <w:rFonts w:hint="eastAsia" w:ascii="仿宋" w:hAnsi="仿宋" w:eastAsia="仿宋" w:cs="Times New Roman"/>
          <w:color w:val="auto"/>
          <w:sz w:val="24"/>
          <w:szCs w:val="24"/>
        </w:rPr>
        <w:t>沟通衔接，</w:t>
      </w:r>
      <w:r>
        <w:rPr>
          <w:rFonts w:hint="eastAsia" w:ascii="仿宋" w:hAnsi="仿宋" w:eastAsia="仿宋" w:cs="Times New Roman"/>
          <w:color w:val="auto"/>
          <w:sz w:val="24"/>
          <w:szCs w:val="24"/>
          <w:lang w:val="en-US" w:eastAsia="zh-CN"/>
        </w:rPr>
        <w:t>出具经电业局审查合格的施工图纸，设计周期满足项目整体进度要求，全过程</w:t>
      </w:r>
      <w:r>
        <w:rPr>
          <w:rFonts w:hint="eastAsia" w:ascii="仿宋" w:hAnsi="仿宋" w:eastAsia="仿宋" w:cs="Times New Roman"/>
          <w:color w:val="auto"/>
          <w:sz w:val="24"/>
          <w:szCs w:val="24"/>
        </w:rPr>
        <w:t>协助</w:t>
      </w:r>
      <w:r>
        <w:rPr>
          <w:rFonts w:hint="eastAsia" w:ascii="仿宋" w:hAnsi="仿宋" w:eastAsia="仿宋" w:cs="Times New Roman"/>
          <w:color w:val="auto"/>
          <w:sz w:val="24"/>
          <w:szCs w:val="24"/>
          <w:lang w:val="en-US" w:eastAsia="zh-CN"/>
        </w:rPr>
        <w:t>涉及电力工程建设相关需设计解释或需出具设计变更的事项。</w:t>
      </w:r>
    </w:p>
    <w:p w14:paraId="130BDE4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三、服务质量要求：</w:t>
      </w:r>
    </w:p>
    <w:p w14:paraId="4AC1EB9B">
      <w:pPr>
        <w:snapToGrid w:val="0"/>
        <w:spacing w:before="156" w:beforeLines="50" w:line="360" w:lineRule="auto"/>
        <w:ind w:firstLine="480" w:firstLineChars="200"/>
        <w:jc w:val="left"/>
        <w:rPr>
          <w:rFonts w:hint="eastAsia" w:ascii="仿宋" w:hAnsi="仿宋" w:eastAsia="仿宋" w:cstheme="minorEastAsia"/>
          <w:b/>
          <w:sz w:val="24"/>
          <w:szCs w:val="24"/>
        </w:rPr>
      </w:pPr>
      <w:r>
        <w:rPr>
          <w:rFonts w:hint="eastAsia" w:ascii="仿宋" w:hAnsi="仿宋" w:eastAsia="仿宋" w:cs="仿宋"/>
          <w:color w:val="auto"/>
          <w:kern w:val="0"/>
          <w:sz w:val="24"/>
          <w:szCs w:val="24"/>
          <w:lang w:val="en-US" w:eastAsia="zh-CN"/>
        </w:rPr>
        <w:t>提供</w:t>
      </w:r>
      <w:r>
        <w:rPr>
          <w:rFonts w:hint="eastAsia" w:ascii="仿宋" w:hAnsi="仿宋" w:eastAsia="仿宋" w:cs="仿宋"/>
          <w:color w:val="auto"/>
          <w:kern w:val="0"/>
          <w:sz w:val="24"/>
          <w:szCs w:val="24"/>
          <w:lang w:eastAsia="zh-CN"/>
        </w:rPr>
        <w:t>合格的</w:t>
      </w:r>
      <w:r>
        <w:rPr>
          <w:rFonts w:hint="eastAsia" w:ascii="仿宋" w:hAnsi="仿宋" w:eastAsia="仿宋" w:cs="仿宋"/>
          <w:color w:val="auto"/>
          <w:kern w:val="0"/>
          <w:sz w:val="24"/>
          <w:szCs w:val="24"/>
          <w:lang w:val="en-US" w:eastAsia="zh-CN"/>
        </w:rPr>
        <w:t>高压专线建设相关</w:t>
      </w:r>
      <w:r>
        <w:rPr>
          <w:rFonts w:hint="eastAsia" w:ascii="仿宋" w:hAnsi="仿宋" w:eastAsia="仿宋" w:cs="仿宋"/>
          <w:color w:val="auto"/>
          <w:kern w:val="0"/>
          <w:sz w:val="24"/>
          <w:szCs w:val="24"/>
          <w:lang w:eastAsia="zh-CN"/>
        </w:rPr>
        <w:t>施工图。</w:t>
      </w:r>
    </w:p>
    <w:p w14:paraId="3C7DCFAE">
      <w:pPr>
        <w:numPr>
          <w:ilvl w:val="0"/>
          <w:numId w:val="1"/>
        </w:num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服务质量检查考核标准和方法：</w:t>
      </w:r>
    </w:p>
    <w:p w14:paraId="006F3045">
      <w:pPr>
        <w:numPr>
          <w:ilvl w:val="0"/>
          <w:numId w:val="0"/>
        </w:numPr>
        <w:spacing w:line="500" w:lineRule="exact"/>
        <w:ind w:firstLine="480" w:firstLineChars="200"/>
        <w:rPr>
          <w:rFonts w:hint="default" w:ascii="仿宋" w:hAnsi="仿宋" w:eastAsia="仿宋" w:cstheme="minorEastAsia"/>
          <w:b/>
          <w:sz w:val="24"/>
          <w:szCs w:val="24"/>
          <w:lang w:val="en-US" w:eastAsia="zh-CN"/>
        </w:rPr>
      </w:pPr>
      <w:r>
        <w:rPr>
          <w:rFonts w:hint="eastAsia" w:ascii="仿宋" w:hAnsi="仿宋" w:eastAsia="仿宋" w:cs="Times New Roman"/>
          <w:color w:val="auto"/>
          <w:sz w:val="24"/>
          <w:szCs w:val="24"/>
          <w:lang w:val="en-US" w:eastAsia="zh-CN"/>
        </w:rPr>
        <w:t>提供电力部门确认合格的变电站建设相关施工图，如学校对其服务质量不满意，可以终止合同，将不得参加下一次设计服务的采购。</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117A37B6">
      <w:pPr>
        <w:pStyle w:val="40"/>
        <w:spacing w:line="520" w:lineRule="exact"/>
        <w:ind w:firstLine="480"/>
        <w:rPr>
          <w:rFonts w:hint="eastAsia" w:ascii="仿宋" w:hAnsi="仿宋" w:eastAsia="仿宋" w:cs="仿宋"/>
          <w:color w:val="FF0000"/>
          <w:kern w:val="0"/>
          <w:sz w:val="24"/>
          <w:szCs w:val="24"/>
          <w:lang w:eastAsia="zh-CN"/>
        </w:rPr>
      </w:pPr>
      <w:r>
        <w:rPr>
          <w:rFonts w:hint="eastAsia" w:ascii="仿宋" w:hAnsi="仿宋" w:eastAsia="仿宋" w:cs="仿宋"/>
          <w:color w:val="333333"/>
          <w:kern w:val="0"/>
          <w:sz w:val="24"/>
          <w:szCs w:val="24"/>
        </w:rPr>
        <w:t>本项目采购</w:t>
      </w:r>
      <w:r>
        <w:rPr>
          <w:rFonts w:hint="eastAsia" w:ascii="仿宋" w:hAnsi="仿宋" w:eastAsia="仿宋" w:cs="仿宋"/>
          <w:color w:val="333333"/>
          <w:kern w:val="0"/>
          <w:sz w:val="24"/>
          <w:szCs w:val="24"/>
          <w:lang w:val="en-US" w:eastAsia="zh-CN"/>
        </w:rPr>
        <w:t>申报折扣率</w:t>
      </w:r>
      <w:r>
        <w:rPr>
          <w:rFonts w:hint="eastAsia" w:ascii="仿宋" w:hAnsi="仿宋" w:eastAsia="仿宋" w:cs="仿宋"/>
          <w:color w:val="FF0000"/>
          <w:kern w:val="0"/>
          <w:sz w:val="24"/>
          <w:szCs w:val="24"/>
          <w:u w:val="none"/>
        </w:rPr>
        <w:t xml:space="preserve"> </w:t>
      </w:r>
      <w:r>
        <w:rPr>
          <w:rFonts w:hint="eastAsia" w:ascii="仿宋" w:hAnsi="仿宋" w:eastAsia="仿宋" w:cs="仿宋"/>
          <w:color w:val="333333"/>
          <w:kern w:val="0"/>
          <w:sz w:val="24"/>
          <w:szCs w:val="24"/>
        </w:rPr>
        <w:t>，报价为一次性报价。</w:t>
      </w:r>
      <w:r>
        <w:rPr>
          <w:rFonts w:hint="eastAsia"/>
          <w:color w:val="auto"/>
          <w:sz w:val="24"/>
          <w:lang w:val="en-US" w:eastAsia="zh-CN"/>
        </w:rPr>
        <w:t>设计费收费低于《株财发[2023]2号文》文件的折扣上限，按《工程勘察设计收费标准》计价格[2002]10号文件的投标报价折扣率计算。</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00C3D804">
      <w:pPr>
        <w:pStyle w:val="40"/>
        <w:spacing w:line="520" w:lineRule="exact"/>
        <w:ind w:firstLine="480"/>
        <w:rPr>
          <w:rFonts w:hint="default"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lang w:val="en-US" w:eastAsia="zh-CN"/>
        </w:rPr>
        <w:t>本合同是根据</w:t>
      </w:r>
      <w:r>
        <w:rPr>
          <w:rFonts w:hint="eastAsia" w:ascii="仿宋" w:hAnsi="仿宋" w:eastAsia="仿宋" w:cs="仿宋"/>
          <w:color w:val="auto"/>
          <w:kern w:val="0"/>
          <w:sz w:val="24"/>
          <w:szCs w:val="24"/>
          <w:lang w:val="en-US" w:eastAsia="zh-CN"/>
        </w:rPr>
        <w:t>变电站工程施工中标价进行取费，实际合同价=项目施工中标价×设计费中标费率，设计费中标费率=中标价/320（目前变电站工程建设投资暂估价为320万元）。</w:t>
      </w:r>
    </w:p>
    <w:p w14:paraId="2936BA9D">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xml:space="preserve"> 成交供应商收到成交通知后，应在一周内签订合同。</w:t>
      </w:r>
    </w:p>
    <w:p w14:paraId="768EF912">
      <w:pPr>
        <w:numPr>
          <w:ilvl w:val="0"/>
          <w:numId w:val="2"/>
        </w:num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付款方式</w:t>
      </w:r>
    </w:p>
    <w:p w14:paraId="07208C7E">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仿宋"/>
          <w:color w:val="auto"/>
          <w:kern w:val="0"/>
          <w:sz w:val="24"/>
          <w:szCs w:val="24"/>
          <w:lang w:val="en-US" w:eastAsia="zh-CN"/>
        </w:rPr>
        <w:t>设计费分两次支付，第一次在变电站施工项目招标完成，投标单位获得中标通知书后支付至实际合同价的80%，第二次在变电站施工项目完工后，经验收合格后一次性支付完毕。</w:t>
      </w:r>
    </w:p>
    <w:p w14:paraId="124CDEC5">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八、其他说明：</w:t>
      </w:r>
    </w:p>
    <w:p w14:paraId="3C266892">
      <w:pPr>
        <w:snapToGrid w:val="0"/>
        <w:spacing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1.参与投标的单位中标后须是湖南省乐采云电商平台的合格供应商。</w:t>
      </w:r>
    </w:p>
    <w:p w14:paraId="58E3C545">
      <w:pPr>
        <w:pStyle w:val="15"/>
        <w:ind w:left="0" w:leftChars="0" w:firstLine="0"/>
        <w:jc w:val="center"/>
        <w:rPr>
          <w:rFonts w:ascii="仿宋" w:hAnsi="仿宋" w:eastAsia="仿宋"/>
          <w:b/>
          <w:sz w:val="36"/>
          <w:szCs w:val="36"/>
        </w:rPr>
      </w:pPr>
    </w:p>
    <w:p w14:paraId="0191A80D">
      <w:pPr>
        <w:rPr>
          <w:rFonts w:hint="eastAsia"/>
        </w:rPr>
      </w:pPr>
    </w:p>
    <w:p w14:paraId="790F5285">
      <w:pPr>
        <w:rPr>
          <w:rFonts w:hint="eastAsia" w:ascii="仿宋" w:hAnsi="仿宋" w:eastAsia="仿宋"/>
          <w:b/>
          <w:sz w:val="36"/>
          <w:szCs w:val="36"/>
        </w:rPr>
      </w:pPr>
      <w:r>
        <w:rPr>
          <w:rFonts w:hint="eastAsia" w:ascii="仿宋" w:hAnsi="仿宋" w:eastAsia="仿宋"/>
          <w:b/>
          <w:sz w:val="36"/>
          <w:szCs w:val="36"/>
        </w:rPr>
        <w:br w:type="page"/>
      </w:r>
    </w:p>
    <w:p w14:paraId="223FEA38">
      <w:pPr>
        <w:pStyle w:val="15"/>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3177D42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6842793B">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2A57729E">
      <w:pPr>
        <w:pStyle w:val="15"/>
        <w:ind w:left="0" w:leftChars="0" w:firstLine="0"/>
      </w:pPr>
    </w:p>
    <w:p w14:paraId="3D76B46F">
      <w:pPr>
        <w:pStyle w:val="15"/>
        <w:spacing w:before="0" w:beforeAutospacing="0" w:after="0" w:line="240" w:lineRule="atLeast"/>
        <w:ind w:left="0" w:leftChars="0" w:firstLine="0"/>
        <w:jc w:val="both"/>
        <w:rPr>
          <w:rFonts w:hint="eastAsia" w:ascii="仿宋" w:hAnsi="仿宋" w:eastAsia="仿宋"/>
          <w:b/>
          <w:sz w:val="28"/>
          <w:szCs w:val="28"/>
        </w:rPr>
      </w:pPr>
      <w:bookmarkStart w:id="9" w:name="OLE_LINK1"/>
      <w:bookmarkStart w:id="12" w:name="_GoBack"/>
      <w:bookmarkEnd w:id="12"/>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bookmarkEnd w:id="9"/>
    <w:tbl>
      <w:tblPr>
        <w:tblStyle w:val="17"/>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1028B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vAlign w:val="center"/>
          </w:tcPr>
          <w:p w14:paraId="177065A3">
            <w:pPr>
              <w:jc w:val="center"/>
              <w:rPr>
                <w:rFonts w:hint="eastAsia" w:ascii="仿宋" w:hAnsi="仿宋" w:eastAsia="仿宋"/>
                <w:b/>
                <w:sz w:val="24"/>
                <w:szCs w:val="24"/>
              </w:rPr>
            </w:pPr>
            <w:r>
              <w:rPr>
                <w:rFonts w:hint="eastAsia" w:ascii="仿宋" w:hAnsi="仿宋" w:eastAsia="仿宋"/>
                <w:b/>
                <w:kern w:val="0"/>
                <w:sz w:val="24"/>
                <w:szCs w:val="24"/>
              </w:rPr>
              <w:t>序号</w:t>
            </w:r>
          </w:p>
        </w:tc>
        <w:tc>
          <w:tcPr>
            <w:tcW w:w="1308" w:type="dxa"/>
            <w:vAlign w:val="center"/>
          </w:tcPr>
          <w:p w14:paraId="45EDC4FD">
            <w:pPr>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709" w:type="dxa"/>
            <w:vAlign w:val="center"/>
          </w:tcPr>
          <w:p w14:paraId="02A37677">
            <w:pPr>
              <w:jc w:val="center"/>
              <w:rPr>
                <w:rFonts w:hint="eastAsia" w:ascii="仿宋" w:hAnsi="仿宋" w:eastAsia="仿宋"/>
                <w:b/>
                <w:sz w:val="24"/>
                <w:szCs w:val="24"/>
              </w:rPr>
            </w:pPr>
            <w:r>
              <w:rPr>
                <w:rFonts w:hint="eastAsia" w:ascii="仿宋" w:hAnsi="仿宋" w:eastAsia="仿宋"/>
                <w:b/>
                <w:kern w:val="0"/>
                <w:sz w:val="24"/>
                <w:szCs w:val="24"/>
              </w:rPr>
              <w:t>权值</w:t>
            </w:r>
          </w:p>
        </w:tc>
        <w:tc>
          <w:tcPr>
            <w:tcW w:w="6237" w:type="dxa"/>
            <w:vAlign w:val="center"/>
          </w:tcPr>
          <w:p w14:paraId="5C2A0A22">
            <w:pPr>
              <w:jc w:val="center"/>
              <w:rPr>
                <w:rFonts w:hint="eastAsia" w:ascii="仿宋" w:hAnsi="仿宋" w:eastAsia="仿宋"/>
                <w:b/>
                <w:sz w:val="24"/>
                <w:szCs w:val="24"/>
              </w:rPr>
            </w:pPr>
            <w:r>
              <w:rPr>
                <w:rFonts w:hint="eastAsia" w:ascii="仿宋" w:hAnsi="仿宋" w:eastAsia="仿宋"/>
                <w:b/>
                <w:sz w:val="24"/>
                <w:szCs w:val="24"/>
              </w:rPr>
              <w:t>评分标准</w:t>
            </w:r>
          </w:p>
        </w:tc>
      </w:tr>
      <w:tr w14:paraId="397F8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4757AAE5">
            <w:pPr>
              <w:jc w:val="center"/>
              <w:rPr>
                <w:rFonts w:hint="eastAsia" w:ascii="仿宋" w:hAnsi="仿宋" w:eastAsia="仿宋"/>
                <w:b/>
                <w:kern w:val="0"/>
                <w:sz w:val="24"/>
                <w:szCs w:val="24"/>
              </w:rPr>
            </w:pPr>
            <w:r>
              <w:rPr>
                <w:rFonts w:hint="eastAsia" w:ascii="仿宋" w:hAnsi="仿宋" w:eastAsia="仿宋"/>
                <w:sz w:val="24"/>
                <w:szCs w:val="24"/>
              </w:rPr>
              <w:t>1</w:t>
            </w:r>
          </w:p>
        </w:tc>
        <w:tc>
          <w:tcPr>
            <w:tcW w:w="1308" w:type="dxa"/>
            <w:vAlign w:val="center"/>
          </w:tcPr>
          <w:p w14:paraId="6116B5E0">
            <w:pPr>
              <w:jc w:val="center"/>
              <w:rPr>
                <w:rFonts w:hint="eastAsia" w:ascii="仿宋" w:hAnsi="仿宋" w:eastAsia="仿宋"/>
                <w:b/>
                <w:kern w:val="0"/>
                <w:sz w:val="24"/>
                <w:szCs w:val="24"/>
              </w:rPr>
            </w:pPr>
            <w:r>
              <w:rPr>
                <w:rFonts w:hint="eastAsia" w:ascii="仿宋" w:hAnsi="仿宋" w:eastAsia="仿宋"/>
                <w:kern w:val="0"/>
                <w:sz w:val="24"/>
                <w:szCs w:val="24"/>
              </w:rPr>
              <w:t>报价</w:t>
            </w:r>
          </w:p>
        </w:tc>
        <w:tc>
          <w:tcPr>
            <w:tcW w:w="709" w:type="dxa"/>
            <w:vAlign w:val="center"/>
          </w:tcPr>
          <w:p w14:paraId="681E81EB">
            <w:pPr>
              <w:jc w:val="center"/>
              <w:rPr>
                <w:rFonts w:hint="default" w:ascii="仿宋" w:hAnsi="仿宋" w:eastAsia="仿宋"/>
                <w:color w:val="auto"/>
                <w:kern w:val="0"/>
                <w:sz w:val="24"/>
                <w:szCs w:val="24"/>
                <w:highlight w:val="none"/>
                <w:lang w:val="en-US"/>
              </w:rPr>
            </w:pPr>
            <w:r>
              <w:rPr>
                <w:rFonts w:hint="eastAsia" w:ascii="仿宋" w:hAnsi="仿宋" w:eastAsia="仿宋"/>
                <w:color w:val="auto"/>
                <w:kern w:val="0"/>
                <w:sz w:val="24"/>
                <w:szCs w:val="24"/>
                <w:highlight w:val="none"/>
                <w:lang w:val="en-US" w:eastAsia="zh-CN"/>
              </w:rPr>
              <w:t>30</w:t>
            </w:r>
          </w:p>
        </w:tc>
        <w:tc>
          <w:tcPr>
            <w:tcW w:w="6237" w:type="dxa"/>
            <w:vAlign w:val="center"/>
          </w:tcPr>
          <w:p w14:paraId="5A982F2F">
            <w:pPr>
              <w:jc w:val="left"/>
              <w:rPr>
                <w:rFonts w:hint="default" w:ascii="仿宋" w:hAnsi="仿宋" w:eastAsia="仿宋"/>
                <w:b/>
                <w:color w:val="auto"/>
                <w:sz w:val="24"/>
                <w:szCs w:val="24"/>
                <w:highlight w:val="none"/>
                <w:lang w:val="en-US" w:eastAsia="zh-CN"/>
              </w:rPr>
            </w:pPr>
            <w:r>
              <w:rPr>
                <w:rFonts w:hint="eastAsia" w:ascii="仿宋" w:hAnsi="仿宋" w:eastAsia="仿宋" w:cs="宋体"/>
                <w:sz w:val="24"/>
                <w:szCs w:val="24"/>
              </w:rPr>
              <w:t>以经评委会一致认定满足招标文件要求且投标价格最低的投标报价为评标基准价，其价格得分计30分。其他投标人的价格得分统一按公式计算：报价得分=（评标基准价/投标报价）×价格权重</w:t>
            </w:r>
          </w:p>
        </w:tc>
      </w:tr>
      <w:tr w14:paraId="007A7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78CF0AE2">
            <w:pPr>
              <w:jc w:val="center"/>
              <w:rPr>
                <w:rFonts w:hint="eastAsia" w:ascii="仿宋" w:hAnsi="仿宋" w:eastAsia="仿宋" w:cs="宋体"/>
                <w:sz w:val="24"/>
                <w:szCs w:val="24"/>
              </w:rPr>
            </w:pPr>
            <w:r>
              <w:rPr>
                <w:rFonts w:hint="eastAsia" w:ascii="仿宋" w:hAnsi="仿宋" w:eastAsia="仿宋" w:cs="宋体"/>
                <w:sz w:val="24"/>
                <w:szCs w:val="24"/>
              </w:rPr>
              <w:t>2</w:t>
            </w:r>
          </w:p>
        </w:tc>
        <w:tc>
          <w:tcPr>
            <w:tcW w:w="1308" w:type="dxa"/>
            <w:vAlign w:val="center"/>
          </w:tcPr>
          <w:p w14:paraId="02AFC85E">
            <w:pPr>
              <w:jc w:val="center"/>
              <w:rPr>
                <w:rFonts w:hint="eastAsia" w:ascii="仿宋" w:hAnsi="仿宋" w:eastAsia="仿宋" w:cs="宋体"/>
                <w:sz w:val="24"/>
                <w:szCs w:val="24"/>
              </w:rPr>
            </w:pPr>
            <w:r>
              <w:rPr>
                <w:rFonts w:hint="eastAsia" w:ascii="仿宋" w:hAnsi="仿宋" w:eastAsia="仿宋" w:cs="宋体"/>
                <w:sz w:val="24"/>
                <w:szCs w:val="24"/>
              </w:rPr>
              <w:t>服务团队能力</w:t>
            </w:r>
          </w:p>
        </w:tc>
        <w:tc>
          <w:tcPr>
            <w:tcW w:w="709" w:type="dxa"/>
            <w:vAlign w:val="center"/>
          </w:tcPr>
          <w:p w14:paraId="3E6075CC">
            <w:pPr>
              <w:jc w:val="center"/>
              <w:rPr>
                <w:rFonts w:hint="default" w:ascii="仿宋" w:hAnsi="仿宋" w:eastAsia="仿宋" w:cs="宋体"/>
                <w:sz w:val="24"/>
                <w:szCs w:val="24"/>
                <w:lang w:val="en-US"/>
              </w:rPr>
            </w:pPr>
            <w:r>
              <w:rPr>
                <w:rFonts w:hint="eastAsia" w:ascii="仿宋" w:hAnsi="仿宋" w:eastAsia="仿宋" w:cs="宋体"/>
                <w:sz w:val="24"/>
                <w:szCs w:val="24"/>
                <w:lang w:val="en-US" w:eastAsia="zh-CN"/>
              </w:rPr>
              <w:t>20</w:t>
            </w:r>
          </w:p>
        </w:tc>
        <w:tc>
          <w:tcPr>
            <w:tcW w:w="6237" w:type="dxa"/>
            <w:vAlign w:val="center"/>
          </w:tcPr>
          <w:p w14:paraId="6CE8CF49">
            <w:pPr>
              <w:jc w:val="left"/>
              <w:rPr>
                <w:rFonts w:hint="eastAsia" w:ascii="仿宋" w:hAnsi="仿宋" w:eastAsia="仿宋" w:cs="宋体"/>
                <w:b w:val="0"/>
                <w:bCs w:val="0"/>
                <w:color w:val="000000" w:themeColor="text1"/>
                <w:sz w:val="24"/>
                <w:szCs w:val="24"/>
                <w14:textFill>
                  <w14:solidFill>
                    <w14:schemeClr w14:val="tx1"/>
                  </w14:solidFill>
                </w14:textFill>
              </w:rPr>
            </w:pPr>
            <w:bookmarkStart w:id="10" w:name="OLE_LINK2"/>
            <w:r>
              <w:rPr>
                <w:rFonts w:hint="eastAsia" w:ascii="仿宋" w:hAnsi="仿宋" w:eastAsia="仿宋" w:cs="宋体"/>
                <w:b w:val="0"/>
                <w:bCs w:val="0"/>
                <w:color w:val="000000" w:themeColor="text1"/>
                <w:sz w:val="24"/>
                <w:szCs w:val="24"/>
                <w14:textFill>
                  <w14:solidFill>
                    <w14:schemeClr w14:val="tx1"/>
                  </w14:solidFill>
                </w14:textFill>
              </w:rPr>
              <w:t>（1）服务团队中的人员具备</w:t>
            </w:r>
            <w:r>
              <w:rPr>
                <w:rFonts w:hint="eastAsia" w:ascii="仿宋" w:hAnsi="仿宋" w:eastAsia="仿宋" w:cs="宋体"/>
                <w:b w:val="0"/>
                <w:bCs w:val="0"/>
                <w:color w:val="000000" w:themeColor="text1"/>
                <w:sz w:val="24"/>
                <w:szCs w:val="24"/>
                <w:lang w:eastAsia="zh-CN"/>
                <w14:textFill>
                  <w14:solidFill>
                    <w14:schemeClr w14:val="tx1"/>
                  </w14:solidFill>
                </w14:textFill>
              </w:rPr>
              <w:t>注册电气工程师、</w:t>
            </w:r>
            <w:r>
              <w:rPr>
                <w:rFonts w:hint="eastAsia" w:ascii="仿宋" w:hAnsi="仿宋" w:eastAsia="仿宋" w:cs="宋体"/>
                <w:b w:val="0"/>
                <w:bCs w:val="0"/>
                <w:color w:val="000000" w:themeColor="text1"/>
                <w:sz w:val="24"/>
                <w:szCs w:val="24"/>
                <w:lang w:val="en-US" w:eastAsia="zh-CN"/>
                <w14:textFill>
                  <w14:solidFill>
                    <w14:schemeClr w14:val="tx1"/>
                  </w14:solidFill>
                </w14:textFill>
              </w:rPr>
              <w:t>注册机电工程建造师</w:t>
            </w:r>
            <w:r>
              <w:rPr>
                <w:rFonts w:hint="eastAsia" w:ascii="仿宋" w:hAnsi="仿宋" w:eastAsia="仿宋" w:cs="宋体"/>
                <w:b w:val="0"/>
                <w:bCs w:val="0"/>
                <w:color w:val="000000" w:themeColor="text1"/>
                <w:sz w:val="24"/>
                <w:szCs w:val="24"/>
                <w:lang w:eastAsia="zh-CN"/>
                <w14:textFill>
                  <w14:solidFill>
                    <w14:schemeClr w14:val="tx1"/>
                  </w14:solidFill>
                </w14:textFill>
              </w:rPr>
              <w:t>、注册公用设备工程师</w:t>
            </w:r>
            <w:r>
              <w:rPr>
                <w:rFonts w:hint="eastAsia" w:ascii="仿宋" w:hAnsi="仿宋" w:eastAsia="仿宋" w:cs="宋体"/>
                <w:b w:val="0"/>
                <w:bCs w:val="0"/>
                <w:color w:val="000000" w:themeColor="text1"/>
                <w:sz w:val="24"/>
                <w:szCs w:val="24"/>
                <w14:textFill>
                  <w14:solidFill>
                    <w14:schemeClr w14:val="tx1"/>
                  </w14:solidFill>
                </w14:textFill>
              </w:rPr>
              <w:t>的，每提供1人得</w:t>
            </w:r>
            <w:r>
              <w:rPr>
                <w:rFonts w:hint="eastAsia" w:ascii="仿宋" w:hAnsi="仿宋" w:eastAsia="仿宋" w:cs="宋体"/>
                <w:b w:val="0"/>
                <w:bCs w:val="0"/>
                <w:color w:val="000000" w:themeColor="text1"/>
                <w:sz w:val="24"/>
                <w:szCs w:val="24"/>
                <w:lang w:val="en-US" w:eastAsia="zh-CN"/>
                <w14:textFill>
                  <w14:solidFill>
                    <w14:schemeClr w14:val="tx1"/>
                  </w14:solidFill>
                </w14:textFill>
              </w:rPr>
              <w:t>5</w:t>
            </w:r>
            <w:r>
              <w:rPr>
                <w:rFonts w:hint="eastAsia" w:ascii="仿宋" w:hAnsi="仿宋" w:eastAsia="仿宋" w:cs="宋体"/>
                <w:b w:val="0"/>
                <w:bCs w:val="0"/>
                <w:color w:val="000000" w:themeColor="text1"/>
                <w:sz w:val="24"/>
                <w:szCs w:val="24"/>
                <w14:textFill>
                  <w14:solidFill>
                    <w14:schemeClr w14:val="tx1"/>
                  </w14:solidFill>
                </w14:textFill>
              </w:rPr>
              <w:t>分，最高得</w:t>
            </w:r>
            <w:r>
              <w:rPr>
                <w:rFonts w:hint="eastAsia" w:ascii="仿宋" w:hAnsi="仿宋" w:eastAsia="仿宋" w:cs="宋体"/>
                <w:b w:val="0"/>
                <w:bCs w:val="0"/>
                <w:color w:val="000000" w:themeColor="text1"/>
                <w:sz w:val="24"/>
                <w:szCs w:val="24"/>
                <w:lang w:val="en-US" w:eastAsia="zh-CN"/>
                <w14:textFill>
                  <w14:solidFill>
                    <w14:schemeClr w14:val="tx1"/>
                  </w14:solidFill>
                </w14:textFill>
              </w:rPr>
              <w:t>10</w:t>
            </w:r>
            <w:r>
              <w:rPr>
                <w:rFonts w:hint="eastAsia" w:ascii="仿宋" w:hAnsi="仿宋" w:eastAsia="仿宋" w:cs="宋体"/>
                <w:b w:val="0"/>
                <w:bCs w:val="0"/>
                <w:color w:val="000000" w:themeColor="text1"/>
                <w:sz w:val="24"/>
                <w:szCs w:val="24"/>
                <w14:textFill>
                  <w14:solidFill>
                    <w14:schemeClr w14:val="tx1"/>
                  </w14:solidFill>
                </w14:textFill>
              </w:rPr>
              <w:t>分。</w:t>
            </w:r>
          </w:p>
          <w:p w14:paraId="05DE33BF">
            <w:pPr>
              <w:jc w:val="left"/>
              <w:rPr>
                <w:rFonts w:hint="eastAsia" w:ascii="仿宋" w:hAnsi="仿宋" w:eastAsia="仿宋" w:cs="宋体"/>
                <w:b w:val="0"/>
                <w:bCs w:val="0"/>
                <w:color w:val="000000" w:themeColor="text1"/>
                <w:sz w:val="24"/>
                <w:szCs w:val="24"/>
                <w14:textFill>
                  <w14:solidFill>
                    <w14:schemeClr w14:val="tx1"/>
                  </w14:solidFill>
                </w14:textFill>
              </w:rPr>
            </w:pPr>
            <w:r>
              <w:rPr>
                <w:rFonts w:hint="eastAsia" w:ascii="仿宋" w:hAnsi="仿宋" w:eastAsia="仿宋" w:cs="宋体"/>
                <w:b w:val="0"/>
                <w:bCs w:val="0"/>
                <w:color w:val="000000" w:themeColor="text1"/>
                <w:sz w:val="24"/>
                <w:szCs w:val="24"/>
                <w14:textFill>
                  <w14:solidFill>
                    <w14:schemeClr w14:val="tx1"/>
                  </w14:solidFill>
                </w14:textFill>
              </w:rPr>
              <w:t>（2）服务团队中的人员具备</w:t>
            </w:r>
            <w:r>
              <w:rPr>
                <w:rFonts w:hint="eastAsia" w:ascii="仿宋" w:hAnsi="仿宋" w:eastAsia="仿宋" w:cs="宋体"/>
                <w:b w:val="0"/>
                <w:bCs w:val="0"/>
                <w:color w:val="000000" w:themeColor="text1"/>
                <w:sz w:val="24"/>
                <w:szCs w:val="24"/>
                <w:lang w:val="en-US" w:eastAsia="zh-CN"/>
                <w14:textFill>
                  <w14:solidFill>
                    <w14:schemeClr w14:val="tx1"/>
                  </w14:solidFill>
                </w14:textFill>
              </w:rPr>
              <w:t>电力高</w:t>
            </w:r>
            <w:r>
              <w:rPr>
                <w:rFonts w:hint="eastAsia" w:ascii="仿宋" w:hAnsi="仿宋" w:eastAsia="仿宋" w:cs="宋体"/>
                <w:b w:val="0"/>
                <w:bCs w:val="0"/>
                <w:color w:val="000000" w:themeColor="text1"/>
                <w:sz w:val="24"/>
                <w:szCs w:val="24"/>
                <w14:textFill>
                  <w14:solidFill>
                    <w14:schemeClr w14:val="tx1"/>
                  </w14:solidFill>
                </w14:textFill>
              </w:rPr>
              <w:t>级</w:t>
            </w:r>
            <w:r>
              <w:rPr>
                <w:rFonts w:hint="eastAsia" w:ascii="仿宋" w:hAnsi="仿宋" w:eastAsia="仿宋" w:cs="宋体"/>
                <w:b w:val="0"/>
                <w:bCs w:val="0"/>
                <w:color w:val="000000" w:themeColor="text1"/>
                <w:sz w:val="24"/>
                <w:szCs w:val="24"/>
                <w:lang w:val="en-US" w:eastAsia="zh-CN"/>
                <w14:textFill>
                  <w14:solidFill>
                    <w14:schemeClr w14:val="tx1"/>
                  </w14:solidFill>
                </w14:textFill>
              </w:rPr>
              <w:t>工程师</w:t>
            </w:r>
            <w:r>
              <w:rPr>
                <w:rFonts w:hint="eastAsia" w:ascii="仿宋" w:hAnsi="仿宋" w:eastAsia="仿宋" w:cs="宋体"/>
                <w:b w:val="0"/>
                <w:bCs w:val="0"/>
                <w:color w:val="000000" w:themeColor="text1"/>
                <w:sz w:val="24"/>
                <w:szCs w:val="24"/>
                <w14:textFill>
                  <w14:solidFill>
                    <w14:schemeClr w14:val="tx1"/>
                  </w14:solidFill>
                </w14:textFill>
              </w:rPr>
              <w:t>证书的，每提供1人得</w:t>
            </w:r>
            <w:r>
              <w:rPr>
                <w:rFonts w:hint="eastAsia" w:ascii="仿宋" w:hAnsi="仿宋" w:eastAsia="仿宋" w:cs="宋体"/>
                <w:b w:val="0"/>
                <w:bCs w:val="0"/>
                <w:color w:val="000000" w:themeColor="text1"/>
                <w:sz w:val="24"/>
                <w:szCs w:val="24"/>
                <w:lang w:val="en-US" w:eastAsia="zh-CN"/>
                <w14:textFill>
                  <w14:solidFill>
                    <w14:schemeClr w14:val="tx1"/>
                  </w14:solidFill>
                </w14:textFill>
              </w:rPr>
              <w:t>5</w:t>
            </w:r>
            <w:r>
              <w:rPr>
                <w:rFonts w:hint="eastAsia" w:ascii="仿宋" w:hAnsi="仿宋" w:eastAsia="仿宋" w:cs="宋体"/>
                <w:b w:val="0"/>
                <w:bCs w:val="0"/>
                <w:color w:val="000000" w:themeColor="text1"/>
                <w:sz w:val="24"/>
                <w:szCs w:val="24"/>
                <w14:textFill>
                  <w14:solidFill>
                    <w14:schemeClr w14:val="tx1"/>
                  </w14:solidFill>
                </w14:textFill>
              </w:rPr>
              <w:t>分，最高得</w:t>
            </w:r>
            <w:r>
              <w:rPr>
                <w:rFonts w:hint="eastAsia" w:ascii="仿宋" w:hAnsi="仿宋" w:eastAsia="仿宋" w:cs="宋体"/>
                <w:b w:val="0"/>
                <w:bCs w:val="0"/>
                <w:color w:val="000000" w:themeColor="text1"/>
                <w:sz w:val="24"/>
                <w:szCs w:val="24"/>
                <w:lang w:val="en-US" w:eastAsia="zh-CN"/>
                <w14:textFill>
                  <w14:solidFill>
                    <w14:schemeClr w14:val="tx1"/>
                  </w14:solidFill>
                </w14:textFill>
              </w:rPr>
              <w:t>10</w:t>
            </w:r>
            <w:r>
              <w:rPr>
                <w:rFonts w:hint="eastAsia" w:ascii="仿宋" w:hAnsi="仿宋" w:eastAsia="仿宋" w:cs="宋体"/>
                <w:b w:val="0"/>
                <w:bCs w:val="0"/>
                <w:color w:val="000000" w:themeColor="text1"/>
                <w:sz w:val="24"/>
                <w:szCs w:val="24"/>
                <w14:textFill>
                  <w14:solidFill>
                    <w14:schemeClr w14:val="tx1"/>
                  </w14:solidFill>
                </w14:textFill>
              </w:rPr>
              <w:t>分。</w:t>
            </w:r>
          </w:p>
          <w:p w14:paraId="5B82BE78">
            <w:pPr>
              <w:jc w:val="left"/>
              <w:rPr>
                <w:rFonts w:hint="eastAsia" w:ascii="仿宋" w:hAnsi="仿宋" w:eastAsia="仿宋" w:cs="宋体"/>
                <w:b/>
                <w:bCs/>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20</w:t>
            </w:r>
            <w:r>
              <w:rPr>
                <w:rFonts w:hint="eastAsia" w:ascii="仿宋" w:hAnsi="仿宋" w:eastAsia="仿宋" w:cs="宋体"/>
                <w:b/>
                <w:bCs/>
                <w:sz w:val="24"/>
                <w:szCs w:val="24"/>
              </w:rPr>
              <w:t>分。</w:t>
            </w:r>
          </w:p>
          <w:bookmarkEnd w:id="10"/>
          <w:p w14:paraId="76ACA678">
            <w:pPr>
              <w:jc w:val="left"/>
              <w:rPr>
                <w:rFonts w:hint="eastAsia" w:ascii="仿宋" w:hAnsi="仿宋" w:eastAsia="仿宋" w:cs="宋体"/>
                <w:sz w:val="24"/>
                <w:szCs w:val="24"/>
              </w:rPr>
            </w:pPr>
            <w:r>
              <w:rPr>
                <w:rFonts w:hint="eastAsia" w:ascii="仿宋" w:hAnsi="仿宋" w:eastAsia="仿宋" w:cs="宋体"/>
                <w:b/>
                <w:bCs/>
                <w:sz w:val="24"/>
                <w:szCs w:val="24"/>
              </w:rPr>
              <w:t>【评审依据】：1）响应文件中提供以上人员证书扫描件和</w:t>
            </w:r>
            <w:bookmarkStart w:id="11" w:name="OLE_LINK6"/>
            <w:r>
              <w:rPr>
                <w:rFonts w:hint="eastAsia" w:ascii="仿宋" w:hAnsi="仿宋" w:eastAsia="仿宋" w:cs="宋体"/>
                <w:b/>
                <w:bCs/>
                <w:sz w:val="24"/>
                <w:szCs w:val="24"/>
              </w:rPr>
              <w:t>供应商为其缴纳的近三个月（不含磋商当月）的社保证明扫描件并加盖供应商公章，未提供或提供的证明材料不齐全的不得分。</w:t>
            </w:r>
            <w:bookmarkEnd w:id="11"/>
            <w:r>
              <w:rPr>
                <w:rFonts w:hint="eastAsia" w:ascii="仿宋" w:hAnsi="仿宋" w:eastAsia="仿宋" w:cs="宋体"/>
                <w:b/>
                <w:bCs/>
                <w:sz w:val="24"/>
                <w:szCs w:val="24"/>
              </w:rPr>
              <w:t>2）服务团队中人员证书不得复用，否则不予加分。</w:t>
            </w:r>
          </w:p>
        </w:tc>
      </w:tr>
      <w:tr w14:paraId="5233F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F25D7E5">
            <w:pPr>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3</w:t>
            </w:r>
          </w:p>
        </w:tc>
        <w:tc>
          <w:tcPr>
            <w:tcW w:w="1308" w:type="dxa"/>
            <w:vAlign w:val="center"/>
          </w:tcPr>
          <w:p w14:paraId="1F737B93">
            <w:pPr>
              <w:jc w:val="center"/>
              <w:rPr>
                <w:rFonts w:hint="eastAsia" w:ascii="仿宋" w:hAnsi="仿宋" w:eastAsia="仿宋" w:cs="宋体"/>
                <w:sz w:val="24"/>
                <w:szCs w:val="24"/>
              </w:rPr>
            </w:pPr>
            <w:r>
              <w:rPr>
                <w:rFonts w:hint="eastAsia" w:ascii="仿宋" w:hAnsi="仿宋" w:eastAsia="仿宋" w:cs="宋体"/>
                <w:sz w:val="24"/>
                <w:szCs w:val="24"/>
              </w:rPr>
              <w:t>履约能力</w:t>
            </w:r>
          </w:p>
        </w:tc>
        <w:tc>
          <w:tcPr>
            <w:tcW w:w="709" w:type="dxa"/>
            <w:vAlign w:val="center"/>
          </w:tcPr>
          <w:p w14:paraId="1C6F40F5">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20</w:t>
            </w:r>
          </w:p>
        </w:tc>
        <w:tc>
          <w:tcPr>
            <w:tcW w:w="6237" w:type="dxa"/>
            <w:vAlign w:val="center"/>
          </w:tcPr>
          <w:p w14:paraId="48978910">
            <w:pPr>
              <w:jc w:val="left"/>
              <w:rPr>
                <w:rFonts w:hint="eastAsia" w:ascii="仿宋" w:hAnsi="仿宋" w:eastAsia="仿宋" w:cs="宋体"/>
                <w:sz w:val="24"/>
                <w:szCs w:val="24"/>
              </w:rPr>
            </w:pPr>
            <w:r>
              <w:rPr>
                <w:rFonts w:hint="eastAsia" w:ascii="仿宋" w:hAnsi="仿宋" w:eastAsia="仿宋" w:cs="宋体"/>
                <w:sz w:val="24"/>
                <w:szCs w:val="24"/>
              </w:rPr>
              <w:t>供应商提供自202</w:t>
            </w:r>
            <w:r>
              <w:rPr>
                <w:rFonts w:hint="eastAsia" w:ascii="仿宋" w:hAnsi="仿宋" w:eastAsia="仿宋" w:cs="宋体"/>
                <w:sz w:val="24"/>
                <w:szCs w:val="24"/>
                <w:lang w:val="en-US" w:eastAsia="zh-CN"/>
              </w:rPr>
              <w:t>5</w:t>
            </w:r>
            <w:r>
              <w:rPr>
                <w:rFonts w:hint="eastAsia" w:ascii="仿宋" w:hAnsi="仿宋" w:eastAsia="仿宋" w:cs="宋体"/>
                <w:sz w:val="24"/>
                <w:szCs w:val="24"/>
              </w:rPr>
              <w:t>年</w:t>
            </w:r>
            <w:r>
              <w:rPr>
                <w:rFonts w:hint="eastAsia" w:ascii="仿宋" w:hAnsi="仿宋" w:eastAsia="仿宋" w:cs="宋体"/>
                <w:sz w:val="24"/>
                <w:szCs w:val="24"/>
                <w:lang w:val="en-US" w:eastAsia="zh-CN"/>
              </w:rPr>
              <w:t>10</w:t>
            </w:r>
            <w:r>
              <w:rPr>
                <w:rFonts w:hint="eastAsia" w:ascii="仿宋" w:hAnsi="仿宋" w:eastAsia="仿宋" w:cs="宋体"/>
                <w:sz w:val="24"/>
                <w:szCs w:val="24"/>
              </w:rPr>
              <w:t>月至本项目响应文件递交截止时间（以合同签订日期为准）具有</w:t>
            </w:r>
            <w:r>
              <w:rPr>
                <w:rFonts w:hint="eastAsia" w:ascii="仿宋" w:hAnsi="仿宋" w:eastAsia="仿宋" w:cs="宋体"/>
                <w:sz w:val="24"/>
                <w:szCs w:val="24"/>
                <w:lang w:val="en-US" w:eastAsia="zh-CN"/>
              </w:rPr>
              <w:t>电力设计</w:t>
            </w:r>
            <w:r>
              <w:rPr>
                <w:rFonts w:hint="eastAsia" w:ascii="仿宋" w:hAnsi="仿宋" w:eastAsia="仿宋" w:cs="宋体"/>
                <w:sz w:val="24"/>
                <w:szCs w:val="24"/>
              </w:rPr>
              <w:t>项目实施案例的,每提供一个加</w:t>
            </w:r>
            <w:r>
              <w:rPr>
                <w:rFonts w:hint="eastAsia" w:ascii="仿宋" w:hAnsi="仿宋" w:eastAsia="仿宋" w:cs="宋体"/>
                <w:sz w:val="24"/>
                <w:szCs w:val="24"/>
                <w:lang w:val="en-US" w:eastAsia="zh-CN"/>
              </w:rPr>
              <w:t>5</w:t>
            </w:r>
            <w:r>
              <w:rPr>
                <w:rFonts w:hint="eastAsia" w:ascii="仿宋" w:hAnsi="仿宋" w:eastAsia="仿宋" w:cs="宋体"/>
                <w:sz w:val="24"/>
                <w:szCs w:val="24"/>
              </w:rPr>
              <w:t>分。本项满分</w:t>
            </w:r>
            <w:r>
              <w:rPr>
                <w:rFonts w:hint="eastAsia" w:ascii="仿宋" w:hAnsi="仿宋" w:eastAsia="仿宋" w:cs="宋体"/>
                <w:sz w:val="24"/>
                <w:szCs w:val="24"/>
                <w:lang w:val="en-US" w:eastAsia="zh-CN"/>
              </w:rPr>
              <w:t>20</w:t>
            </w:r>
            <w:r>
              <w:rPr>
                <w:rFonts w:hint="eastAsia" w:ascii="仿宋" w:hAnsi="仿宋" w:eastAsia="仿宋" w:cs="宋体"/>
                <w:sz w:val="24"/>
                <w:szCs w:val="24"/>
              </w:rPr>
              <w:t>分。</w:t>
            </w:r>
          </w:p>
          <w:p w14:paraId="6E94B332">
            <w:pPr>
              <w:jc w:val="left"/>
              <w:rPr>
                <w:rFonts w:hint="eastAsia" w:ascii="仿宋" w:hAnsi="仿宋" w:eastAsia="仿宋" w:cs="宋体"/>
                <w:sz w:val="24"/>
                <w:szCs w:val="24"/>
              </w:rPr>
            </w:pPr>
            <w:r>
              <w:rPr>
                <w:rFonts w:hint="eastAsia" w:ascii="仿宋" w:hAnsi="仿宋" w:eastAsia="仿宋" w:cs="宋体"/>
                <w:b/>
                <w:bCs/>
                <w:sz w:val="24"/>
                <w:szCs w:val="24"/>
              </w:rPr>
              <w:t>【评审依据】：响应文件中提供合同复印件并加盖供应商公章。（合同复印件需提供合同首页、标的或内容所在页、签字盖章页）</w:t>
            </w:r>
          </w:p>
        </w:tc>
      </w:tr>
      <w:tr w14:paraId="786A3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5470B7AC">
            <w:pPr>
              <w:jc w:val="left"/>
              <w:rPr>
                <w:rFonts w:hint="eastAsia" w:ascii="仿宋" w:hAnsi="仿宋" w:eastAsia="仿宋" w:cs="宋体"/>
                <w:kern w:val="2"/>
                <w:sz w:val="24"/>
                <w:szCs w:val="24"/>
                <w:lang w:val="en-US" w:eastAsia="zh-CN" w:bidi="ar-SA"/>
              </w:rPr>
            </w:pPr>
            <w:r>
              <w:rPr>
                <w:rFonts w:hint="eastAsia" w:ascii="仿宋" w:hAnsi="仿宋" w:eastAsia="仿宋" w:cs="宋体"/>
                <w:sz w:val="24"/>
                <w:szCs w:val="24"/>
                <w:lang w:val="en-US" w:eastAsia="zh-CN"/>
              </w:rPr>
              <w:t>4</w:t>
            </w:r>
          </w:p>
        </w:tc>
        <w:tc>
          <w:tcPr>
            <w:tcW w:w="1308" w:type="dxa"/>
            <w:shd w:val="clear" w:color="auto" w:fill="auto"/>
            <w:vAlign w:val="center"/>
          </w:tcPr>
          <w:p w14:paraId="4D0EED86">
            <w:pPr>
              <w:jc w:val="center"/>
              <w:rPr>
                <w:rFonts w:hint="eastAsia" w:ascii="仿宋" w:hAnsi="仿宋" w:eastAsia="仿宋" w:cs="宋体"/>
                <w:kern w:val="2"/>
                <w:sz w:val="24"/>
                <w:szCs w:val="24"/>
                <w:lang w:val="en-US" w:eastAsia="zh-CN" w:bidi="ar-SA"/>
              </w:rPr>
            </w:pPr>
            <w:r>
              <w:rPr>
                <w:rFonts w:hint="eastAsia" w:ascii="仿宋" w:hAnsi="仿宋" w:eastAsia="仿宋" w:cs="宋体"/>
                <w:sz w:val="24"/>
                <w:szCs w:val="24"/>
              </w:rPr>
              <w:t>项目整体实施方案</w:t>
            </w:r>
          </w:p>
        </w:tc>
        <w:tc>
          <w:tcPr>
            <w:tcW w:w="709" w:type="dxa"/>
            <w:shd w:val="clear" w:color="auto" w:fill="auto"/>
            <w:vAlign w:val="center"/>
          </w:tcPr>
          <w:p w14:paraId="264C54A6">
            <w:pPr>
              <w:jc w:val="center"/>
              <w:rPr>
                <w:rFonts w:hint="eastAsia" w:ascii="仿宋" w:hAnsi="仿宋" w:eastAsia="仿宋" w:cs="宋体"/>
                <w:kern w:val="2"/>
                <w:sz w:val="24"/>
                <w:szCs w:val="24"/>
                <w:lang w:val="en-US" w:eastAsia="zh-CN" w:bidi="ar-SA"/>
              </w:rPr>
            </w:pPr>
            <w:r>
              <w:rPr>
                <w:rFonts w:hint="eastAsia" w:ascii="仿宋" w:hAnsi="仿宋" w:eastAsia="仿宋" w:cs="宋体"/>
                <w:sz w:val="24"/>
                <w:szCs w:val="24"/>
                <w:lang w:val="en-US" w:eastAsia="zh-CN"/>
              </w:rPr>
              <w:t>30</w:t>
            </w:r>
          </w:p>
        </w:tc>
        <w:tc>
          <w:tcPr>
            <w:tcW w:w="6237" w:type="dxa"/>
            <w:shd w:val="clear" w:color="auto" w:fill="auto"/>
            <w:vAlign w:val="center"/>
          </w:tcPr>
          <w:p w14:paraId="6C9088E8">
            <w:pPr>
              <w:jc w:val="left"/>
              <w:rPr>
                <w:rFonts w:ascii="仿宋" w:hAnsi="仿宋" w:eastAsia="仿宋" w:cs="宋体"/>
                <w:sz w:val="24"/>
                <w:szCs w:val="24"/>
              </w:rPr>
            </w:pPr>
            <w:r>
              <w:rPr>
                <w:rFonts w:hint="eastAsia" w:ascii="仿宋" w:hAnsi="仿宋" w:eastAsia="仿宋" w:cs="宋体"/>
                <w:sz w:val="24"/>
                <w:szCs w:val="24"/>
              </w:rPr>
              <w:t>供应商根据本项目实施特点及技术要求，</w:t>
            </w:r>
            <w:r>
              <w:rPr>
                <w:rFonts w:hint="eastAsia" w:ascii="仿宋" w:hAnsi="仿宋" w:eastAsia="仿宋" w:cs="宋体"/>
                <w:sz w:val="24"/>
                <w:szCs w:val="24"/>
                <w:lang w:val="en-US" w:eastAsia="zh-CN"/>
              </w:rPr>
              <w:t>根据供电方案</w:t>
            </w:r>
            <w:r>
              <w:rPr>
                <w:rFonts w:hint="eastAsia" w:ascii="仿宋" w:hAnsi="仿宋" w:eastAsia="仿宋" w:cs="宋体"/>
                <w:sz w:val="24"/>
                <w:szCs w:val="24"/>
              </w:rPr>
              <w:t>结合项目所在地现有情况</w:t>
            </w:r>
            <w:r>
              <w:rPr>
                <w:rFonts w:hint="eastAsia" w:ascii="仿宋" w:hAnsi="仿宋" w:eastAsia="仿宋" w:cs="宋体"/>
                <w:sz w:val="24"/>
                <w:szCs w:val="24"/>
                <w:lang w:val="en-US" w:eastAsia="zh-CN"/>
              </w:rPr>
              <w:t>进行设计</w:t>
            </w:r>
            <w:r>
              <w:rPr>
                <w:rFonts w:hint="eastAsia" w:ascii="仿宋" w:hAnsi="仿宋" w:eastAsia="仿宋" w:cs="宋体"/>
                <w:sz w:val="24"/>
                <w:szCs w:val="24"/>
              </w:rPr>
              <w:t>，方案至少应包括：①对项目整体需求的理解和建议；②技术方案；③进度保障措施；④质量保障措施；⑤</w:t>
            </w:r>
            <w:r>
              <w:rPr>
                <w:rFonts w:hint="eastAsia" w:ascii="仿宋" w:hAnsi="仿宋" w:eastAsia="仿宋" w:cs="宋体"/>
                <w:sz w:val="24"/>
                <w:szCs w:val="24"/>
                <w:lang w:eastAsia="zh-CN"/>
              </w:rPr>
              <w:t>保密</w:t>
            </w:r>
            <w:r>
              <w:rPr>
                <w:rFonts w:hint="eastAsia" w:ascii="仿宋" w:hAnsi="仿宋" w:eastAsia="仿宋" w:cs="宋体"/>
                <w:sz w:val="24"/>
                <w:szCs w:val="24"/>
              </w:rPr>
              <w:t>措施；⑥售后保障服务。</w:t>
            </w:r>
          </w:p>
          <w:p w14:paraId="57769E46">
            <w:pPr>
              <w:jc w:val="left"/>
              <w:rPr>
                <w:rFonts w:ascii="仿宋" w:hAnsi="仿宋" w:eastAsia="仿宋" w:cs="宋体"/>
                <w:b/>
                <w:bCs/>
                <w:sz w:val="24"/>
                <w:szCs w:val="24"/>
              </w:rPr>
            </w:pPr>
            <w:r>
              <w:rPr>
                <w:rFonts w:hint="eastAsia" w:ascii="仿宋" w:hAnsi="仿宋" w:eastAsia="仿宋" w:cs="宋体"/>
                <w:b/>
                <w:bCs/>
                <w:sz w:val="24"/>
                <w:szCs w:val="24"/>
              </w:rPr>
              <w:t>说明：评审小组根据方案的完整性、合理性及操作性等进行评价，以上①~⑥条方案内容全面、科学合理的每条得</w:t>
            </w:r>
            <w:r>
              <w:rPr>
                <w:rFonts w:hint="eastAsia" w:ascii="仿宋" w:hAnsi="仿宋" w:eastAsia="仿宋" w:cs="宋体"/>
                <w:b/>
                <w:bCs/>
                <w:sz w:val="24"/>
                <w:szCs w:val="24"/>
                <w:lang w:val="en-US" w:eastAsia="zh-CN"/>
              </w:rPr>
              <w:t>5</w:t>
            </w:r>
            <w:r>
              <w:rPr>
                <w:rFonts w:hint="eastAsia" w:ascii="仿宋" w:hAnsi="仿宋" w:eastAsia="仿宋" w:cs="宋体"/>
                <w:b/>
                <w:bCs/>
                <w:sz w:val="24"/>
                <w:szCs w:val="24"/>
              </w:rPr>
              <w:t>分；方案较完整、能满足基本保障要求的每条得</w:t>
            </w:r>
            <w:r>
              <w:rPr>
                <w:rFonts w:hint="eastAsia" w:ascii="仿宋" w:hAnsi="仿宋" w:eastAsia="仿宋" w:cs="宋体"/>
                <w:b/>
                <w:bCs/>
                <w:sz w:val="24"/>
                <w:szCs w:val="24"/>
                <w:lang w:val="en-US" w:eastAsia="zh-CN"/>
              </w:rPr>
              <w:t>3</w:t>
            </w:r>
            <w:r>
              <w:rPr>
                <w:rFonts w:hint="eastAsia" w:ascii="仿宋" w:hAnsi="仿宋" w:eastAsia="仿宋" w:cs="宋体"/>
                <w:b/>
                <w:bCs/>
                <w:sz w:val="24"/>
                <w:szCs w:val="24"/>
              </w:rPr>
              <w:t>分；方案有缺失、操作性一般的得</w:t>
            </w:r>
            <w:r>
              <w:rPr>
                <w:rFonts w:hint="eastAsia" w:ascii="仿宋" w:hAnsi="仿宋" w:eastAsia="仿宋" w:cs="宋体"/>
                <w:b/>
                <w:bCs/>
                <w:sz w:val="24"/>
                <w:szCs w:val="24"/>
                <w:lang w:val="en-US" w:eastAsia="zh-CN"/>
              </w:rPr>
              <w:t>1</w:t>
            </w:r>
            <w:r>
              <w:rPr>
                <w:rFonts w:hint="eastAsia" w:ascii="仿宋" w:hAnsi="仿宋" w:eastAsia="仿宋" w:cs="宋体"/>
                <w:b/>
                <w:bCs/>
                <w:sz w:val="24"/>
                <w:szCs w:val="24"/>
              </w:rPr>
              <w:t>分；其他不得分。</w:t>
            </w:r>
          </w:p>
          <w:p w14:paraId="5C67CE73">
            <w:pPr>
              <w:jc w:val="left"/>
              <w:rPr>
                <w:rFonts w:ascii="仿宋" w:hAnsi="仿宋" w:eastAsia="仿宋" w:cs="宋体"/>
                <w:b/>
                <w:bCs/>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30</w:t>
            </w:r>
            <w:r>
              <w:rPr>
                <w:rFonts w:hint="eastAsia" w:ascii="仿宋" w:hAnsi="仿宋" w:eastAsia="仿宋" w:cs="宋体"/>
                <w:b/>
                <w:bCs/>
                <w:sz w:val="24"/>
                <w:szCs w:val="24"/>
              </w:rPr>
              <w:t>分。</w:t>
            </w:r>
          </w:p>
          <w:p w14:paraId="5BD68EBD">
            <w:pPr>
              <w:jc w:val="left"/>
              <w:rPr>
                <w:rFonts w:hint="eastAsia" w:ascii="仿宋" w:hAnsi="仿宋" w:eastAsia="仿宋" w:cs="宋体"/>
                <w:kern w:val="2"/>
                <w:sz w:val="24"/>
                <w:szCs w:val="24"/>
                <w:lang w:val="en-US" w:eastAsia="zh-CN" w:bidi="ar-SA"/>
              </w:rPr>
            </w:pPr>
            <w:r>
              <w:rPr>
                <w:rFonts w:hint="eastAsia" w:ascii="仿宋" w:hAnsi="仿宋" w:eastAsia="仿宋" w:cs="宋体"/>
                <w:b/>
                <w:bCs/>
                <w:sz w:val="24"/>
                <w:szCs w:val="24"/>
              </w:rPr>
              <w:t>【评审依据】：响应文件中提供项目整体实施方案，未提供不得分。</w:t>
            </w:r>
          </w:p>
        </w:tc>
      </w:tr>
    </w:tbl>
    <w:p w14:paraId="633F4C48">
      <w:pPr>
        <w:rPr>
          <w:rFonts w:hint="eastAsia" w:ascii="宋体" w:hAnsi="宋体" w:eastAsia="仿宋" w:cs="宋体"/>
          <w:b/>
          <w:color w:val="333333"/>
          <w:kern w:val="0"/>
          <w:sz w:val="36"/>
          <w:szCs w:val="36"/>
        </w:rPr>
      </w:pPr>
    </w:p>
    <w:p w14:paraId="37449165">
      <w:pPr>
        <w:rPr>
          <w:rFonts w:hint="eastAsia" w:ascii="宋体" w:hAnsi="宋体" w:eastAsia="仿宋" w:cs="宋体"/>
          <w:b/>
          <w:color w:val="333333"/>
          <w:kern w:val="0"/>
          <w:sz w:val="36"/>
          <w:szCs w:val="36"/>
        </w:rPr>
      </w:pPr>
    </w:p>
    <w:p w14:paraId="5077E8EB">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15"/>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83C3535"/>
    <w:p w14:paraId="26A326CD">
      <w:pPr>
        <w:pStyle w:val="15"/>
        <w:ind w:left="0" w:leftChars="0" w:firstLine="0"/>
      </w:pPr>
    </w:p>
    <w:p w14:paraId="6D21F040">
      <w:pP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br w:type="page"/>
      </w:r>
    </w:p>
    <w:p w14:paraId="4DFEE8F5">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9"/>
        <w:adjustRightInd w:val="0"/>
        <w:snapToGrid w:val="0"/>
        <w:spacing w:line="360" w:lineRule="auto"/>
        <w:rPr>
          <w:rFonts w:hint="eastAsia" w:ascii="仿宋_GB2312" w:hAnsi="宋体" w:eastAsia="仿宋_GB2312"/>
          <w:b/>
        </w:rPr>
      </w:pPr>
    </w:p>
    <w:p w14:paraId="495F3925">
      <w:pPr>
        <w:pStyle w:val="9"/>
        <w:adjustRightInd w:val="0"/>
        <w:snapToGrid w:val="0"/>
        <w:spacing w:line="360" w:lineRule="auto"/>
        <w:rPr>
          <w:rFonts w:hint="eastAsia" w:ascii="仿宋_GB2312" w:hAnsi="宋体" w:eastAsia="仿宋_GB2312"/>
          <w:b/>
        </w:rPr>
      </w:pPr>
    </w:p>
    <w:p w14:paraId="002BFB56">
      <w:pPr>
        <w:pStyle w:val="9"/>
        <w:adjustRightInd w:val="0"/>
        <w:snapToGrid w:val="0"/>
        <w:spacing w:line="360" w:lineRule="auto"/>
        <w:rPr>
          <w:rFonts w:hint="eastAsia" w:ascii="仿宋_GB2312" w:hAnsi="宋体" w:eastAsia="仿宋_GB2312"/>
          <w:b/>
        </w:rPr>
      </w:pPr>
    </w:p>
    <w:p w14:paraId="3BA2FD4C">
      <w:pPr>
        <w:pStyle w:val="9"/>
        <w:adjustRightInd w:val="0"/>
        <w:snapToGrid w:val="0"/>
        <w:spacing w:line="360" w:lineRule="auto"/>
        <w:rPr>
          <w:rFonts w:hint="eastAsia" w:ascii="仿宋_GB2312" w:hAnsi="宋体" w:eastAsia="仿宋_GB2312"/>
          <w:b/>
        </w:rPr>
      </w:pPr>
    </w:p>
    <w:p w14:paraId="5C02B142">
      <w:pPr>
        <w:pStyle w:val="9"/>
        <w:adjustRightInd w:val="0"/>
        <w:snapToGrid w:val="0"/>
        <w:spacing w:line="360" w:lineRule="auto"/>
        <w:rPr>
          <w:rFonts w:hint="eastAsia" w:ascii="仿宋_GB2312" w:hAnsi="宋体" w:eastAsia="仿宋_GB2312"/>
          <w:b/>
        </w:rPr>
      </w:pPr>
    </w:p>
    <w:p w14:paraId="625771E2">
      <w:pPr>
        <w:pStyle w:val="9"/>
        <w:adjustRightInd w:val="0"/>
        <w:snapToGrid w:val="0"/>
        <w:spacing w:line="360" w:lineRule="auto"/>
        <w:rPr>
          <w:rFonts w:hint="eastAsia" w:ascii="仿宋_GB2312" w:hAnsi="宋体" w:eastAsia="仿宋_GB2312"/>
          <w:b/>
        </w:rPr>
      </w:pPr>
    </w:p>
    <w:p w14:paraId="4396E67A">
      <w:pPr>
        <w:pStyle w:val="9"/>
        <w:adjustRightInd w:val="0"/>
        <w:snapToGrid w:val="0"/>
        <w:spacing w:line="360" w:lineRule="auto"/>
        <w:rPr>
          <w:rFonts w:hint="eastAsia" w:ascii="仿宋_GB2312" w:hAnsi="宋体" w:eastAsia="仿宋_GB2312"/>
          <w:b/>
        </w:rPr>
      </w:pPr>
    </w:p>
    <w:p w14:paraId="33EE1F5B">
      <w:pPr>
        <w:pStyle w:val="9"/>
        <w:adjustRightInd w:val="0"/>
        <w:snapToGrid w:val="0"/>
        <w:spacing w:line="360" w:lineRule="auto"/>
        <w:rPr>
          <w:rFonts w:hint="eastAsia" w:ascii="仿宋_GB2312" w:hAnsi="宋体" w:eastAsia="仿宋_GB2312"/>
          <w:b/>
        </w:rPr>
      </w:pPr>
    </w:p>
    <w:p w14:paraId="6BA60C6A">
      <w:pPr>
        <w:pStyle w:val="9"/>
        <w:adjustRightInd w:val="0"/>
        <w:snapToGrid w:val="0"/>
        <w:spacing w:line="360" w:lineRule="auto"/>
        <w:rPr>
          <w:rFonts w:hint="eastAsia" w:ascii="仿宋_GB2312" w:hAnsi="宋体" w:eastAsia="仿宋_GB2312"/>
          <w:b/>
        </w:rPr>
      </w:pPr>
    </w:p>
    <w:p w14:paraId="04B3DCF3">
      <w:pPr>
        <w:rPr>
          <w:rFonts w:ascii="仿宋" w:hAnsi="仿宋" w:eastAsia="仿宋"/>
          <w:b/>
          <w:sz w:val="24"/>
          <w:szCs w:val="24"/>
        </w:rPr>
      </w:pPr>
      <w:r>
        <w:rPr>
          <w:rFonts w:ascii="仿宋" w:hAnsi="仿宋" w:eastAsia="仿宋"/>
          <w:b/>
          <w:sz w:val="24"/>
          <w:szCs w:val="24"/>
        </w:rPr>
        <w:br w:type="page"/>
      </w:r>
    </w:p>
    <w:p w14:paraId="2CCC1DC8">
      <w:pPr>
        <w:pStyle w:val="9"/>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9"/>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9"/>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9"/>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9"/>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9"/>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9"/>
        <w:adjustRightInd w:val="0"/>
        <w:snapToGrid w:val="0"/>
        <w:spacing w:line="360" w:lineRule="auto"/>
        <w:rPr>
          <w:rFonts w:hint="eastAsia" w:ascii="仿宋" w:hAnsi="仿宋" w:eastAsia="仿宋"/>
          <w:sz w:val="24"/>
          <w:szCs w:val="24"/>
        </w:rPr>
      </w:pPr>
    </w:p>
    <w:p w14:paraId="5B8CF27D">
      <w:pPr>
        <w:pStyle w:val="9"/>
        <w:adjustRightInd w:val="0"/>
        <w:snapToGrid w:val="0"/>
        <w:spacing w:line="360" w:lineRule="auto"/>
        <w:rPr>
          <w:rFonts w:hint="eastAsia" w:ascii="仿宋" w:hAnsi="仿宋" w:eastAsia="仿宋"/>
          <w:sz w:val="24"/>
          <w:szCs w:val="24"/>
        </w:rPr>
      </w:pPr>
    </w:p>
    <w:p w14:paraId="0E155071">
      <w:pPr>
        <w:pStyle w:val="9"/>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5"/>
      </w:pPr>
    </w:p>
    <w:p w14:paraId="10CB8852"/>
    <w:p w14:paraId="7F870902"/>
    <w:p w14:paraId="78DBABB8">
      <w:pPr>
        <w:pStyle w:val="15"/>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项目</w:t>
      </w:r>
      <w:r>
        <w:rPr>
          <w:rFonts w:hint="eastAsia" w:ascii="仿宋" w:hAnsi="仿宋" w:eastAsia="仿宋"/>
          <w:sz w:val="24"/>
          <w:szCs w:val="24"/>
        </w:rPr>
        <w:t>询比文件，清楚文件中关于本项目的相关采购需求。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5"/>
        <w:rPr>
          <w:rFonts w:hint="eastAsia" w:ascii="仿宋" w:hAnsi="仿宋" w:eastAsia="仿宋"/>
        </w:rPr>
      </w:pPr>
    </w:p>
    <w:p w14:paraId="5550980C">
      <w:pPr>
        <w:pStyle w:val="15"/>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script"/>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2"/>
          <w:jc w:val="center"/>
        </w:pPr>
        <w:r>
          <w:fldChar w:fldCharType="begin"/>
        </w:r>
        <w:r>
          <w:instrText xml:space="preserve">PAGE   \* MERGEFORMAT</w:instrText>
        </w:r>
        <w:r>
          <w:fldChar w:fldCharType="separate"/>
        </w:r>
        <w:r>
          <w:rPr>
            <w:lang w:val="zh-CN"/>
          </w:rPr>
          <w:t>25</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19"/>
      </w:rPr>
    </w:pPr>
    <w:r>
      <w:fldChar w:fldCharType="begin"/>
    </w:r>
    <w:r>
      <w:rPr>
        <w:rStyle w:val="19"/>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561A30"/>
    <w:multiLevelType w:val="singleLevel"/>
    <w:tmpl w:val="CB561A30"/>
    <w:lvl w:ilvl="0" w:tentative="0">
      <w:start w:val="7"/>
      <w:numFmt w:val="chineseCounting"/>
      <w:suff w:val="nothing"/>
      <w:lvlText w:val="%1、"/>
      <w:lvlJc w:val="left"/>
      <w:rPr>
        <w:rFonts w:hint="eastAsia"/>
      </w:rPr>
    </w:lvl>
  </w:abstractNum>
  <w:abstractNum w:abstractNumId="1">
    <w:nsid w:val="5B5E2910"/>
    <w:multiLevelType w:val="singleLevel"/>
    <w:tmpl w:val="5B5E2910"/>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C3721EC"/>
    <w:rsid w:val="0CEC11E8"/>
    <w:rsid w:val="0CFD51A3"/>
    <w:rsid w:val="0D7A240F"/>
    <w:rsid w:val="0FB06655"/>
    <w:rsid w:val="10912321"/>
    <w:rsid w:val="10A1482A"/>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451A26"/>
    <w:rsid w:val="1BB90E2F"/>
    <w:rsid w:val="1D444728"/>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D460049"/>
    <w:rsid w:val="3163566D"/>
    <w:rsid w:val="31D8203D"/>
    <w:rsid w:val="31FA2FC3"/>
    <w:rsid w:val="3248523C"/>
    <w:rsid w:val="353327D7"/>
    <w:rsid w:val="35A3072E"/>
    <w:rsid w:val="35BA60CE"/>
    <w:rsid w:val="38CA49CD"/>
    <w:rsid w:val="39A25CE5"/>
    <w:rsid w:val="39D54C2E"/>
    <w:rsid w:val="3A731769"/>
    <w:rsid w:val="3B3140E6"/>
    <w:rsid w:val="3B8763FC"/>
    <w:rsid w:val="3C0E61D6"/>
    <w:rsid w:val="3D912B45"/>
    <w:rsid w:val="3DC92B7D"/>
    <w:rsid w:val="3E7013C9"/>
    <w:rsid w:val="3F2D1069"/>
    <w:rsid w:val="404D79B1"/>
    <w:rsid w:val="40511DDD"/>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EA6AA2"/>
    <w:rsid w:val="4DF74D1B"/>
    <w:rsid w:val="505E5526"/>
    <w:rsid w:val="50C025FA"/>
    <w:rsid w:val="51CA3B38"/>
    <w:rsid w:val="53425821"/>
    <w:rsid w:val="543D7D43"/>
    <w:rsid w:val="54413194"/>
    <w:rsid w:val="554E608A"/>
    <w:rsid w:val="56D36709"/>
    <w:rsid w:val="56EB5013"/>
    <w:rsid w:val="57A557E8"/>
    <w:rsid w:val="57DD4F82"/>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8B735CD"/>
    <w:rsid w:val="6A400653"/>
    <w:rsid w:val="6A7F45BF"/>
    <w:rsid w:val="6B5A68F5"/>
    <w:rsid w:val="6BBF5D79"/>
    <w:rsid w:val="6BC9041D"/>
    <w:rsid w:val="6DAB7F02"/>
    <w:rsid w:val="719E17CE"/>
    <w:rsid w:val="71CD20B4"/>
    <w:rsid w:val="72567DE8"/>
    <w:rsid w:val="72C16AF2"/>
    <w:rsid w:val="72FA6ED8"/>
    <w:rsid w:val="73A76E7D"/>
    <w:rsid w:val="74A23383"/>
    <w:rsid w:val="75730384"/>
    <w:rsid w:val="78401AE9"/>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3"/>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2"/>
    <w:semiHidden/>
    <w:unhideWhenUsed/>
    <w:qFormat/>
    <w:uiPriority w:val="99"/>
    <w:rPr>
      <w:rFonts w:ascii="宋体"/>
      <w:sz w:val="18"/>
      <w:szCs w:val="18"/>
    </w:rPr>
  </w:style>
  <w:style w:type="paragraph" w:styleId="7">
    <w:name w:val="Body Text"/>
    <w:basedOn w:val="1"/>
    <w:next w:val="1"/>
    <w:link w:val="34"/>
    <w:qFormat/>
    <w:uiPriority w:val="0"/>
    <w:pPr>
      <w:spacing w:after="120"/>
    </w:pPr>
    <w:rPr>
      <w:rFonts w:ascii="Times New Roman" w:hAnsi="Times New Roman"/>
      <w:szCs w:val="24"/>
    </w:rPr>
  </w:style>
  <w:style w:type="paragraph" w:styleId="8">
    <w:name w:val="Body Text Indent"/>
    <w:basedOn w:val="1"/>
    <w:unhideWhenUsed/>
    <w:qFormat/>
    <w:uiPriority w:val="99"/>
    <w:pPr>
      <w:spacing w:after="120"/>
      <w:ind w:left="420" w:leftChars="200"/>
    </w:pPr>
  </w:style>
  <w:style w:type="paragraph" w:styleId="9">
    <w:name w:val="Plain Text"/>
    <w:basedOn w:val="1"/>
    <w:link w:val="27"/>
    <w:qFormat/>
    <w:uiPriority w:val="0"/>
    <w:rPr>
      <w:rFonts w:ascii="宋体" w:hAnsi="Courier New"/>
      <w:kern w:val="0"/>
      <w:szCs w:val="20"/>
    </w:rPr>
  </w:style>
  <w:style w:type="paragraph" w:styleId="10">
    <w:name w:val="Date"/>
    <w:basedOn w:val="1"/>
    <w:next w:val="1"/>
    <w:link w:val="24"/>
    <w:semiHidden/>
    <w:unhideWhenUsed/>
    <w:qFormat/>
    <w:uiPriority w:val="99"/>
    <w:pPr>
      <w:ind w:left="100" w:leftChars="2500"/>
    </w:pPr>
  </w:style>
  <w:style w:type="paragraph" w:styleId="11">
    <w:name w:val="Body Text Indent 2"/>
    <w:basedOn w:val="1"/>
    <w:link w:val="38"/>
    <w:qFormat/>
    <w:uiPriority w:val="99"/>
    <w:pPr>
      <w:spacing w:after="120" w:line="480" w:lineRule="auto"/>
      <w:ind w:left="420" w:leftChars="200"/>
    </w:pPr>
    <w:rPr>
      <w:kern w:val="0"/>
      <w:sz w:val="24"/>
    </w:rPr>
  </w:style>
  <w:style w:type="paragraph" w:styleId="12">
    <w:name w:val="footer"/>
    <w:basedOn w:val="1"/>
    <w:link w:val="21"/>
    <w:unhideWhenUsed/>
    <w:qFormat/>
    <w:uiPriority w:val="99"/>
    <w:pPr>
      <w:tabs>
        <w:tab w:val="center" w:pos="4153"/>
        <w:tab w:val="right" w:pos="8306"/>
      </w:tabs>
      <w:snapToGrid w:val="0"/>
      <w:jc w:val="left"/>
    </w:pPr>
    <w:rPr>
      <w:sz w:val="18"/>
      <w:szCs w:val="18"/>
    </w:rPr>
  </w:style>
  <w:style w:type="paragraph" w:styleId="13">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5">
    <w:name w:val="Body Text First Indent 2"/>
    <w:basedOn w:val="8"/>
    <w:unhideWhenUsed/>
    <w:qFormat/>
    <w:uiPriority w:val="99"/>
    <w:pPr>
      <w:spacing w:before="100" w:beforeAutospacing="1"/>
      <w:ind w:firstLine="420"/>
    </w:pPr>
    <w:rPr>
      <w:szCs w:val="21"/>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customStyle="1" w:styleId="20">
    <w:name w:val="页眉 字符"/>
    <w:basedOn w:val="18"/>
    <w:link w:val="13"/>
    <w:qFormat/>
    <w:uiPriority w:val="0"/>
    <w:rPr>
      <w:rFonts w:ascii="Calibri" w:hAnsi="Calibri" w:eastAsia="宋体" w:cs="Times New Roman"/>
      <w:sz w:val="18"/>
      <w:szCs w:val="18"/>
    </w:rPr>
  </w:style>
  <w:style w:type="character" w:customStyle="1" w:styleId="21">
    <w:name w:val="页脚 字符"/>
    <w:basedOn w:val="18"/>
    <w:link w:val="12"/>
    <w:qFormat/>
    <w:uiPriority w:val="99"/>
    <w:rPr>
      <w:rFonts w:ascii="Calibri" w:hAnsi="Calibri" w:eastAsia="宋体" w:cs="Times New Roman"/>
      <w:sz w:val="18"/>
      <w:szCs w:val="18"/>
    </w:rPr>
  </w:style>
  <w:style w:type="character" w:customStyle="1" w:styleId="22">
    <w:name w:val="文档结构图 字符"/>
    <w:basedOn w:val="18"/>
    <w:link w:val="6"/>
    <w:semiHidden/>
    <w:qFormat/>
    <w:uiPriority w:val="99"/>
    <w:rPr>
      <w:rFonts w:ascii="宋体" w:hAnsi="Calibri" w:eastAsia="宋体" w:cs="Times New Roman"/>
      <w:sz w:val="18"/>
      <w:szCs w:val="18"/>
    </w:rPr>
  </w:style>
  <w:style w:type="paragraph" w:customStyle="1" w:styleId="23">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4">
    <w:name w:val="日期 字符"/>
    <w:basedOn w:val="18"/>
    <w:link w:val="10"/>
    <w:semiHidden/>
    <w:qFormat/>
    <w:uiPriority w:val="99"/>
    <w:rPr>
      <w:rFonts w:ascii="Calibri" w:hAnsi="Calibri" w:eastAsia="宋体" w:cs="Times New Roman"/>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6">
    <w:name w:val="标题 1 字符"/>
    <w:basedOn w:val="18"/>
    <w:link w:val="2"/>
    <w:qFormat/>
    <w:uiPriority w:val="0"/>
    <w:rPr>
      <w:rFonts w:ascii="Cambria" w:hAnsi="Cambria" w:eastAsia="华文中宋" w:cs="Times New Roman"/>
      <w:b/>
      <w:bCs/>
      <w:sz w:val="44"/>
      <w:szCs w:val="28"/>
    </w:rPr>
  </w:style>
  <w:style w:type="character" w:customStyle="1" w:styleId="27">
    <w:name w:val="纯文本 字符"/>
    <w:link w:val="9"/>
    <w:qFormat/>
    <w:locked/>
    <w:uiPriority w:val="0"/>
    <w:rPr>
      <w:rFonts w:ascii="宋体" w:hAnsi="Courier New"/>
      <w:sz w:val="21"/>
    </w:rPr>
  </w:style>
  <w:style w:type="character" w:customStyle="1" w:styleId="28">
    <w:name w:val="纯文本 Char"/>
    <w:basedOn w:val="18"/>
    <w:semiHidden/>
    <w:qFormat/>
    <w:uiPriority w:val="99"/>
    <w:rPr>
      <w:rFonts w:ascii="宋体" w:hAnsi="Courier New" w:cs="Courier New"/>
      <w:kern w:val="2"/>
      <w:sz w:val="21"/>
      <w:szCs w:val="21"/>
    </w:rPr>
  </w:style>
  <w:style w:type="character" w:customStyle="1" w:styleId="29">
    <w:name w:val="标题 2 字符"/>
    <w:basedOn w:val="18"/>
    <w:link w:val="3"/>
    <w:semiHidden/>
    <w:qFormat/>
    <w:uiPriority w:val="9"/>
    <w:rPr>
      <w:rFonts w:asciiTheme="majorHAnsi" w:hAnsiTheme="majorHAnsi" w:eastAsiaTheme="majorEastAsia" w:cstheme="majorBidi"/>
      <w:b/>
      <w:bCs/>
      <w:kern w:val="2"/>
      <w:sz w:val="32"/>
      <w:szCs w:val="32"/>
    </w:rPr>
  </w:style>
  <w:style w:type="paragraph" w:customStyle="1" w:styleId="30">
    <w:name w:val="Table Paragraph"/>
    <w:basedOn w:val="1"/>
    <w:qFormat/>
    <w:uiPriority w:val="1"/>
  </w:style>
  <w:style w:type="paragraph" w:customStyle="1" w:styleId="31">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Char1 Char Char Char Char Char Char Char"/>
    <w:basedOn w:val="1"/>
    <w:qFormat/>
    <w:uiPriority w:val="0"/>
    <w:rPr>
      <w:rFonts w:ascii="Tahoma" w:hAnsi="Tahoma"/>
      <w:sz w:val="24"/>
      <w:szCs w:val="20"/>
    </w:rPr>
  </w:style>
  <w:style w:type="character" w:customStyle="1" w:styleId="33">
    <w:name w:val="标题 6 字符"/>
    <w:basedOn w:val="18"/>
    <w:link w:val="4"/>
    <w:qFormat/>
    <w:uiPriority w:val="9"/>
    <w:rPr>
      <w:rFonts w:asciiTheme="majorHAnsi" w:hAnsiTheme="majorHAnsi" w:eastAsiaTheme="majorEastAsia" w:cstheme="majorBidi"/>
      <w:b/>
      <w:bCs/>
      <w:kern w:val="2"/>
      <w:sz w:val="24"/>
      <w:szCs w:val="24"/>
    </w:rPr>
  </w:style>
  <w:style w:type="character" w:customStyle="1" w:styleId="34">
    <w:name w:val="正文文本 字符"/>
    <w:basedOn w:val="18"/>
    <w:link w:val="7"/>
    <w:qFormat/>
    <w:uiPriority w:val="0"/>
    <w:rPr>
      <w:kern w:val="2"/>
      <w:sz w:val="21"/>
      <w:szCs w:val="24"/>
    </w:rPr>
  </w:style>
  <w:style w:type="paragraph" w:styleId="35">
    <w:name w:val="List Paragraph"/>
    <w:basedOn w:val="1"/>
    <w:qFormat/>
    <w:uiPriority w:val="34"/>
    <w:pPr>
      <w:ind w:firstLine="420" w:firstLineChars="200"/>
    </w:pPr>
    <w:rPr>
      <w:rFonts w:ascii="Times New Roman" w:hAnsi="Times New Roman"/>
      <w:szCs w:val="24"/>
    </w:rPr>
  </w:style>
  <w:style w:type="paragraph" w:customStyle="1" w:styleId="36">
    <w:name w:val="样式 宋体1"/>
    <w:basedOn w:val="1"/>
    <w:qFormat/>
    <w:uiPriority w:val="0"/>
    <w:pPr>
      <w:ind w:firstLine="420" w:firstLineChars="200"/>
      <w:jc w:val="left"/>
    </w:pPr>
    <w:rPr>
      <w:rFonts w:ascii="宋体" w:hAnsi="宋体" w:eastAsia="等线" w:cs="宋体"/>
      <w:szCs w:val="20"/>
    </w:rPr>
  </w:style>
  <w:style w:type="paragraph" w:customStyle="1" w:styleId="37">
    <w:name w:val="Normal_1"/>
    <w:qFormat/>
    <w:uiPriority w:val="0"/>
    <w:rPr>
      <w:rFonts w:ascii="Calibri" w:hAnsi="Calibri" w:eastAsia="宋体" w:cs="Times New Roman"/>
      <w:sz w:val="24"/>
      <w:szCs w:val="24"/>
      <w:lang w:val="en-US" w:eastAsia="zh-CN" w:bidi="ar-SA"/>
    </w:rPr>
  </w:style>
  <w:style w:type="character" w:customStyle="1" w:styleId="38">
    <w:name w:val="正文文本缩进 2 字符"/>
    <w:link w:val="11"/>
    <w:qFormat/>
    <w:uiPriority w:val="99"/>
    <w:rPr>
      <w:rFonts w:ascii="Calibri" w:hAnsi="Calibri"/>
      <w:sz w:val="24"/>
      <w:szCs w:val="22"/>
    </w:rPr>
  </w:style>
  <w:style w:type="paragraph" w:customStyle="1" w:styleId="39">
    <w:name w:val="01 文件标题"/>
    <w:basedOn w:val="1"/>
    <w:next w:val="1"/>
    <w:qFormat/>
    <w:uiPriority w:val="0"/>
    <w:pPr>
      <w:spacing w:line="560" w:lineRule="exact"/>
      <w:jc w:val="center"/>
    </w:pPr>
    <w:rPr>
      <w:rFonts w:ascii="方正小标宋简体" w:eastAsia="方正小标宋简体"/>
      <w:sz w:val="44"/>
    </w:rPr>
  </w:style>
  <w:style w:type="paragraph" w:customStyle="1" w:styleId="40">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1">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3644</Words>
  <Characters>3743</Characters>
  <Lines>31</Lines>
  <Paragraphs>9</Paragraphs>
  <TotalTime>0</TotalTime>
  <ScaleCrop>false</ScaleCrop>
  <LinksUpToDate>false</LinksUpToDate>
  <CharactersWithSpaces>4360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cp:lastModifiedBy>
  <cp:lastPrinted>2020-08-24T02:17:00Z</cp:lastPrinted>
  <dcterms:modified xsi:type="dcterms:W3CDTF">2025-10-29T07:32:18Z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71BD095B578146288028C15B479967F6_13</vt:lpwstr>
  </property>
  <property fmtid="{D5CDD505-2E9C-101B-9397-08002B2CF9AE}" pid="4" name="KSOTemplateDocerSaveRecord">
    <vt:lpwstr>eyJoZGlkIjoiYTRiYjI2YjMwMjViZGJhMzczYzliNzFmZmYyNGE2NDkiLCJ1c2VySWQiOiI0OTQ3NjU2MzMifQ==</vt:lpwstr>
  </property>
</Properties>
</file>