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价</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宋体" w:hAnsi="宋体" w:cs="宋体"/>
          <w:b/>
          <w:bCs/>
          <w:kern w:val="0"/>
          <w:sz w:val="28"/>
          <w:szCs w:val="28"/>
          <w:lang w:val="en-US" w:eastAsia="zh-CN"/>
        </w:rPr>
        <w:t>2026年全校二次供水水箱清洗项目</w:t>
      </w:r>
      <w:r>
        <w:rPr>
          <w:rFonts w:hint="eastAsia" w:ascii="黑体" w:hAnsi="黑体" w:eastAsia="黑体"/>
          <w:kern w:val="0"/>
          <w:sz w:val="32"/>
          <w:szCs w:val="32"/>
        </w:rPr>
        <w:t xml:space="preserve"> </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十二月</w:t>
      </w:r>
      <w:r>
        <w:rPr>
          <w:rFonts w:ascii="黑体" w:hAnsi="黑体" w:eastAsia="黑体"/>
          <w:sz w:val="32"/>
          <w:szCs w:val="32"/>
        </w:rPr>
        <w:t>月</w:t>
      </w:r>
    </w:p>
    <w:p w14:paraId="3FD890A2">
      <w:pPr>
        <w:pStyle w:val="15"/>
      </w:pPr>
    </w:p>
    <w:p w14:paraId="40E4DFFA">
      <w:pPr>
        <w:pStyle w:val="15"/>
        <w:rPr>
          <w:szCs w:val="22"/>
        </w:rPr>
      </w:pPr>
    </w:p>
    <w:p w14:paraId="68B6768F">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lang w:val="en-US" w:eastAsia="zh-CN"/>
        </w:rPr>
        <w:t>2026年全校二次供水水箱清洗</w:t>
      </w:r>
      <w:r>
        <w:rPr>
          <w:rFonts w:hint="eastAsia" w:ascii="黑体" w:hAnsi="黑体" w:eastAsia="黑体"/>
          <w:b/>
          <w:sz w:val="36"/>
          <w:szCs w:val="36"/>
        </w:rPr>
        <w:t>询价</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lang w:val="en-US" w:eastAsia="zh-CN"/>
        </w:rPr>
        <w:t>2026年全校二次供水水箱清洗</w:t>
      </w:r>
      <w:r>
        <w:rPr>
          <w:rFonts w:hint="eastAsia" w:ascii="仿宋" w:hAnsi="仿宋" w:eastAsia="仿宋"/>
          <w:sz w:val="24"/>
          <w:szCs w:val="24"/>
        </w:rPr>
        <w:t>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26475"/>
      <w:bookmarkStart w:id="1" w:name="_Toc3564"/>
      <w:bookmarkStart w:id="2" w:name="_Toc31662_WPSOffice_Level2"/>
      <w:bookmarkStart w:id="3" w:name="_Toc17794_WPSOffice_Level2"/>
      <w:bookmarkStart w:id="4" w:name="_Toc4659"/>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lang w:val="en-US" w:eastAsia="zh-CN"/>
        </w:rPr>
        <w:t>2026年全校二次供水水箱清洗</w:t>
      </w:r>
    </w:p>
    <w:p w14:paraId="3882671F">
      <w:pPr>
        <w:spacing w:line="360" w:lineRule="auto"/>
        <w:ind w:firstLine="480"/>
        <w:rPr>
          <w:rFonts w:hint="eastAsia" w:ascii="仿宋" w:hAnsi="仿宋" w:eastAsia="仿宋"/>
          <w:sz w:val="24"/>
          <w:szCs w:val="24"/>
        </w:rPr>
      </w:pPr>
      <w:r>
        <w:rPr>
          <w:rFonts w:hint="eastAsia" w:ascii="仿宋" w:hAnsi="仿宋" w:eastAsia="仿宋"/>
          <w:sz w:val="24"/>
          <w:szCs w:val="24"/>
        </w:rPr>
        <w:t>2.项目概况:</w:t>
      </w:r>
    </w:p>
    <w:p w14:paraId="7E0E7FD9">
      <w:pPr>
        <w:spacing w:line="360" w:lineRule="auto"/>
        <w:ind w:firstLine="480"/>
        <w:rPr>
          <w:rFonts w:hint="eastAsia"/>
          <w:sz w:val="24"/>
        </w:rPr>
      </w:pPr>
      <w:r>
        <w:rPr>
          <w:rFonts w:hint="eastAsia"/>
          <w:sz w:val="24"/>
        </w:rPr>
        <w:t>田心校区二次供水水箱为</w:t>
      </w:r>
      <w:r>
        <w:rPr>
          <w:rFonts w:hint="eastAsia"/>
          <w:sz w:val="24"/>
          <w:lang w:val="en-US" w:eastAsia="zh-CN"/>
        </w:rPr>
        <w:t>1</w:t>
      </w:r>
      <w:r>
        <w:rPr>
          <w:rFonts w:hint="eastAsia"/>
          <w:sz w:val="24"/>
        </w:rPr>
        <w:t>00m</w:t>
      </w:r>
      <w:r>
        <w:rPr>
          <w:sz w:val="24"/>
        </w:rPr>
        <w:t>³</w:t>
      </w:r>
      <w:r>
        <w:rPr>
          <w:rFonts w:hint="eastAsia"/>
          <w:sz w:val="24"/>
          <w:lang w:val="en-US" w:eastAsia="zh-CN"/>
        </w:rPr>
        <w:t>二</w:t>
      </w:r>
      <w:r>
        <w:rPr>
          <w:rFonts w:hint="eastAsia"/>
          <w:sz w:val="24"/>
        </w:rPr>
        <w:t>组</w:t>
      </w:r>
      <w:r>
        <w:rPr>
          <w:rFonts w:hint="eastAsia"/>
          <w:sz w:val="24"/>
          <w:lang w:val="en-US" w:eastAsia="zh-CN"/>
        </w:rPr>
        <w:t>共200</w:t>
      </w:r>
      <w:r>
        <w:rPr>
          <w:rFonts w:hint="eastAsia"/>
          <w:sz w:val="24"/>
        </w:rPr>
        <w:t>m</w:t>
      </w:r>
      <w:r>
        <w:rPr>
          <w:sz w:val="24"/>
        </w:rPr>
        <w:t>³</w:t>
      </w:r>
      <w:r>
        <w:rPr>
          <w:rFonts w:hint="eastAsia"/>
          <w:sz w:val="24"/>
        </w:rPr>
        <w:t>,云龙校区二次供水水箱为125m</w:t>
      </w:r>
      <w:r>
        <w:rPr>
          <w:sz w:val="24"/>
        </w:rPr>
        <w:t>³</w:t>
      </w:r>
      <w:r>
        <w:rPr>
          <w:rFonts w:hint="eastAsia"/>
          <w:sz w:val="24"/>
        </w:rPr>
        <w:t>二组，共250m</w:t>
      </w:r>
      <w:r>
        <w:rPr>
          <w:sz w:val="24"/>
        </w:rPr>
        <w:t>³</w:t>
      </w:r>
      <w:r>
        <w:rPr>
          <w:rFonts w:hint="eastAsia"/>
          <w:sz w:val="24"/>
        </w:rPr>
        <w:t>。每年清洗作业二次。每次清洗完成后，需具有水质检测资质的第三方机构进行水样检测，保证水质检测合格并提供水质检测报告。如果检测水样不合格，供应商必须重新进行清洗，直至合格为止，且费用自理。</w:t>
      </w:r>
    </w:p>
    <w:p w14:paraId="598CAB8C">
      <w:pPr>
        <w:spacing w:line="360" w:lineRule="auto"/>
        <w:ind w:firstLine="480"/>
        <w:rPr>
          <w:sz w:val="24"/>
        </w:rPr>
      </w:pPr>
      <w:r>
        <w:rPr>
          <w:rFonts w:hint="eastAsia"/>
          <w:sz w:val="24"/>
        </w:rPr>
        <w:t>提供日常消毒药剂和水质检测药剂及比色计。消毒药剂必须含涉水卫生批件。</w:t>
      </w:r>
    </w:p>
    <w:p w14:paraId="790535E9">
      <w:pPr>
        <w:widowControl/>
        <w:numPr>
          <w:ilvl w:val="0"/>
          <w:numId w:val="0"/>
        </w:numPr>
        <w:spacing w:line="480" w:lineRule="exact"/>
        <w:ind w:firstLine="480" w:firstLineChars="200"/>
        <w:jc w:val="left"/>
        <w:rPr>
          <w:rFonts w:hint="eastAsia" w:ascii="宋体" w:hAnsi="宋体" w:cs="宋体"/>
          <w:bCs/>
          <w:sz w:val="24"/>
        </w:rPr>
      </w:pPr>
      <w:r>
        <w:rPr>
          <w:rFonts w:hint="eastAsia" w:ascii="宋体" w:hAnsi="宋体" w:cs="宋体"/>
          <w:kern w:val="0"/>
          <w:sz w:val="24"/>
        </w:rPr>
        <w:t>进行</w:t>
      </w:r>
      <w:r>
        <w:rPr>
          <w:rFonts w:hint="eastAsia" w:ascii="宋体" w:hAnsi="宋体" w:cs="宋体"/>
          <w:bCs/>
          <w:sz w:val="24"/>
        </w:rPr>
        <w:t>采购方式：校内询价</w:t>
      </w:r>
    </w:p>
    <w:p w14:paraId="077E07BF">
      <w:pPr>
        <w:widowControl/>
        <w:numPr>
          <w:ilvl w:val="0"/>
          <w:numId w:val="0"/>
        </w:numPr>
        <w:spacing w:line="480" w:lineRule="exact"/>
        <w:ind w:firstLine="480" w:firstLineChars="200"/>
        <w:jc w:val="left"/>
        <w:rPr>
          <w:rFonts w:hint="eastAsia" w:ascii="宋体" w:hAnsi="宋体" w:eastAsia="宋体" w:cs="宋体"/>
          <w:color w:val="000000"/>
          <w:sz w:val="24"/>
          <w:lang w:eastAsia="zh-CN"/>
        </w:rPr>
      </w:pPr>
      <w:r>
        <w:rPr>
          <w:rFonts w:hint="eastAsia"/>
          <w:sz w:val="24"/>
        </w:rPr>
        <w:t>预算金额为3.8万元（包含水质消毒药剂和水质检测药剂）。</w:t>
      </w:r>
    </w:p>
    <w:p w14:paraId="023C246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p>
    <w:p w14:paraId="55E3992C">
      <w:pPr>
        <w:pStyle w:val="15"/>
        <w:numPr>
          <w:ilvl w:val="0"/>
          <w:numId w:val="1"/>
        </w:numPr>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服务内容：</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843"/>
        <w:gridCol w:w="2066"/>
        <w:gridCol w:w="990"/>
        <w:gridCol w:w="945"/>
        <w:gridCol w:w="1620"/>
      </w:tblGrid>
      <w:tr w14:paraId="185BB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149121EA">
            <w:pPr>
              <w:spacing w:line="0" w:lineRule="atLeast"/>
              <w:jc w:val="center"/>
              <w:rPr>
                <w:rFonts w:hint="eastAsia"/>
                <w:sz w:val="24"/>
              </w:rPr>
            </w:pPr>
            <w:r>
              <w:rPr>
                <w:rFonts w:hint="eastAsia"/>
                <w:sz w:val="24"/>
              </w:rPr>
              <w:t>序号</w:t>
            </w:r>
          </w:p>
        </w:tc>
        <w:tc>
          <w:tcPr>
            <w:tcW w:w="1843" w:type="dxa"/>
            <w:noWrap w:val="0"/>
            <w:vAlign w:val="center"/>
          </w:tcPr>
          <w:p w14:paraId="1635CAE3">
            <w:pPr>
              <w:spacing w:line="0" w:lineRule="atLeast"/>
              <w:jc w:val="center"/>
              <w:rPr>
                <w:rFonts w:hint="eastAsia"/>
                <w:sz w:val="24"/>
              </w:rPr>
            </w:pPr>
            <w:r>
              <w:rPr>
                <w:rFonts w:hint="eastAsia"/>
                <w:sz w:val="24"/>
              </w:rPr>
              <w:t>名称</w:t>
            </w:r>
          </w:p>
        </w:tc>
        <w:tc>
          <w:tcPr>
            <w:tcW w:w="2066" w:type="dxa"/>
            <w:noWrap w:val="0"/>
            <w:vAlign w:val="center"/>
          </w:tcPr>
          <w:p w14:paraId="05725728">
            <w:pPr>
              <w:spacing w:line="0" w:lineRule="atLeast"/>
              <w:jc w:val="center"/>
              <w:rPr>
                <w:rFonts w:hint="eastAsia"/>
                <w:sz w:val="24"/>
              </w:rPr>
            </w:pPr>
            <w:r>
              <w:rPr>
                <w:rFonts w:hint="eastAsia"/>
                <w:sz w:val="24"/>
              </w:rPr>
              <w:t>规格</w:t>
            </w:r>
          </w:p>
        </w:tc>
        <w:tc>
          <w:tcPr>
            <w:tcW w:w="990" w:type="dxa"/>
            <w:noWrap w:val="0"/>
            <w:vAlign w:val="center"/>
          </w:tcPr>
          <w:p w14:paraId="19207590">
            <w:pPr>
              <w:spacing w:line="0" w:lineRule="atLeast"/>
              <w:jc w:val="center"/>
              <w:rPr>
                <w:rFonts w:hint="eastAsia"/>
                <w:sz w:val="24"/>
              </w:rPr>
            </w:pPr>
            <w:r>
              <w:rPr>
                <w:rFonts w:hint="eastAsia"/>
                <w:sz w:val="24"/>
              </w:rPr>
              <w:t>材质</w:t>
            </w:r>
          </w:p>
        </w:tc>
        <w:tc>
          <w:tcPr>
            <w:tcW w:w="945" w:type="dxa"/>
            <w:noWrap w:val="0"/>
            <w:vAlign w:val="center"/>
          </w:tcPr>
          <w:p w14:paraId="5B40622D">
            <w:pPr>
              <w:spacing w:line="0" w:lineRule="atLeast"/>
              <w:jc w:val="center"/>
              <w:rPr>
                <w:rFonts w:hint="eastAsia"/>
                <w:sz w:val="24"/>
              </w:rPr>
            </w:pPr>
            <w:r>
              <w:rPr>
                <w:rFonts w:hint="eastAsia"/>
                <w:sz w:val="24"/>
              </w:rPr>
              <w:t>数量</w:t>
            </w:r>
          </w:p>
        </w:tc>
        <w:tc>
          <w:tcPr>
            <w:tcW w:w="1620" w:type="dxa"/>
            <w:noWrap w:val="0"/>
            <w:vAlign w:val="center"/>
          </w:tcPr>
          <w:p w14:paraId="1259D8E5">
            <w:pPr>
              <w:spacing w:line="0" w:lineRule="atLeast"/>
              <w:jc w:val="center"/>
              <w:rPr>
                <w:rFonts w:hint="eastAsia"/>
                <w:sz w:val="24"/>
              </w:rPr>
            </w:pPr>
            <w:r>
              <w:rPr>
                <w:rFonts w:hint="eastAsia"/>
                <w:sz w:val="24"/>
              </w:rPr>
              <w:t>备注</w:t>
            </w:r>
          </w:p>
        </w:tc>
      </w:tr>
      <w:tr w14:paraId="7650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7D1EAD18">
            <w:pPr>
              <w:spacing w:line="0" w:lineRule="atLeast"/>
              <w:jc w:val="center"/>
              <w:rPr>
                <w:rFonts w:hint="eastAsia"/>
                <w:sz w:val="24"/>
              </w:rPr>
            </w:pPr>
            <w:r>
              <w:rPr>
                <w:rFonts w:hint="eastAsia"/>
                <w:sz w:val="24"/>
              </w:rPr>
              <w:t>1</w:t>
            </w:r>
          </w:p>
        </w:tc>
        <w:tc>
          <w:tcPr>
            <w:tcW w:w="1843" w:type="dxa"/>
            <w:noWrap w:val="0"/>
            <w:vAlign w:val="center"/>
          </w:tcPr>
          <w:p w14:paraId="563DDD76">
            <w:pPr>
              <w:spacing w:line="0" w:lineRule="atLeast"/>
              <w:jc w:val="center"/>
              <w:rPr>
                <w:rFonts w:hint="eastAsia"/>
                <w:sz w:val="24"/>
              </w:rPr>
            </w:pPr>
            <w:r>
              <w:rPr>
                <w:rFonts w:hint="eastAsia"/>
                <w:sz w:val="24"/>
              </w:rPr>
              <w:t>云龙校区</w:t>
            </w:r>
          </w:p>
        </w:tc>
        <w:tc>
          <w:tcPr>
            <w:tcW w:w="2066" w:type="dxa"/>
            <w:noWrap w:val="0"/>
            <w:vAlign w:val="center"/>
          </w:tcPr>
          <w:p w14:paraId="73BF2F32">
            <w:pPr>
              <w:spacing w:line="0" w:lineRule="atLeast"/>
              <w:jc w:val="center"/>
              <w:rPr>
                <w:rFonts w:hint="eastAsia"/>
                <w:sz w:val="24"/>
              </w:rPr>
            </w:pPr>
            <w:r>
              <w:rPr>
                <w:rFonts w:hint="eastAsia"/>
                <w:sz w:val="24"/>
              </w:rPr>
              <w:t>125m</w:t>
            </w:r>
            <w:r>
              <w:rPr>
                <w:sz w:val="24"/>
              </w:rPr>
              <w:t>³</w:t>
            </w:r>
          </w:p>
        </w:tc>
        <w:tc>
          <w:tcPr>
            <w:tcW w:w="990" w:type="dxa"/>
            <w:noWrap w:val="0"/>
            <w:vAlign w:val="center"/>
          </w:tcPr>
          <w:p w14:paraId="5817259E">
            <w:pPr>
              <w:spacing w:line="0" w:lineRule="atLeast"/>
              <w:jc w:val="center"/>
              <w:rPr>
                <w:rFonts w:hint="eastAsia"/>
                <w:sz w:val="24"/>
              </w:rPr>
            </w:pPr>
            <w:r>
              <w:rPr>
                <w:rFonts w:hint="eastAsia"/>
                <w:sz w:val="24"/>
              </w:rPr>
              <w:t>不锈钢</w:t>
            </w:r>
          </w:p>
        </w:tc>
        <w:tc>
          <w:tcPr>
            <w:tcW w:w="945" w:type="dxa"/>
            <w:noWrap w:val="0"/>
            <w:vAlign w:val="center"/>
          </w:tcPr>
          <w:p w14:paraId="2F5704A0">
            <w:pPr>
              <w:spacing w:line="0" w:lineRule="atLeast"/>
              <w:jc w:val="center"/>
              <w:rPr>
                <w:sz w:val="24"/>
              </w:rPr>
            </w:pPr>
            <w:r>
              <w:rPr>
                <w:rFonts w:hint="eastAsia"/>
                <w:sz w:val="24"/>
              </w:rPr>
              <w:t>2个</w:t>
            </w:r>
          </w:p>
        </w:tc>
        <w:tc>
          <w:tcPr>
            <w:tcW w:w="1620" w:type="dxa"/>
            <w:noWrap w:val="0"/>
            <w:vAlign w:val="center"/>
          </w:tcPr>
          <w:p w14:paraId="441C23D1">
            <w:pPr>
              <w:spacing w:line="0" w:lineRule="atLeast"/>
              <w:jc w:val="center"/>
              <w:rPr>
                <w:rFonts w:hint="eastAsia" w:eastAsia="宋体"/>
                <w:sz w:val="24"/>
                <w:lang w:val="en-US" w:eastAsia="zh-CN"/>
              </w:rPr>
            </w:pPr>
            <w:r>
              <w:rPr>
                <w:rFonts w:hint="eastAsia"/>
                <w:sz w:val="24"/>
                <w:lang w:val="en-US" w:eastAsia="zh-CN"/>
              </w:rPr>
              <w:t>上下半年</w:t>
            </w:r>
            <w:r>
              <w:rPr>
                <w:rFonts w:hint="eastAsia"/>
                <w:sz w:val="24"/>
              </w:rPr>
              <w:t>清洗</w:t>
            </w:r>
            <w:r>
              <w:rPr>
                <w:rFonts w:hint="eastAsia"/>
                <w:sz w:val="24"/>
                <w:lang w:val="en-US" w:eastAsia="zh-CN"/>
              </w:rPr>
              <w:t>二次</w:t>
            </w:r>
          </w:p>
        </w:tc>
      </w:tr>
      <w:tr w14:paraId="6E74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31F8823B">
            <w:pPr>
              <w:spacing w:line="0" w:lineRule="atLeast"/>
              <w:jc w:val="center"/>
              <w:rPr>
                <w:rFonts w:hint="eastAsia"/>
                <w:sz w:val="24"/>
              </w:rPr>
            </w:pPr>
            <w:r>
              <w:rPr>
                <w:rFonts w:hint="eastAsia"/>
                <w:sz w:val="24"/>
              </w:rPr>
              <w:t>2</w:t>
            </w:r>
          </w:p>
        </w:tc>
        <w:tc>
          <w:tcPr>
            <w:tcW w:w="1843" w:type="dxa"/>
            <w:noWrap w:val="0"/>
            <w:vAlign w:val="center"/>
          </w:tcPr>
          <w:p w14:paraId="68D11778">
            <w:pPr>
              <w:spacing w:line="0" w:lineRule="atLeast"/>
              <w:jc w:val="center"/>
              <w:rPr>
                <w:rFonts w:hint="eastAsia"/>
                <w:sz w:val="24"/>
              </w:rPr>
            </w:pPr>
            <w:r>
              <w:rPr>
                <w:rFonts w:hint="eastAsia"/>
                <w:sz w:val="24"/>
              </w:rPr>
              <w:t>田心校区</w:t>
            </w:r>
          </w:p>
        </w:tc>
        <w:tc>
          <w:tcPr>
            <w:tcW w:w="2066" w:type="dxa"/>
            <w:noWrap w:val="0"/>
            <w:vAlign w:val="center"/>
          </w:tcPr>
          <w:p w14:paraId="5BF68BDC">
            <w:pPr>
              <w:spacing w:line="0" w:lineRule="atLeast"/>
              <w:jc w:val="center"/>
              <w:rPr>
                <w:rFonts w:hint="eastAsia"/>
                <w:sz w:val="24"/>
              </w:rPr>
            </w:pPr>
            <w:r>
              <w:rPr>
                <w:rFonts w:hint="eastAsia"/>
                <w:sz w:val="24"/>
                <w:lang w:val="en-US" w:eastAsia="zh-CN"/>
              </w:rPr>
              <w:t>100</w:t>
            </w:r>
            <w:r>
              <w:rPr>
                <w:rFonts w:hint="eastAsia"/>
                <w:sz w:val="24"/>
              </w:rPr>
              <w:t>m</w:t>
            </w:r>
            <w:r>
              <w:rPr>
                <w:sz w:val="24"/>
              </w:rPr>
              <w:t>³</w:t>
            </w:r>
          </w:p>
        </w:tc>
        <w:tc>
          <w:tcPr>
            <w:tcW w:w="990" w:type="dxa"/>
            <w:noWrap w:val="0"/>
            <w:vAlign w:val="center"/>
          </w:tcPr>
          <w:p w14:paraId="5573F1FB">
            <w:pPr>
              <w:spacing w:line="0" w:lineRule="atLeast"/>
              <w:jc w:val="center"/>
              <w:rPr>
                <w:rFonts w:hint="eastAsia"/>
                <w:sz w:val="24"/>
              </w:rPr>
            </w:pPr>
            <w:r>
              <w:rPr>
                <w:rFonts w:hint="eastAsia"/>
                <w:sz w:val="24"/>
              </w:rPr>
              <w:t>不锈钢</w:t>
            </w:r>
          </w:p>
        </w:tc>
        <w:tc>
          <w:tcPr>
            <w:tcW w:w="945" w:type="dxa"/>
            <w:noWrap w:val="0"/>
            <w:vAlign w:val="center"/>
          </w:tcPr>
          <w:p w14:paraId="2BF6F209">
            <w:pPr>
              <w:spacing w:line="0" w:lineRule="atLeast"/>
              <w:jc w:val="center"/>
              <w:rPr>
                <w:sz w:val="24"/>
              </w:rPr>
            </w:pPr>
            <w:r>
              <w:rPr>
                <w:rFonts w:hint="eastAsia"/>
                <w:sz w:val="24"/>
                <w:lang w:val="en-US" w:eastAsia="zh-CN"/>
              </w:rPr>
              <w:t>2</w:t>
            </w:r>
            <w:r>
              <w:rPr>
                <w:rFonts w:hint="eastAsia"/>
                <w:sz w:val="24"/>
              </w:rPr>
              <w:t>个</w:t>
            </w:r>
          </w:p>
        </w:tc>
        <w:tc>
          <w:tcPr>
            <w:tcW w:w="1620" w:type="dxa"/>
            <w:noWrap w:val="0"/>
            <w:vAlign w:val="center"/>
          </w:tcPr>
          <w:p w14:paraId="57CA11CA">
            <w:pPr>
              <w:spacing w:line="0" w:lineRule="atLeast"/>
              <w:jc w:val="center"/>
              <w:rPr>
                <w:rFonts w:hint="eastAsia"/>
                <w:sz w:val="24"/>
              </w:rPr>
            </w:pPr>
            <w:r>
              <w:rPr>
                <w:rFonts w:hint="eastAsia"/>
                <w:sz w:val="24"/>
                <w:lang w:val="en-US" w:eastAsia="zh-CN"/>
              </w:rPr>
              <w:t>上下半年</w:t>
            </w:r>
            <w:r>
              <w:rPr>
                <w:rFonts w:hint="eastAsia"/>
                <w:sz w:val="24"/>
              </w:rPr>
              <w:t>清洗</w:t>
            </w:r>
            <w:r>
              <w:rPr>
                <w:rFonts w:hint="eastAsia"/>
                <w:sz w:val="24"/>
                <w:lang w:val="en-US" w:eastAsia="zh-CN"/>
              </w:rPr>
              <w:t>二次</w:t>
            </w:r>
          </w:p>
        </w:tc>
      </w:tr>
      <w:tr w14:paraId="2637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2B7B2B98">
            <w:pPr>
              <w:spacing w:line="0" w:lineRule="atLeast"/>
              <w:jc w:val="center"/>
              <w:rPr>
                <w:rFonts w:hint="eastAsia"/>
                <w:sz w:val="24"/>
              </w:rPr>
            </w:pPr>
            <w:r>
              <w:rPr>
                <w:rFonts w:hint="eastAsia"/>
                <w:sz w:val="24"/>
              </w:rPr>
              <w:t>3</w:t>
            </w:r>
          </w:p>
        </w:tc>
        <w:tc>
          <w:tcPr>
            <w:tcW w:w="1843" w:type="dxa"/>
            <w:noWrap w:val="0"/>
            <w:vAlign w:val="center"/>
          </w:tcPr>
          <w:p w14:paraId="4B93BD07">
            <w:pPr>
              <w:spacing w:line="0" w:lineRule="atLeast"/>
              <w:jc w:val="center"/>
              <w:rPr>
                <w:sz w:val="24"/>
              </w:rPr>
            </w:pPr>
            <w:r>
              <w:rPr>
                <w:rFonts w:hint="eastAsia"/>
                <w:sz w:val="24"/>
              </w:rPr>
              <w:t>水质检测报告</w:t>
            </w:r>
          </w:p>
        </w:tc>
        <w:tc>
          <w:tcPr>
            <w:tcW w:w="2066" w:type="dxa"/>
            <w:noWrap w:val="0"/>
            <w:vAlign w:val="center"/>
          </w:tcPr>
          <w:p w14:paraId="04AB8011">
            <w:pPr>
              <w:spacing w:line="0" w:lineRule="atLeast"/>
              <w:jc w:val="center"/>
              <w:rPr>
                <w:sz w:val="24"/>
              </w:rPr>
            </w:pPr>
            <w:r>
              <w:rPr>
                <w:rFonts w:hint="eastAsia"/>
                <w:sz w:val="24"/>
              </w:rPr>
              <w:t>8项水质检测</w:t>
            </w:r>
          </w:p>
        </w:tc>
        <w:tc>
          <w:tcPr>
            <w:tcW w:w="990" w:type="dxa"/>
            <w:noWrap w:val="0"/>
            <w:vAlign w:val="center"/>
          </w:tcPr>
          <w:p w14:paraId="3656CC6B">
            <w:pPr>
              <w:spacing w:line="0" w:lineRule="atLeast"/>
              <w:jc w:val="center"/>
              <w:rPr>
                <w:rFonts w:hint="eastAsia"/>
                <w:sz w:val="24"/>
              </w:rPr>
            </w:pPr>
          </w:p>
        </w:tc>
        <w:tc>
          <w:tcPr>
            <w:tcW w:w="945" w:type="dxa"/>
            <w:noWrap w:val="0"/>
            <w:vAlign w:val="center"/>
          </w:tcPr>
          <w:p w14:paraId="49AE98F6">
            <w:pPr>
              <w:spacing w:line="0" w:lineRule="atLeast"/>
              <w:jc w:val="center"/>
              <w:rPr>
                <w:sz w:val="24"/>
              </w:rPr>
            </w:pPr>
            <w:r>
              <w:rPr>
                <w:rFonts w:hint="eastAsia"/>
                <w:sz w:val="24"/>
                <w:lang w:val="en-US" w:eastAsia="zh-CN"/>
              </w:rPr>
              <w:t>4</w:t>
            </w:r>
            <w:r>
              <w:rPr>
                <w:rFonts w:hint="eastAsia"/>
                <w:sz w:val="24"/>
              </w:rPr>
              <w:t>份</w:t>
            </w:r>
          </w:p>
        </w:tc>
        <w:tc>
          <w:tcPr>
            <w:tcW w:w="1620" w:type="dxa"/>
            <w:noWrap w:val="0"/>
            <w:vAlign w:val="center"/>
          </w:tcPr>
          <w:p w14:paraId="69FCE462">
            <w:pPr>
              <w:spacing w:line="0" w:lineRule="atLeast"/>
              <w:jc w:val="center"/>
              <w:rPr>
                <w:rFonts w:hint="default" w:eastAsia="宋体"/>
                <w:sz w:val="24"/>
                <w:lang w:val="en-US" w:eastAsia="zh-CN"/>
              </w:rPr>
            </w:pPr>
            <w:r>
              <w:rPr>
                <w:rFonts w:hint="eastAsia"/>
                <w:sz w:val="24"/>
                <w:lang w:val="en-US" w:eastAsia="zh-CN"/>
              </w:rPr>
              <w:t>田心校区、云龙校区，上下半年各二份共计四份</w:t>
            </w:r>
          </w:p>
        </w:tc>
      </w:tr>
      <w:tr w14:paraId="431D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restart"/>
            <w:noWrap w:val="0"/>
            <w:vAlign w:val="center"/>
          </w:tcPr>
          <w:p w14:paraId="4E219CC8">
            <w:pPr>
              <w:spacing w:line="0" w:lineRule="atLeast"/>
              <w:jc w:val="center"/>
              <w:rPr>
                <w:rFonts w:hint="eastAsia"/>
                <w:sz w:val="24"/>
              </w:rPr>
            </w:pPr>
            <w:r>
              <w:rPr>
                <w:rFonts w:hint="eastAsia"/>
                <w:sz w:val="24"/>
              </w:rPr>
              <w:t>4</w:t>
            </w:r>
          </w:p>
        </w:tc>
        <w:tc>
          <w:tcPr>
            <w:tcW w:w="1843" w:type="dxa"/>
            <w:vMerge w:val="restart"/>
            <w:noWrap w:val="0"/>
            <w:vAlign w:val="center"/>
          </w:tcPr>
          <w:p w14:paraId="0D6FDB4B">
            <w:pPr>
              <w:spacing w:line="0" w:lineRule="atLeast"/>
              <w:jc w:val="center"/>
              <w:rPr>
                <w:sz w:val="24"/>
              </w:rPr>
            </w:pPr>
            <w:r>
              <w:rPr>
                <w:rFonts w:hint="eastAsia"/>
                <w:sz w:val="24"/>
              </w:rPr>
              <w:t>药剂</w:t>
            </w:r>
          </w:p>
        </w:tc>
        <w:tc>
          <w:tcPr>
            <w:tcW w:w="2066" w:type="dxa"/>
            <w:noWrap w:val="0"/>
            <w:vAlign w:val="center"/>
          </w:tcPr>
          <w:p w14:paraId="1BEB43D0">
            <w:pPr>
              <w:spacing w:line="0" w:lineRule="atLeast"/>
              <w:jc w:val="center"/>
              <w:rPr>
                <w:rFonts w:hint="eastAsia"/>
                <w:sz w:val="24"/>
              </w:rPr>
            </w:pPr>
            <w:r>
              <w:rPr>
                <w:rFonts w:hint="eastAsia"/>
                <w:sz w:val="24"/>
              </w:rPr>
              <w:t>高纯二氧化氯消毒粉剂</w:t>
            </w:r>
          </w:p>
        </w:tc>
        <w:tc>
          <w:tcPr>
            <w:tcW w:w="990" w:type="dxa"/>
            <w:noWrap w:val="0"/>
            <w:vAlign w:val="center"/>
          </w:tcPr>
          <w:p w14:paraId="11276585">
            <w:pPr>
              <w:spacing w:line="0" w:lineRule="atLeast"/>
              <w:jc w:val="center"/>
              <w:rPr>
                <w:rFonts w:hint="eastAsia"/>
                <w:sz w:val="24"/>
              </w:rPr>
            </w:pPr>
          </w:p>
        </w:tc>
        <w:tc>
          <w:tcPr>
            <w:tcW w:w="945" w:type="dxa"/>
            <w:noWrap w:val="0"/>
            <w:vAlign w:val="center"/>
          </w:tcPr>
          <w:p w14:paraId="211C7A01">
            <w:pPr>
              <w:spacing w:line="0" w:lineRule="atLeast"/>
              <w:jc w:val="center"/>
              <w:rPr>
                <w:sz w:val="24"/>
              </w:rPr>
            </w:pPr>
            <w:r>
              <w:rPr>
                <w:rFonts w:hint="eastAsia"/>
                <w:sz w:val="24"/>
              </w:rPr>
              <w:t>22瓶</w:t>
            </w:r>
          </w:p>
        </w:tc>
        <w:tc>
          <w:tcPr>
            <w:tcW w:w="1620" w:type="dxa"/>
            <w:noWrap w:val="0"/>
            <w:vAlign w:val="center"/>
          </w:tcPr>
          <w:p w14:paraId="2D6E4E2A">
            <w:pPr>
              <w:spacing w:line="0" w:lineRule="atLeast"/>
              <w:jc w:val="center"/>
              <w:rPr>
                <w:rFonts w:hint="eastAsia"/>
                <w:sz w:val="24"/>
              </w:rPr>
            </w:pPr>
            <w:r>
              <w:rPr>
                <w:rFonts w:hint="eastAsia"/>
                <w:sz w:val="24"/>
              </w:rPr>
              <w:t>云龙：12瓶</w:t>
            </w:r>
          </w:p>
          <w:p w14:paraId="6FC00735">
            <w:pPr>
              <w:spacing w:line="0" w:lineRule="atLeast"/>
              <w:jc w:val="center"/>
              <w:rPr>
                <w:sz w:val="24"/>
              </w:rPr>
            </w:pPr>
            <w:r>
              <w:rPr>
                <w:rFonts w:hint="eastAsia"/>
                <w:sz w:val="24"/>
              </w:rPr>
              <w:t>田心：10瓶</w:t>
            </w:r>
          </w:p>
        </w:tc>
      </w:tr>
      <w:tr w14:paraId="5252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noWrap w:val="0"/>
            <w:vAlign w:val="center"/>
          </w:tcPr>
          <w:p w14:paraId="11432EAF">
            <w:pPr>
              <w:spacing w:line="0" w:lineRule="atLeast"/>
              <w:jc w:val="center"/>
              <w:rPr>
                <w:rFonts w:hint="eastAsia"/>
                <w:sz w:val="24"/>
              </w:rPr>
            </w:pPr>
          </w:p>
        </w:tc>
        <w:tc>
          <w:tcPr>
            <w:tcW w:w="1843" w:type="dxa"/>
            <w:vMerge w:val="continue"/>
            <w:noWrap w:val="0"/>
            <w:vAlign w:val="center"/>
          </w:tcPr>
          <w:p w14:paraId="23BD29FC">
            <w:pPr>
              <w:spacing w:line="0" w:lineRule="atLeast"/>
              <w:jc w:val="center"/>
              <w:rPr>
                <w:rFonts w:hint="eastAsia"/>
                <w:sz w:val="24"/>
              </w:rPr>
            </w:pPr>
          </w:p>
        </w:tc>
        <w:tc>
          <w:tcPr>
            <w:tcW w:w="2066" w:type="dxa"/>
            <w:noWrap w:val="0"/>
            <w:vAlign w:val="center"/>
          </w:tcPr>
          <w:p w14:paraId="32E7790A">
            <w:pPr>
              <w:spacing w:line="0" w:lineRule="atLeast"/>
              <w:jc w:val="center"/>
              <w:rPr>
                <w:rFonts w:hint="eastAsia"/>
                <w:sz w:val="24"/>
              </w:rPr>
            </w:pPr>
            <w:r>
              <w:rPr>
                <w:rFonts w:hint="eastAsia"/>
                <w:sz w:val="24"/>
              </w:rPr>
              <w:t>甲土立丁溶液</w:t>
            </w:r>
          </w:p>
        </w:tc>
        <w:tc>
          <w:tcPr>
            <w:tcW w:w="990" w:type="dxa"/>
            <w:noWrap w:val="0"/>
            <w:vAlign w:val="center"/>
          </w:tcPr>
          <w:p w14:paraId="1A022926">
            <w:pPr>
              <w:spacing w:line="0" w:lineRule="atLeast"/>
              <w:jc w:val="center"/>
              <w:rPr>
                <w:rFonts w:hint="eastAsia"/>
                <w:sz w:val="24"/>
              </w:rPr>
            </w:pPr>
          </w:p>
        </w:tc>
        <w:tc>
          <w:tcPr>
            <w:tcW w:w="945" w:type="dxa"/>
            <w:noWrap w:val="0"/>
            <w:vAlign w:val="center"/>
          </w:tcPr>
          <w:p w14:paraId="0A039B4D">
            <w:pPr>
              <w:spacing w:line="0" w:lineRule="atLeast"/>
              <w:jc w:val="center"/>
              <w:rPr>
                <w:sz w:val="24"/>
              </w:rPr>
            </w:pPr>
            <w:r>
              <w:rPr>
                <w:rFonts w:hint="eastAsia"/>
                <w:sz w:val="24"/>
              </w:rPr>
              <w:t>2瓶</w:t>
            </w:r>
          </w:p>
        </w:tc>
        <w:tc>
          <w:tcPr>
            <w:tcW w:w="1620" w:type="dxa"/>
            <w:noWrap w:val="0"/>
            <w:vAlign w:val="center"/>
          </w:tcPr>
          <w:p w14:paraId="5E528407">
            <w:pPr>
              <w:spacing w:line="0" w:lineRule="atLeast"/>
              <w:jc w:val="center"/>
              <w:rPr>
                <w:rFonts w:hint="eastAsia"/>
                <w:sz w:val="24"/>
              </w:rPr>
            </w:pPr>
            <w:r>
              <w:rPr>
                <w:rFonts w:hint="eastAsia"/>
                <w:sz w:val="24"/>
              </w:rPr>
              <w:t>云龙：1瓶</w:t>
            </w:r>
          </w:p>
          <w:p w14:paraId="5031D810">
            <w:pPr>
              <w:spacing w:line="0" w:lineRule="atLeast"/>
              <w:jc w:val="center"/>
              <w:rPr>
                <w:sz w:val="24"/>
              </w:rPr>
            </w:pPr>
            <w:r>
              <w:rPr>
                <w:rFonts w:hint="eastAsia"/>
                <w:sz w:val="24"/>
              </w:rPr>
              <w:t>田心：1瓶</w:t>
            </w:r>
          </w:p>
        </w:tc>
      </w:tr>
      <w:tr w14:paraId="4D84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4EC12338">
            <w:pPr>
              <w:spacing w:line="0" w:lineRule="atLeast"/>
              <w:jc w:val="center"/>
              <w:rPr>
                <w:sz w:val="24"/>
              </w:rPr>
            </w:pPr>
            <w:r>
              <w:rPr>
                <w:sz w:val="24"/>
              </w:rPr>
              <w:t>5</w:t>
            </w:r>
          </w:p>
        </w:tc>
        <w:tc>
          <w:tcPr>
            <w:tcW w:w="1843" w:type="dxa"/>
            <w:noWrap w:val="0"/>
            <w:vAlign w:val="center"/>
          </w:tcPr>
          <w:p w14:paraId="07C60215">
            <w:pPr>
              <w:spacing w:line="0" w:lineRule="atLeast"/>
              <w:jc w:val="center"/>
              <w:rPr>
                <w:sz w:val="24"/>
              </w:rPr>
            </w:pPr>
            <w:r>
              <w:rPr>
                <w:rFonts w:hint="eastAsia"/>
                <w:sz w:val="24"/>
              </w:rPr>
              <w:t>光电比色计</w:t>
            </w:r>
          </w:p>
        </w:tc>
        <w:tc>
          <w:tcPr>
            <w:tcW w:w="2066" w:type="dxa"/>
            <w:noWrap w:val="0"/>
            <w:vAlign w:val="center"/>
          </w:tcPr>
          <w:p w14:paraId="35B5832C">
            <w:pPr>
              <w:spacing w:line="0" w:lineRule="atLeast"/>
              <w:jc w:val="center"/>
              <w:rPr>
                <w:rFonts w:hint="eastAsia"/>
                <w:sz w:val="24"/>
              </w:rPr>
            </w:pPr>
          </w:p>
        </w:tc>
        <w:tc>
          <w:tcPr>
            <w:tcW w:w="990" w:type="dxa"/>
            <w:noWrap w:val="0"/>
            <w:vAlign w:val="center"/>
          </w:tcPr>
          <w:p w14:paraId="0D9D238A">
            <w:pPr>
              <w:spacing w:line="0" w:lineRule="atLeast"/>
              <w:jc w:val="center"/>
              <w:rPr>
                <w:rFonts w:hint="eastAsia"/>
                <w:sz w:val="24"/>
              </w:rPr>
            </w:pPr>
          </w:p>
        </w:tc>
        <w:tc>
          <w:tcPr>
            <w:tcW w:w="945" w:type="dxa"/>
            <w:noWrap w:val="0"/>
            <w:vAlign w:val="center"/>
          </w:tcPr>
          <w:p w14:paraId="6221FE3D">
            <w:pPr>
              <w:spacing w:line="0" w:lineRule="atLeast"/>
              <w:jc w:val="center"/>
              <w:rPr>
                <w:sz w:val="24"/>
              </w:rPr>
            </w:pPr>
            <w:r>
              <w:rPr>
                <w:rFonts w:hint="eastAsia"/>
                <w:sz w:val="24"/>
              </w:rPr>
              <w:t>2个</w:t>
            </w:r>
          </w:p>
        </w:tc>
        <w:tc>
          <w:tcPr>
            <w:tcW w:w="1620" w:type="dxa"/>
            <w:noWrap w:val="0"/>
            <w:vAlign w:val="center"/>
          </w:tcPr>
          <w:p w14:paraId="6FE4E3EB">
            <w:pPr>
              <w:spacing w:line="0" w:lineRule="atLeast"/>
              <w:jc w:val="center"/>
              <w:rPr>
                <w:rFonts w:hint="eastAsia"/>
                <w:sz w:val="24"/>
              </w:rPr>
            </w:pPr>
            <w:r>
              <w:rPr>
                <w:rFonts w:hint="eastAsia"/>
                <w:sz w:val="24"/>
              </w:rPr>
              <w:t>云龙：1个</w:t>
            </w:r>
          </w:p>
          <w:p w14:paraId="04FE7A73">
            <w:pPr>
              <w:spacing w:line="0" w:lineRule="atLeast"/>
              <w:jc w:val="center"/>
              <w:rPr>
                <w:rFonts w:hint="eastAsia"/>
                <w:sz w:val="24"/>
              </w:rPr>
            </w:pPr>
            <w:r>
              <w:rPr>
                <w:rFonts w:hint="eastAsia"/>
                <w:sz w:val="24"/>
              </w:rPr>
              <w:t>田心：1个</w:t>
            </w:r>
          </w:p>
        </w:tc>
      </w:tr>
    </w:tbl>
    <w:p w14:paraId="2DD97F86">
      <w:pPr>
        <w:rPr>
          <w:rFonts w:hint="eastAsia"/>
        </w:rPr>
      </w:pPr>
    </w:p>
    <w:p w14:paraId="63909500">
      <w:pPr>
        <w:widowControl/>
        <w:numPr>
          <w:ilvl w:val="0"/>
          <w:numId w:val="0"/>
        </w:numPr>
        <w:spacing w:line="480" w:lineRule="exact"/>
        <w:ind w:firstLine="480" w:firstLineChars="200"/>
        <w:jc w:val="left"/>
        <w:rPr>
          <w:rFonts w:hint="eastAsia" w:ascii="宋体" w:hAnsi="宋体" w:eastAsia="宋体" w:cs="宋体"/>
          <w:color w:val="000000"/>
          <w:sz w:val="24"/>
          <w:lang w:eastAsia="zh-CN"/>
        </w:rPr>
      </w:pPr>
      <w:r>
        <w:rPr>
          <w:rFonts w:ascii="仿宋" w:hAnsi="仿宋" w:eastAsia="仿宋"/>
          <w:sz w:val="24"/>
          <w:szCs w:val="24"/>
        </w:rPr>
        <w:t>4</w:t>
      </w:r>
      <w:r>
        <w:rPr>
          <w:rFonts w:hint="eastAsia" w:ascii="仿宋" w:hAnsi="仿宋" w:eastAsia="仿宋"/>
          <w:sz w:val="24"/>
          <w:szCs w:val="24"/>
        </w:rPr>
        <w:t>.采购预算：</w:t>
      </w:r>
      <w:r>
        <w:rPr>
          <w:rFonts w:hint="eastAsia"/>
          <w:sz w:val="24"/>
        </w:rPr>
        <w:t>预算金额为3.8万元（包含水质消毒药剂和水质检测药剂）。</w:t>
      </w:r>
    </w:p>
    <w:p w14:paraId="74BCF10E">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p>
    <w:p w14:paraId="453272DD">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基本资格条件：供应商必须是在中华人民共和国境内注册登记的法人、其他组织或者自然人，且应当符合下列规定，即：</w:t>
      </w:r>
    </w:p>
    <w:p w14:paraId="24CC3B8F">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773A98C1">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bookmarkStart w:id="6" w:name="_Hlk186730266"/>
      <w:r>
        <w:rPr>
          <w:rFonts w:hint="eastAsia" w:ascii="仿宋" w:hAnsi="仿宋" w:eastAsia="仿宋"/>
          <w:b/>
          <w:bCs/>
          <w:sz w:val="24"/>
          <w:szCs w:val="24"/>
        </w:rPr>
        <w:t>三、响应文件提交的截止时间、开启时间及地点</w:t>
      </w:r>
      <w:bookmarkEnd w:id="5"/>
    </w:p>
    <w:p w14:paraId="054E627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1．首次响应文件的提交截止时间：202</w:t>
      </w:r>
      <w:r>
        <w:rPr>
          <w:rFonts w:hint="eastAsia" w:ascii="仿宋" w:hAnsi="仿宋" w:eastAsia="仿宋"/>
          <w:sz w:val="24"/>
          <w:szCs w:val="24"/>
          <w:lang w:val="en-US" w:eastAsia="zh-CN"/>
        </w:rPr>
        <w:t>6</w:t>
      </w:r>
      <w:r>
        <w:rPr>
          <w:rFonts w:hint="eastAsia" w:ascii="仿宋" w:hAnsi="仿宋" w:eastAsia="仿宋"/>
          <w:sz w:val="24"/>
          <w:szCs w:val="24"/>
        </w:rPr>
        <w:t>年1月</w:t>
      </w:r>
      <w:r>
        <w:rPr>
          <w:rFonts w:hint="eastAsia" w:ascii="仿宋" w:hAnsi="仿宋" w:eastAsia="仿宋"/>
          <w:color w:val="FF0000"/>
          <w:sz w:val="24"/>
          <w:szCs w:val="24"/>
          <w:u w:val="single"/>
        </w:rPr>
        <w:t xml:space="preserve"> </w:t>
      </w:r>
      <w:r>
        <w:rPr>
          <w:rFonts w:hint="eastAsia" w:ascii="仿宋" w:hAnsi="仿宋" w:eastAsia="仿宋"/>
          <w:color w:val="FF0000"/>
          <w:sz w:val="24"/>
          <w:szCs w:val="24"/>
          <w:u w:val="single"/>
          <w:lang w:val="en-US" w:eastAsia="zh-CN"/>
        </w:rPr>
        <w:t>7</w:t>
      </w:r>
      <w:r>
        <w:rPr>
          <w:rFonts w:hint="eastAsia" w:ascii="仿宋" w:hAnsi="仿宋" w:eastAsia="仿宋"/>
          <w:color w:val="FF0000"/>
          <w:sz w:val="24"/>
          <w:szCs w:val="24"/>
          <w:u w:val="single"/>
        </w:rPr>
        <w:t xml:space="preserve"> </w:t>
      </w:r>
      <w:r>
        <w:rPr>
          <w:rFonts w:hint="eastAsia" w:ascii="仿宋" w:hAnsi="仿宋" w:eastAsia="仿宋"/>
          <w:sz w:val="24"/>
          <w:szCs w:val="24"/>
        </w:rPr>
        <w:t>日</w:t>
      </w:r>
      <w:r>
        <w:rPr>
          <w:rFonts w:hint="eastAsia" w:ascii="仿宋" w:hAnsi="仿宋" w:eastAsia="仿宋"/>
          <w:color w:val="FF0000"/>
          <w:sz w:val="24"/>
          <w:szCs w:val="24"/>
          <w:u w:val="single"/>
        </w:rPr>
        <w:t xml:space="preserve"> </w:t>
      </w:r>
      <w:r>
        <w:rPr>
          <w:rFonts w:hint="eastAsia" w:ascii="仿宋" w:hAnsi="仿宋" w:eastAsia="仿宋"/>
          <w:color w:val="FF0000"/>
          <w:sz w:val="24"/>
          <w:szCs w:val="24"/>
          <w:u w:val="single"/>
          <w:lang w:val="en-US" w:eastAsia="zh-CN"/>
        </w:rPr>
        <w:t>9</w:t>
      </w:r>
      <w:r>
        <w:rPr>
          <w:rFonts w:hint="eastAsia" w:ascii="仿宋" w:hAnsi="仿宋" w:eastAsia="仿宋"/>
          <w:color w:val="FF0000"/>
          <w:sz w:val="24"/>
          <w:szCs w:val="24"/>
          <w:u w:val="single"/>
        </w:rPr>
        <w:t xml:space="preserve">  </w:t>
      </w:r>
      <w:r>
        <w:rPr>
          <w:rFonts w:hint="eastAsia" w:ascii="仿宋" w:hAnsi="仿宋" w:eastAsia="仿宋"/>
          <w:sz w:val="24"/>
          <w:szCs w:val="24"/>
        </w:rPr>
        <w:t>时</w:t>
      </w:r>
    </w:p>
    <w:p w14:paraId="5FCFB0A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2．首次响应文件的开启时间：202</w:t>
      </w:r>
      <w:r>
        <w:rPr>
          <w:rFonts w:hint="eastAsia" w:ascii="仿宋" w:hAnsi="仿宋" w:eastAsia="仿宋"/>
          <w:sz w:val="24"/>
          <w:szCs w:val="24"/>
          <w:lang w:val="en-US" w:eastAsia="zh-CN"/>
        </w:rPr>
        <w:t>6</w:t>
      </w:r>
      <w:r>
        <w:rPr>
          <w:rFonts w:hint="eastAsia" w:ascii="仿宋" w:hAnsi="仿宋" w:eastAsia="仿宋"/>
          <w:sz w:val="24"/>
          <w:szCs w:val="24"/>
        </w:rPr>
        <w:t>年1月</w:t>
      </w:r>
      <w:r>
        <w:rPr>
          <w:rFonts w:hint="eastAsia" w:ascii="仿宋" w:hAnsi="仿宋" w:eastAsia="仿宋"/>
          <w:color w:val="FF0000"/>
          <w:sz w:val="24"/>
          <w:szCs w:val="24"/>
          <w:u w:val="single"/>
        </w:rPr>
        <w:t xml:space="preserve"> </w:t>
      </w:r>
      <w:r>
        <w:rPr>
          <w:rFonts w:hint="eastAsia" w:ascii="仿宋" w:hAnsi="仿宋" w:eastAsia="仿宋"/>
          <w:color w:val="FF0000"/>
          <w:sz w:val="24"/>
          <w:szCs w:val="24"/>
          <w:u w:val="single"/>
          <w:lang w:val="en-US" w:eastAsia="zh-CN"/>
        </w:rPr>
        <w:t>7</w:t>
      </w:r>
      <w:r>
        <w:rPr>
          <w:rFonts w:hint="eastAsia" w:ascii="仿宋" w:hAnsi="仿宋" w:eastAsia="仿宋"/>
          <w:color w:val="FF0000"/>
          <w:sz w:val="24"/>
          <w:szCs w:val="24"/>
          <w:u w:val="single"/>
        </w:rPr>
        <w:t xml:space="preserve">  </w:t>
      </w:r>
      <w:r>
        <w:rPr>
          <w:rFonts w:hint="eastAsia" w:ascii="仿宋" w:hAnsi="仿宋" w:eastAsia="仿宋"/>
          <w:sz w:val="24"/>
          <w:szCs w:val="24"/>
        </w:rPr>
        <w:t>日</w:t>
      </w:r>
      <w:r>
        <w:rPr>
          <w:rFonts w:hint="eastAsia" w:ascii="仿宋" w:hAnsi="仿宋" w:eastAsia="仿宋"/>
          <w:color w:val="FF0000"/>
          <w:sz w:val="24"/>
          <w:szCs w:val="24"/>
          <w:u w:val="single"/>
        </w:rPr>
        <w:t xml:space="preserve">  </w:t>
      </w:r>
      <w:r>
        <w:rPr>
          <w:rFonts w:hint="eastAsia" w:ascii="仿宋" w:hAnsi="仿宋" w:eastAsia="仿宋"/>
          <w:color w:val="FF0000"/>
          <w:sz w:val="24"/>
          <w:szCs w:val="24"/>
          <w:u w:val="single"/>
          <w:lang w:val="en-US" w:eastAsia="zh-CN"/>
        </w:rPr>
        <w:t>9</w:t>
      </w:r>
      <w:r>
        <w:rPr>
          <w:rFonts w:hint="eastAsia" w:ascii="仿宋" w:hAnsi="仿宋" w:eastAsia="仿宋"/>
          <w:color w:val="FF0000"/>
          <w:sz w:val="24"/>
          <w:szCs w:val="24"/>
          <w:u w:val="single"/>
        </w:rPr>
        <w:t xml:space="preserve"> </w:t>
      </w:r>
      <w:r>
        <w:rPr>
          <w:rFonts w:hint="eastAsia" w:ascii="仿宋" w:hAnsi="仿宋" w:eastAsia="仿宋"/>
          <w:sz w:val="24"/>
          <w:szCs w:val="24"/>
        </w:rPr>
        <w:t>时</w:t>
      </w:r>
    </w:p>
    <w:p w14:paraId="63DB6ACB">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bookmarkStart w:id="13" w:name="_GoBack"/>
      <w:bookmarkEnd w:id="13"/>
    </w:p>
    <w:bookmarkEnd w:id="6"/>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2"/>
      <w:bookmarkStart w:id="8" w:name="_Hlk186730358"/>
      <w:r>
        <w:rPr>
          <w:rFonts w:hint="eastAsia" w:ascii="仿宋" w:hAnsi="仿宋" w:eastAsia="仿宋" w:cs="宋体"/>
          <w:bCs w:val="0"/>
          <w:kern w:val="0"/>
          <w:sz w:val="24"/>
          <w:szCs w:val="24"/>
        </w:rPr>
        <w:t>四、公告期限</w:t>
      </w:r>
      <w:bookmarkEnd w:id="7"/>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bookmarkEnd w:id="8"/>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9" w:name="_Toc58335833"/>
      <w:bookmarkStart w:id="10" w:name="_Hlk186730642"/>
      <w:r>
        <w:rPr>
          <w:rFonts w:hint="eastAsia" w:ascii="仿宋" w:hAnsi="仿宋" w:eastAsia="仿宋" w:cs="宋体"/>
          <w:bCs w:val="0"/>
          <w:kern w:val="0"/>
          <w:sz w:val="24"/>
          <w:szCs w:val="24"/>
        </w:rPr>
        <w:t>五、疑问及质疑</w:t>
      </w:r>
      <w:bookmarkEnd w:id="9"/>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bookmarkEnd w:id="10"/>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11" w:name="_Toc58335834"/>
      <w:bookmarkStart w:id="12" w:name="_Hlk186730687"/>
      <w:r>
        <w:rPr>
          <w:rFonts w:hint="eastAsia" w:ascii="仿宋" w:hAnsi="仿宋" w:eastAsia="仿宋" w:cs="宋体"/>
          <w:bCs w:val="0"/>
          <w:kern w:val="0"/>
          <w:sz w:val="24"/>
          <w:szCs w:val="24"/>
        </w:rPr>
        <w:t>六、采购项目联系人姓名和电话</w:t>
      </w:r>
      <w:bookmarkEnd w:id="11"/>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1．项目联系人和电话</w:t>
      </w:r>
    </w:p>
    <w:p w14:paraId="3FA6496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color w:val="FF0000"/>
          <w:sz w:val="24"/>
          <w:szCs w:val="24"/>
          <w:u w:val="single"/>
        </w:rPr>
        <w:t xml:space="preserve">  </w:t>
      </w:r>
      <w:r>
        <w:rPr>
          <w:rFonts w:hint="eastAsia" w:ascii="仿宋" w:hAnsi="仿宋" w:eastAsia="仿宋" w:cstheme="minorEastAsia"/>
          <w:color w:val="FF0000"/>
          <w:sz w:val="24"/>
          <w:szCs w:val="24"/>
          <w:u w:val="single"/>
          <w:lang w:val="en-US" w:eastAsia="zh-CN"/>
        </w:rPr>
        <w:t>刘保权</w:t>
      </w:r>
      <w:r>
        <w:rPr>
          <w:rFonts w:hint="eastAsia" w:ascii="仿宋" w:hAnsi="仿宋" w:eastAsia="仿宋" w:cstheme="minorEastAsia"/>
          <w:color w:val="FF0000"/>
          <w:sz w:val="24"/>
          <w:szCs w:val="24"/>
          <w:u w:val="single"/>
        </w:rPr>
        <w:t xml:space="preserve">      </w:t>
      </w:r>
    </w:p>
    <w:p w14:paraId="5ACC0522">
      <w:pPr>
        <w:snapToGrid w:val="0"/>
        <w:spacing w:line="360" w:lineRule="auto"/>
        <w:ind w:firstLine="480" w:firstLineChars="200"/>
        <w:jc w:val="left"/>
        <w:rPr>
          <w:rFonts w:hint="eastAsia" w:ascii="仿宋" w:hAnsi="仿宋" w:eastAsia="仿宋" w:cstheme="minorEastAsia"/>
          <w:sz w:val="24"/>
          <w:szCs w:val="24"/>
          <w:u w:val="single"/>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13908436270</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bookmarkEnd w:id="12"/>
    <w:p w14:paraId="22F3A15E">
      <w:pPr>
        <w:pStyle w:val="15"/>
      </w:pPr>
    </w:p>
    <w:p w14:paraId="42402AF4"/>
    <w:p w14:paraId="611302C1">
      <w:pPr>
        <w:pStyle w:val="15"/>
        <w:ind w:left="0" w:leftChars="0" w:firstLine="2891" w:firstLineChars="800"/>
        <w:jc w:val="both"/>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59F2D2B4">
      <w:pPr>
        <w:numPr>
          <w:ilvl w:val="0"/>
          <w:numId w:val="2"/>
        </w:numPr>
        <w:spacing w:before="156" w:beforeLines="50" w:line="360" w:lineRule="auto"/>
        <w:rPr>
          <w:rFonts w:hint="eastAsia"/>
          <w:sz w:val="24"/>
        </w:rPr>
      </w:pPr>
      <w:r>
        <w:rPr>
          <w:rFonts w:hint="eastAsia"/>
          <w:sz w:val="24"/>
        </w:rPr>
        <w:t>采购项目情况介绍：</w:t>
      </w:r>
    </w:p>
    <w:p w14:paraId="6E740F88">
      <w:pPr>
        <w:spacing w:line="360" w:lineRule="auto"/>
        <w:ind w:firstLine="480"/>
        <w:rPr>
          <w:color w:val="auto"/>
          <w:sz w:val="24"/>
        </w:rPr>
      </w:pPr>
      <w:r>
        <w:rPr>
          <w:rFonts w:hint="eastAsia"/>
          <w:color w:val="auto"/>
          <w:sz w:val="24"/>
        </w:rPr>
        <w:t>湖南铁道职业技术学院田心校区、云龙校区二次供水水箱清洗，需进行</w:t>
      </w:r>
      <w:r>
        <w:rPr>
          <w:rFonts w:hint="eastAsia"/>
          <w:color w:val="auto"/>
          <w:sz w:val="24"/>
          <w:lang w:val="en-US" w:eastAsia="zh-CN"/>
        </w:rPr>
        <w:t>询价</w:t>
      </w:r>
      <w:r>
        <w:rPr>
          <w:rFonts w:hint="eastAsia"/>
          <w:color w:val="auto"/>
          <w:sz w:val="24"/>
        </w:rPr>
        <w:t>。预算金额为3.8万元（包含水质消毒药剂和水质检测药剂等，学校不再另外出费用）。</w:t>
      </w:r>
    </w:p>
    <w:p w14:paraId="580762FF">
      <w:pPr>
        <w:spacing w:line="360" w:lineRule="auto"/>
        <w:ind w:firstLine="480"/>
        <w:rPr>
          <w:rFonts w:hint="eastAsia"/>
          <w:color w:val="auto"/>
          <w:sz w:val="24"/>
        </w:rPr>
      </w:pPr>
      <w:r>
        <w:rPr>
          <w:rFonts w:hint="eastAsia"/>
          <w:color w:val="auto"/>
          <w:sz w:val="24"/>
        </w:rPr>
        <w:t>田心校区二次供水水箱为</w:t>
      </w:r>
      <w:r>
        <w:rPr>
          <w:rFonts w:hint="eastAsia"/>
          <w:color w:val="auto"/>
          <w:sz w:val="24"/>
          <w:lang w:val="en-US" w:eastAsia="zh-CN"/>
        </w:rPr>
        <w:t>100</w:t>
      </w:r>
      <w:r>
        <w:rPr>
          <w:rFonts w:hint="eastAsia"/>
          <w:color w:val="auto"/>
          <w:sz w:val="24"/>
        </w:rPr>
        <w:t>m</w:t>
      </w:r>
      <w:r>
        <w:rPr>
          <w:color w:val="auto"/>
          <w:sz w:val="24"/>
        </w:rPr>
        <w:t>³</w:t>
      </w:r>
      <w:r>
        <w:rPr>
          <w:rFonts w:hint="eastAsia"/>
          <w:color w:val="auto"/>
          <w:sz w:val="24"/>
          <w:lang w:val="en-US" w:eastAsia="zh-CN"/>
        </w:rPr>
        <w:t>二</w:t>
      </w:r>
      <w:r>
        <w:rPr>
          <w:rFonts w:hint="eastAsia"/>
          <w:color w:val="auto"/>
          <w:sz w:val="24"/>
        </w:rPr>
        <w:t>组,</w:t>
      </w:r>
      <w:r>
        <w:rPr>
          <w:rFonts w:hint="eastAsia"/>
          <w:color w:val="auto"/>
          <w:sz w:val="24"/>
          <w:lang w:val="en-US" w:eastAsia="zh-CN"/>
        </w:rPr>
        <w:t>共200</w:t>
      </w:r>
      <w:r>
        <w:rPr>
          <w:rFonts w:hint="eastAsia"/>
          <w:color w:val="auto"/>
          <w:sz w:val="24"/>
        </w:rPr>
        <w:t>m</w:t>
      </w:r>
      <w:r>
        <w:rPr>
          <w:color w:val="auto"/>
          <w:sz w:val="24"/>
        </w:rPr>
        <w:t>³</w:t>
      </w:r>
      <w:r>
        <w:rPr>
          <w:rFonts w:hint="eastAsia"/>
          <w:color w:val="auto"/>
          <w:sz w:val="24"/>
          <w:lang w:eastAsia="zh-CN"/>
        </w:rPr>
        <w:t>。</w:t>
      </w:r>
      <w:r>
        <w:rPr>
          <w:rFonts w:hint="eastAsia"/>
          <w:color w:val="auto"/>
          <w:sz w:val="24"/>
        </w:rPr>
        <w:t>云龙校区二次供水水箱为125m</w:t>
      </w:r>
      <w:r>
        <w:rPr>
          <w:color w:val="auto"/>
          <w:sz w:val="24"/>
        </w:rPr>
        <w:t>³</w:t>
      </w:r>
      <w:r>
        <w:rPr>
          <w:rFonts w:hint="eastAsia"/>
          <w:color w:val="auto"/>
          <w:sz w:val="24"/>
        </w:rPr>
        <w:t>二组，共250m</w:t>
      </w:r>
      <w:r>
        <w:rPr>
          <w:color w:val="auto"/>
          <w:sz w:val="24"/>
        </w:rPr>
        <w:t>³</w:t>
      </w:r>
      <w:r>
        <w:rPr>
          <w:rFonts w:hint="eastAsia"/>
          <w:color w:val="auto"/>
          <w:sz w:val="24"/>
        </w:rPr>
        <w:t>。每年清洗作业二次。每次清洗完成后，需具有水质检测资质的第三方机构进行水样检测，保证水质检测合格并提供水质检测报告。如果检测水样不合格，供应商必须重新进行清洗，直至合格为止，且费用自理。</w:t>
      </w:r>
    </w:p>
    <w:p w14:paraId="3BECA2C8">
      <w:pPr>
        <w:spacing w:line="360" w:lineRule="auto"/>
        <w:ind w:firstLine="480"/>
        <w:rPr>
          <w:sz w:val="24"/>
        </w:rPr>
      </w:pPr>
      <w:r>
        <w:rPr>
          <w:rFonts w:hint="eastAsia"/>
          <w:color w:val="auto"/>
          <w:sz w:val="24"/>
        </w:rPr>
        <w:t>提供日常消毒药剂和水质检测药剂及比色计。消毒药剂必须含涉水卫生批</w:t>
      </w:r>
      <w:r>
        <w:rPr>
          <w:rFonts w:hint="eastAsia"/>
          <w:sz w:val="24"/>
        </w:rPr>
        <w:t>件。</w:t>
      </w:r>
    </w:p>
    <w:p w14:paraId="02058E2C">
      <w:pPr>
        <w:spacing w:line="360" w:lineRule="auto"/>
        <w:rPr>
          <w:rFonts w:hint="eastAsia"/>
          <w:sz w:val="24"/>
        </w:rPr>
      </w:pPr>
      <w:r>
        <w:rPr>
          <w:rFonts w:hint="eastAsia"/>
          <w:sz w:val="24"/>
        </w:rPr>
        <w:t>二、对供应商的资质要求：</w:t>
      </w:r>
    </w:p>
    <w:p w14:paraId="0C65C0E7">
      <w:pPr>
        <w:spacing w:line="360" w:lineRule="auto"/>
        <w:ind w:firstLine="480" w:firstLineChars="200"/>
        <w:rPr>
          <w:rFonts w:hint="eastAsia"/>
          <w:sz w:val="24"/>
        </w:rPr>
      </w:pPr>
      <w:r>
        <w:rPr>
          <w:rFonts w:hint="eastAsia"/>
          <w:sz w:val="24"/>
        </w:rPr>
        <w:t>1.中华人民共和国境内合法经营的法人企业，具有水箱清洗资质。</w:t>
      </w:r>
    </w:p>
    <w:p w14:paraId="3DACDE2D">
      <w:pPr>
        <w:spacing w:line="360" w:lineRule="auto"/>
        <w:ind w:firstLine="480" w:firstLineChars="200"/>
        <w:rPr>
          <w:rFonts w:hint="eastAsia" w:ascii="宋体" w:hAnsi="宋体" w:cs="宋体"/>
          <w:sz w:val="24"/>
        </w:rPr>
      </w:pPr>
      <w:r>
        <w:rPr>
          <w:rFonts w:hint="eastAsia" w:ascii="宋体" w:hAnsi="宋体" w:cs="宋体"/>
          <w:sz w:val="24"/>
        </w:rPr>
        <w:t>2.投标人应具有完成本项目的技术力量、财务能力和良好的社会信誉；</w:t>
      </w:r>
    </w:p>
    <w:p w14:paraId="0C0888A0">
      <w:pPr>
        <w:spacing w:line="360" w:lineRule="auto"/>
        <w:ind w:firstLine="480"/>
        <w:rPr>
          <w:rFonts w:hint="eastAsia" w:ascii="宋体" w:hAnsi="宋体" w:cs="宋体"/>
          <w:color w:val="000000"/>
          <w:sz w:val="24"/>
        </w:rPr>
      </w:pPr>
      <w:r>
        <w:rPr>
          <w:rFonts w:hint="eastAsia" w:ascii="宋体" w:hAnsi="宋体" w:cs="宋体"/>
          <w:color w:val="000000"/>
          <w:sz w:val="24"/>
        </w:rPr>
        <w:t>3.</w:t>
      </w:r>
      <w:r>
        <w:rPr>
          <w:rFonts w:hint="eastAsia" w:ascii="宋体" w:hAnsi="宋体" w:cs="宋体"/>
          <w:sz w:val="24"/>
        </w:rPr>
        <w:t>提供有效的作业人员资格证书</w:t>
      </w:r>
      <w:r>
        <w:rPr>
          <w:rFonts w:hint="eastAsia" w:ascii="宋体" w:hAnsi="宋体" w:cs="宋体"/>
          <w:color w:val="000000"/>
          <w:sz w:val="24"/>
        </w:rPr>
        <w:t>（复印件须加盖聘用单位印章，原件现场核查）。</w:t>
      </w:r>
    </w:p>
    <w:p w14:paraId="1D01A6E3">
      <w:pPr>
        <w:spacing w:before="156" w:beforeLines="50" w:line="360" w:lineRule="auto"/>
        <w:rPr>
          <w:rFonts w:hint="eastAsia"/>
          <w:sz w:val="24"/>
        </w:rPr>
      </w:pPr>
      <w:r>
        <w:rPr>
          <w:rFonts w:hint="eastAsia"/>
          <w:sz w:val="24"/>
        </w:rPr>
        <w:t>三、服务期限：</w:t>
      </w:r>
    </w:p>
    <w:p w14:paraId="195216D4">
      <w:pPr>
        <w:spacing w:line="360" w:lineRule="auto"/>
        <w:ind w:firstLine="482"/>
        <w:rPr>
          <w:rFonts w:hint="eastAsia"/>
          <w:sz w:val="24"/>
        </w:rPr>
      </w:pPr>
      <w:r>
        <w:rPr>
          <w:rFonts w:hint="eastAsia"/>
          <w:sz w:val="24"/>
        </w:rPr>
        <w:t>20</w:t>
      </w:r>
      <w:r>
        <w:rPr>
          <w:rFonts w:hint="eastAsia"/>
          <w:sz w:val="24"/>
          <w:lang w:val="en-US" w:eastAsia="zh-CN"/>
        </w:rPr>
        <w:t>26</w:t>
      </w:r>
      <w:r>
        <w:rPr>
          <w:rFonts w:hint="eastAsia"/>
          <w:sz w:val="24"/>
        </w:rPr>
        <w:t>年1月1日-20</w:t>
      </w:r>
      <w:r>
        <w:rPr>
          <w:rFonts w:hint="eastAsia"/>
          <w:sz w:val="24"/>
          <w:lang w:val="en-US" w:eastAsia="zh-CN"/>
        </w:rPr>
        <w:t>26</w:t>
      </w:r>
      <w:r>
        <w:rPr>
          <w:rFonts w:hint="eastAsia"/>
          <w:sz w:val="24"/>
        </w:rPr>
        <w:t>年12月31日，服务期一年。</w:t>
      </w:r>
    </w:p>
    <w:p w14:paraId="34B0C91D">
      <w:pPr>
        <w:spacing w:before="156" w:beforeLines="50" w:line="360" w:lineRule="auto"/>
        <w:rPr>
          <w:rFonts w:hint="eastAsia"/>
          <w:sz w:val="24"/>
        </w:rPr>
      </w:pPr>
      <w:r>
        <w:rPr>
          <w:rFonts w:hint="eastAsia"/>
          <w:sz w:val="24"/>
        </w:rPr>
        <w:t>四、服务内容：</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843"/>
        <w:gridCol w:w="2066"/>
        <w:gridCol w:w="990"/>
        <w:gridCol w:w="945"/>
        <w:gridCol w:w="1620"/>
      </w:tblGrid>
      <w:tr w14:paraId="5C8B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6943AC5A">
            <w:pPr>
              <w:spacing w:line="0" w:lineRule="atLeast"/>
              <w:jc w:val="center"/>
              <w:rPr>
                <w:rFonts w:hint="eastAsia"/>
                <w:sz w:val="24"/>
              </w:rPr>
            </w:pPr>
            <w:r>
              <w:rPr>
                <w:rFonts w:hint="eastAsia"/>
                <w:sz w:val="24"/>
              </w:rPr>
              <w:t>序号</w:t>
            </w:r>
          </w:p>
        </w:tc>
        <w:tc>
          <w:tcPr>
            <w:tcW w:w="1843" w:type="dxa"/>
            <w:noWrap w:val="0"/>
            <w:vAlign w:val="center"/>
          </w:tcPr>
          <w:p w14:paraId="2F41B984">
            <w:pPr>
              <w:spacing w:line="0" w:lineRule="atLeast"/>
              <w:jc w:val="center"/>
              <w:rPr>
                <w:rFonts w:hint="eastAsia"/>
                <w:sz w:val="24"/>
              </w:rPr>
            </w:pPr>
            <w:r>
              <w:rPr>
                <w:rFonts w:hint="eastAsia"/>
                <w:sz w:val="24"/>
              </w:rPr>
              <w:t>名称</w:t>
            </w:r>
          </w:p>
        </w:tc>
        <w:tc>
          <w:tcPr>
            <w:tcW w:w="2066" w:type="dxa"/>
            <w:noWrap w:val="0"/>
            <w:vAlign w:val="center"/>
          </w:tcPr>
          <w:p w14:paraId="21A8E998">
            <w:pPr>
              <w:spacing w:line="0" w:lineRule="atLeast"/>
              <w:jc w:val="center"/>
              <w:rPr>
                <w:rFonts w:hint="eastAsia"/>
                <w:sz w:val="24"/>
              </w:rPr>
            </w:pPr>
            <w:r>
              <w:rPr>
                <w:rFonts w:hint="eastAsia"/>
                <w:sz w:val="24"/>
              </w:rPr>
              <w:t>规格</w:t>
            </w:r>
          </w:p>
        </w:tc>
        <w:tc>
          <w:tcPr>
            <w:tcW w:w="990" w:type="dxa"/>
            <w:noWrap w:val="0"/>
            <w:vAlign w:val="center"/>
          </w:tcPr>
          <w:p w14:paraId="34355053">
            <w:pPr>
              <w:spacing w:line="0" w:lineRule="atLeast"/>
              <w:jc w:val="center"/>
              <w:rPr>
                <w:rFonts w:hint="eastAsia"/>
                <w:sz w:val="24"/>
              </w:rPr>
            </w:pPr>
            <w:r>
              <w:rPr>
                <w:rFonts w:hint="eastAsia"/>
                <w:sz w:val="24"/>
              </w:rPr>
              <w:t>材质</w:t>
            </w:r>
          </w:p>
        </w:tc>
        <w:tc>
          <w:tcPr>
            <w:tcW w:w="945" w:type="dxa"/>
            <w:noWrap w:val="0"/>
            <w:vAlign w:val="center"/>
          </w:tcPr>
          <w:p w14:paraId="4AC13EA5">
            <w:pPr>
              <w:spacing w:line="0" w:lineRule="atLeast"/>
              <w:jc w:val="center"/>
              <w:rPr>
                <w:rFonts w:hint="eastAsia"/>
                <w:sz w:val="24"/>
              </w:rPr>
            </w:pPr>
            <w:r>
              <w:rPr>
                <w:rFonts w:hint="eastAsia"/>
                <w:sz w:val="24"/>
              </w:rPr>
              <w:t>数量</w:t>
            </w:r>
          </w:p>
        </w:tc>
        <w:tc>
          <w:tcPr>
            <w:tcW w:w="1620" w:type="dxa"/>
            <w:noWrap w:val="0"/>
            <w:vAlign w:val="center"/>
          </w:tcPr>
          <w:p w14:paraId="1F8647DF">
            <w:pPr>
              <w:spacing w:line="0" w:lineRule="atLeast"/>
              <w:jc w:val="center"/>
              <w:rPr>
                <w:rFonts w:hint="eastAsia"/>
                <w:sz w:val="24"/>
              </w:rPr>
            </w:pPr>
            <w:r>
              <w:rPr>
                <w:rFonts w:hint="eastAsia"/>
                <w:sz w:val="24"/>
              </w:rPr>
              <w:t>备注</w:t>
            </w:r>
          </w:p>
        </w:tc>
      </w:tr>
      <w:tr w14:paraId="1AC1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717AA79D">
            <w:pPr>
              <w:spacing w:line="0" w:lineRule="atLeast"/>
              <w:jc w:val="center"/>
              <w:rPr>
                <w:rFonts w:hint="eastAsia"/>
                <w:sz w:val="24"/>
              </w:rPr>
            </w:pPr>
            <w:r>
              <w:rPr>
                <w:rFonts w:hint="eastAsia"/>
                <w:sz w:val="24"/>
              </w:rPr>
              <w:t>1</w:t>
            </w:r>
          </w:p>
        </w:tc>
        <w:tc>
          <w:tcPr>
            <w:tcW w:w="1843" w:type="dxa"/>
            <w:noWrap w:val="0"/>
            <w:vAlign w:val="center"/>
          </w:tcPr>
          <w:p w14:paraId="3945E4E7">
            <w:pPr>
              <w:spacing w:line="0" w:lineRule="atLeast"/>
              <w:jc w:val="center"/>
              <w:rPr>
                <w:rFonts w:hint="eastAsia"/>
                <w:sz w:val="24"/>
              </w:rPr>
            </w:pPr>
            <w:r>
              <w:rPr>
                <w:rFonts w:hint="eastAsia"/>
                <w:sz w:val="24"/>
              </w:rPr>
              <w:t>云龙校区</w:t>
            </w:r>
          </w:p>
        </w:tc>
        <w:tc>
          <w:tcPr>
            <w:tcW w:w="2066" w:type="dxa"/>
            <w:noWrap w:val="0"/>
            <w:vAlign w:val="center"/>
          </w:tcPr>
          <w:p w14:paraId="25270E27">
            <w:pPr>
              <w:spacing w:line="0" w:lineRule="atLeast"/>
              <w:jc w:val="center"/>
              <w:rPr>
                <w:rFonts w:hint="eastAsia"/>
                <w:sz w:val="24"/>
              </w:rPr>
            </w:pPr>
            <w:r>
              <w:rPr>
                <w:rFonts w:hint="eastAsia"/>
                <w:sz w:val="24"/>
              </w:rPr>
              <w:t>125m</w:t>
            </w:r>
            <w:r>
              <w:rPr>
                <w:sz w:val="24"/>
              </w:rPr>
              <w:t>³</w:t>
            </w:r>
          </w:p>
        </w:tc>
        <w:tc>
          <w:tcPr>
            <w:tcW w:w="990" w:type="dxa"/>
            <w:noWrap w:val="0"/>
            <w:vAlign w:val="center"/>
          </w:tcPr>
          <w:p w14:paraId="0758F662">
            <w:pPr>
              <w:spacing w:line="0" w:lineRule="atLeast"/>
              <w:jc w:val="center"/>
              <w:rPr>
                <w:rFonts w:hint="eastAsia"/>
                <w:sz w:val="24"/>
              </w:rPr>
            </w:pPr>
            <w:r>
              <w:rPr>
                <w:rFonts w:hint="eastAsia"/>
                <w:sz w:val="24"/>
              </w:rPr>
              <w:t>不锈钢</w:t>
            </w:r>
          </w:p>
        </w:tc>
        <w:tc>
          <w:tcPr>
            <w:tcW w:w="945" w:type="dxa"/>
            <w:noWrap w:val="0"/>
            <w:vAlign w:val="center"/>
          </w:tcPr>
          <w:p w14:paraId="5C359278">
            <w:pPr>
              <w:spacing w:line="0" w:lineRule="atLeast"/>
              <w:jc w:val="center"/>
              <w:rPr>
                <w:sz w:val="24"/>
              </w:rPr>
            </w:pPr>
            <w:r>
              <w:rPr>
                <w:rFonts w:hint="eastAsia"/>
                <w:sz w:val="24"/>
              </w:rPr>
              <w:t>2个</w:t>
            </w:r>
          </w:p>
        </w:tc>
        <w:tc>
          <w:tcPr>
            <w:tcW w:w="1620" w:type="dxa"/>
            <w:noWrap w:val="0"/>
            <w:vAlign w:val="center"/>
          </w:tcPr>
          <w:p w14:paraId="5F8700E8">
            <w:pPr>
              <w:spacing w:line="0" w:lineRule="atLeast"/>
              <w:jc w:val="center"/>
              <w:rPr>
                <w:rFonts w:hint="eastAsia" w:eastAsia="宋体"/>
                <w:sz w:val="24"/>
                <w:lang w:val="en-US" w:eastAsia="zh-CN"/>
              </w:rPr>
            </w:pPr>
            <w:r>
              <w:rPr>
                <w:rFonts w:hint="eastAsia"/>
                <w:sz w:val="24"/>
                <w:lang w:val="en-US" w:eastAsia="zh-CN"/>
              </w:rPr>
              <w:t>上下半年</w:t>
            </w:r>
            <w:r>
              <w:rPr>
                <w:rFonts w:hint="eastAsia"/>
                <w:sz w:val="24"/>
              </w:rPr>
              <w:t>清洗</w:t>
            </w:r>
            <w:r>
              <w:rPr>
                <w:rFonts w:hint="eastAsia"/>
                <w:sz w:val="24"/>
                <w:lang w:val="en-US" w:eastAsia="zh-CN"/>
              </w:rPr>
              <w:t>二次</w:t>
            </w:r>
          </w:p>
        </w:tc>
      </w:tr>
      <w:tr w14:paraId="55C6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72A32B6B">
            <w:pPr>
              <w:spacing w:line="0" w:lineRule="atLeast"/>
              <w:jc w:val="center"/>
              <w:rPr>
                <w:rFonts w:hint="eastAsia"/>
                <w:sz w:val="24"/>
              </w:rPr>
            </w:pPr>
            <w:r>
              <w:rPr>
                <w:rFonts w:hint="eastAsia"/>
                <w:sz w:val="24"/>
              </w:rPr>
              <w:t>2</w:t>
            </w:r>
          </w:p>
        </w:tc>
        <w:tc>
          <w:tcPr>
            <w:tcW w:w="1843" w:type="dxa"/>
            <w:noWrap w:val="0"/>
            <w:vAlign w:val="center"/>
          </w:tcPr>
          <w:p w14:paraId="1AEF29F3">
            <w:pPr>
              <w:spacing w:line="0" w:lineRule="atLeast"/>
              <w:jc w:val="center"/>
              <w:rPr>
                <w:rFonts w:hint="eastAsia"/>
                <w:sz w:val="24"/>
              </w:rPr>
            </w:pPr>
            <w:r>
              <w:rPr>
                <w:rFonts w:hint="eastAsia"/>
                <w:sz w:val="24"/>
              </w:rPr>
              <w:t>田心校区</w:t>
            </w:r>
          </w:p>
        </w:tc>
        <w:tc>
          <w:tcPr>
            <w:tcW w:w="2066" w:type="dxa"/>
            <w:noWrap w:val="0"/>
            <w:vAlign w:val="center"/>
          </w:tcPr>
          <w:p w14:paraId="6138F14D">
            <w:pPr>
              <w:spacing w:line="0" w:lineRule="atLeast"/>
              <w:jc w:val="center"/>
              <w:rPr>
                <w:rFonts w:hint="eastAsia"/>
                <w:sz w:val="24"/>
              </w:rPr>
            </w:pPr>
            <w:r>
              <w:rPr>
                <w:rFonts w:hint="eastAsia"/>
                <w:sz w:val="24"/>
                <w:lang w:val="en-US" w:eastAsia="zh-CN"/>
              </w:rPr>
              <w:t>100</w:t>
            </w:r>
            <w:r>
              <w:rPr>
                <w:rFonts w:hint="eastAsia"/>
                <w:sz w:val="24"/>
              </w:rPr>
              <w:t>m</w:t>
            </w:r>
            <w:r>
              <w:rPr>
                <w:sz w:val="24"/>
              </w:rPr>
              <w:t>³</w:t>
            </w:r>
          </w:p>
        </w:tc>
        <w:tc>
          <w:tcPr>
            <w:tcW w:w="990" w:type="dxa"/>
            <w:noWrap w:val="0"/>
            <w:vAlign w:val="center"/>
          </w:tcPr>
          <w:p w14:paraId="6B5E72A5">
            <w:pPr>
              <w:spacing w:line="0" w:lineRule="atLeast"/>
              <w:jc w:val="center"/>
              <w:rPr>
                <w:rFonts w:hint="eastAsia"/>
                <w:sz w:val="24"/>
              </w:rPr>
            </w:pPr>
            <w:r>
              <w:rPr>
                <w:rFonts w:hint="eastAsia"/>
                <w:sz w:val="24"/>
              </w:rPr>
              <w:t>不锈钢</w:t>
            </w:r>
          </w:p>
        </w:tc>
        <w:tc>
          <w:tcPr>
            <w:tcW w:w="945" w:type="dxa"/>
            <w:noWrap w:val="0"/>
            <w:vAlign w:val="center"/>
          </w:tcPr>
          <w:p w14:paraId="128EEF67">
            <w:pPr>
              <w:spacing w:line="0" w:lineRule="atLeast"/>
              <w:jc w:val="center"/>
              <w:rPr>
                <w:sz w:val="24"/>
              </w:rPr>
            </w:pPr>
            <w:r>
              <w:rPr>
                <w:rFonts w:hint="eastAsia"/>
                <w:sz w:val="24"/>
                <w:lang w:val="en-US" w:eastAsia="zh-CN"/>
              </w:rPr>
              <w:t>2</w:t>
            </w:r>
            <w:r>
              <w:rPr>
                <w:rFonts w:hint="eastAsia"/>
                <w:sz w:val="24"/>
              </w:rPr>
              <w:t>个</w:t>
            </w:r>
          </w:p>
        </w:tc>
        <w:tc>
          <w:tcPr>
            <w:tcW w:w="1620" w:type="dxa"/>
            <w:noWrap w:val="0"/>
            <w:vAlign w:val="center"/>
          </w:tcPr>
          <w:p w14:paraId="7480C04B">
            <w:pPr>
              <w:spacing w:line="0" w:lineRule="atLeast"/>
              <w:jc w:val="center"/>
              <w:rPr>
                <w:rFonts w:hint="eastAsia"/>
                <w:sz w:val="24"/>
              </w:rPr>
            </w:pPr>
            <w:r>
              <w:rPr>
                <w:rFonts w:hint="eastAsia"/>
                <w:sz w:val="24"/>
                <w:lang w:val="en-US" w:eastAsia="zh-CN"/>
              </w:rPr>
              <w:t>上下半年</w:t>
            </w:r>
            <w:r>
              <w:rPr>
                <w:rFonts w:hint="eastAsia"/>
                <w:sz w:val="24"/>
              </w:rPr>
              <w:t>清洗</w:t>
            </w:r>
            <w:r>
              <w:rPr>
                <w:rFonts w:hint="eastAsia"/>
                <w:sz w:val="24"/>
                <w:lang w:val="en-US" w:eastAsia="zh-CN"/>
              </w:rPr>
              <w:t>二次</w:t>
            </w:r>
          </w:p>
        </w:tc>
      </w:tr>
      <w:tr w14:paraId="322B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5DD4D841">
            <w:pPr>
              <w:spacing w:line="0" w:lineRule="atLeast"/>
              <w:jc w:val="center"/>
              <w:rPr>
                <w:rFonts w:hint="eastAsia"/>
                <w:sz w:val="24"/>
              </w:rPr>
            </w:pPr>
            <w:r>
              <w:rPr>
                <w:rFonts w:hint="eastAsia"/>
                <w:sz w:val="24"/>
              </w:rPr>
              <w:t>3</w:t>
            </w:r>
          </w:p>
        </w:tc>
        <w:tc>
          <w:tcPr>
            <w:tcW w:w="1843" w:type="dxa"/>
            <w:noWrap w:val="0"/>
            <w:vAlign w:val="center"/>
          </w:tcPr>
          <w:p w14:paraId="0A8A725F">
            <w:pPr>
              <w:spacing w:line="0" w:lineRule="atLeast"/>
              <w:jc w:val="center"/>
              <w:rPr>
                <w:sz w:val="24"/>
              </w:rPr>
            </w:pPr>
            <w:r>
              <w:rPr>
                <w:rFonts w:hint="eastAsia"/>
                <w:sz w:val="24"/>
              </w:rPr>
              <w:t>水质检测报告</w:t>
            </w:r>
          </w:p>
        </w:tc>
        <w:tc>
          <w:tcPr>
            <w:tcW w:w="2066" w:type="dxa"/>
            <w:noWrap w:val="0"/>
            <w:vAlign w:val="center"/>
          </w:tcPr>
          <w:p w14:paraId="570FDE93">
            <w:pPr>
              <w:spacing w:line="0" w:lineRule="atLeast"/>
              <w:jc w:val="center"/>
              <w:rPr>
                <w:sz w:val="24"/>
              </w:rPr>
            </w:pPr>
            <w:r>
              <w:rPr>
                <w:rFonts w:hint="eastAsia"/>
                <w:sz w:val="24"/>
              </w:rPr>
              <w:t>8项水质检测</w:t>
            </w:r>
          </w:p>
        </w:tc>
        <w:tc>
          <w:tcPr>
            <w:tcW w:w="990" w:type="dxa"/>
            <w:noWrap w:val="0"/>
            <w:vAlign w:val="center"/>
          </w:tcPr>
          <w:p w14:paraId="4CD5674B">
            <w:pPr>
              <w:spacing w:line="0" w:lineRule="atLeast"/>
              <w:jc w:val="center"/>
              <w:rPr>
                <w:rFonts w:hint="eastAsia"/>
                <w:sz w:val="24"/>
              </w:rPr>
            </w:pPr>
          </w:p>
        </w:tc>
        <w:tc>
          <w:tcPr>
            <w:tcW w:w="945" w:type="dxa"/>
            <w:noWrap w:val="0"/>
            <w:vAlign w:val="center"/>
          </w:tcPr>
          <w:p w14:paraId="40940DEB">
            <w:pPr>
              <w:spacing w:line="0" w:lineRule="atLeast"/>
              <w:jc w:val="center"/>
              <w:rPr>
                <w:sz w:val="24"/>
              </w:rPr>
            </w:pPr>
            <w:r>
              <w:rPr>
                <w:rFonts w:hint="eastAsia"/>
                <w:sz w:val="24"/>
                <w:lang w:val="en-US" w:eastAsia="zh-CN"/>
              </w:rPr>
              <w:t>4</w:t>
            </w:r>
            <w:r>
              <w:rPr>
                <w:rFonts w:hint="eastAsia"/>
                <w:sz w:val="24"/>
              </w:rPr>
              <w:t>份</w:t>
            </w:r>
          </w:p>
        </w:tc>
        <w:tc>
          <w:tcPr>
            <w:tcW w:w="1620" w:type="dxa"/>
            <w:noWrap w:val="0"/>
            <w:vAlign w:val="center"/>
          </w:tcPr>
          <w:p w14:paraId="650F63EE">
            <w:pPr>
              <w:spacing w:line="0" w:lineRule="atLeast"/>
              <w:jc w:val="center"/>
              <w:rPr>
                <w:rFonts w:hint="default" w:eastAsia="宋体"/>
                <w:sz w:val="24"/>
                <w:lang w:val="en-US" w:eastAsia="zh-CN"/>
              </w:rPr>
            </w:pPr>
            <w:r>
              <w:rPr>
                <w:rFonts w:hint="eastAsia"/>
                <w:sz w:val="24"/>
                <w:lang w:val="en-US" w:eastAsia="zh-CN"/>
              </w:rPr>
              <w:t>田心校区、云龙校区，上下半年各二份共计四份</w:t>
            </w:r>
          </w:p>
        </w:tc>
      </w:tr>
      <w:tr w14:paraId="1582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restart"/>
            <w:noWrap w:val="0"/>
            <w:vAlign w:val="center"/>
          </w:tcPr>
          <w:p w14:paraId="595FB2BF">
            <w:pPr>
              <w:spacing w:line="0" w:lineRule="atLeast"/>
              <w:jc w:val="center"/>
              <w:rPr>
                <w:rFonts w:hint="eastAsia"/>
                <w:sz w:val="24"/>
              </w:rPr>
            </w:pPr>
            <w:r>
              <w:rPr>
                <w:rFonts w:hint="eastAsia"/>
                <w:sz w:val="24"/>
              </w:rPr>
              <w:t>4</w:t>
            </w:r>
          </w:p>
        </w:tc>
        <w:tc>
          <w:tcPr>
            <w:tcW w:w="1843" w:type="dxa"/>
            <w:vMerge w:val="restart"/>
            <w:noWrap w:val="0"/>
            <w:vAlign w:val="center"/>
          </w:tcPr>
          <w:p w14:paraId="7BE2BAC5">
            <w:pPr>
              <w:spacing w:line="0" w:lineRule="atLeast"/>
              <w:jc w:val="center"/>
              <w:rPr>
                <w:sz w:val="24"/>
              </w:rPr>
            </w:pPr>
            <w:r>
              <w:rPr>
                <w:rFonts w:hint="eastAsia"/>
                <w:sz w:val="24"/>
              </w:rPr>
              <w:t>药剂</w:t>
            </w:r>
          </w:p>
        </w:tc>
        <w:tc>
          <w:tcPr>
            <w:tcW w:w="2066" w:type="dxa"/>
            <w:noWrap w:val="0"/>
            <w:vAlign w:val="center"/>
          </w:tcPr>
          <w:p w14:paraId="477A1189">
            <w:pPr>
              <w:spacing w:line="0" w:lineRule="atLeast"/>
              <w:jc w:val="center"/>
              <w:rPr>
                <w:rFonts w:hint="eastAsia"/>
                <w:sz w:val="24"/>
              </w:rPr>
            </w:pPr>
            <w:r>
              <w:rPr>
                <w:rFonts w:hint="eastAsia"/>
                <w:sz w:val="24"/>
              </w:rPr>
              <w:t>高纯二氧化氯消毒粉剂</w:t>
            </w:r>
          </w:p>
        </w:tc>
        <w:tc>
          <w:tcPr>
            <w:tcW w:w="990" w:type="dxa"/>
            <w:noWrap w:val="0"/>
            <w:vAlign w:val="center"/>
          </w:tcPr>
          <w:p w14:paraId="5245401C">
            <w:pPr>
              <w:spacing w:line="0" w:lineRule="atLeast"/>
              <w:jc w:val="center"/>
              <w:rPr>
                <w:rFonts w:hint="eastAsia"/>
                <w:sz w:val="24"/>
              </w:rPr>
            </w:pPr>
          </w:p>
        </w:tc>
        <w:tc>
          <w:tcPr>
            <w:tcW w:w="945" w:type="dxa"/>
            <w:noWrap w:val="0"/>
            <w:vAlign w:val="center"/>
          </w:tcPr>
          <w:p w14:paraId="600819D5">
            <w:pPr>
              <w:spacing w:line="0" w:lineRule="atLeast"/>
              <w:jc w:val="center"/>
              <w:rPr>
                <w:sz w:val="24"/>
              </w:rPr>
            </w:pPr>
            <w:r>
              <w:rPr>
                <w:rFonts w:hint="eastAsia"/>
                <w:sz w:val="24"/>
              </w:rPr>
              <w:t>22瓶</w:t>
            </w:r>
          </w:p>
        </w:tc>
        <w:tc>
          <w:tcPr>
            <w:tcW w:w="1620" w:type="dxa"/>
            <w:noWrap w:val="0"/>
            <w:vAlign w:val="center"/>
          </w:tcPr>
          <w:p w14:paraId="059B0EA2">
            <w:pPr>
              <w:spacing w:line="0" w:lineRule="atLeast"/>
              <w:jc w:val="center"/>
              <w:rPr>
                <w:rFonts w:hint="eastAsia"/>
                <w:sz w:val="24"/>
              </w:rPr>
            </w:pPr>
            <w:r>
              <w:rPr>
                <w:rFonts w:hint="eastAsia"/>
                <w:sz w:val="24"/>
              </w:rPr>
              <w:t>云龙：12瓶</w:t>
            </w:r>
          </w:p>
          <w:p w14:paraId="493D55B2">
            <w:pPr>
              <w:spacing w:line="0" w:lineRule="atLeast"/>
              <w:jc w:val="center"/>
              <w:rPr>
                <w:sz w:val="24"/>
              </w:rPr>
            </w:pPr>
            <w:r>
              <w:rPr>
                <w:rFonts w:hint="eastAsia"/>
                <w:sz w:val="24"/>
              </w:rPr>
              <w:t>田心：10瓶</w:t>
            </w:r>
          </w:p>
        </w:tc>
      </w:tr>
      <w:tr w14:paraId="50B7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noWrap w:val="0"/>
            <w:vAlign w:val="center"/>
          </w:tcPr>
          <w:p w14:paraId="6B5EE2BB">
            <w:pPr>
              <w:spacing w:line="0" w:lineRule="atLeast"/>
              <w:jc w:val="center"/>
              <w:rPr>
                <w:rFonts w:hint="eastAsia"/>
                <w:sz w:val="24"/>
              </w:rPr>
            </w:pPr>
          </w:p>
        </w:tc>
        <w:tc>
          <w:tcPr>
            <w:tcW w:w="1843" w:type="dxa"/>
            <w:vMerge w:val="continue"/>
            <w:noWrap w:val="0"/>
            <w:vAlign w:val="center"/>
          </w:tcPr>
          <w:p w14:paraId="781A9895">
            <w:pPr>
              <w:spacing w:line="0" w:lineRule="atLeast"/>
              <w:jc w:val="center"/>
              <w:rPr>
                <w:rFonts w:hint="eastAsia"/>
                <w:sz w:val="24"/>
              </w:rPr>
            </w:pPr>
          </w:p>
        </w:tc>
        <w:tc>
          <w:tcPr>
            <w:tcW w:w="2066" w:type="dxa"/>
            <w:noWrap w:val="0"/>
            <w:vAlign w:val="center"/>
          </w:tcPr>
          <w:p w14:paraId="51F23A7B">
            <w:pPr>
              <w:spacing w:line="0" w:lineRule="atLeast"/>
              <w:jc w:val="center"/>
              <w:rPr>
                <w:rFonts w:hint="eastAsia"/>
                <w:sz w:val="24"/>
              </w:rPr>
            </w:pPr>
            <w:r>
              <w:rPr>
                <w:rFonts w:hint="eastAsia"/>
                <w:sz w:val="24"/>
              </w:rPr>
              <w:t>甲土立丁溶液</w:t>
            </w:r>
          </w:p>
        </w:tc>
        <w:tc>
          <w:tcPr>
            <w:tcW w:w="990" w:type="dxa"/>
            <w:noWrap w:val="0"/>
            <w:vAlign w:val="center"/>
          </w:tcPr>
          <w:p w14:paraId="3D717316">
            <w:pPr>
              <w:spacing w:line="0" w:lineRule="atLeast"/>
              <w:jc w:val="center"/>
              <w:rPr>
                <w:rFonts w:hint="eastAsia"/>
                <w:sz w:val="24"/>
              </w:rPr>
            </w:pPr>
          </w:p>
        </w:tc>
        <w:tc>
          <w:tcPr>
            <w:tcW w:w="945" w:type="dxa"/>
            <w:noWrap w:val="0"/>
            <w:vAlign w:val="center"/>
          </w:tcPr>
          <w:p w14:paraId="0458F4ED">
            <w:pPr>
              <w:spacing w:line="0" w:lineRule="atLeast"/>
              <w:jc w:val="center"/>
              <w:rPr>
                <w:sz w:val="24"/>
              </w:rPr>
            </w:pPr>
            <w:r>
              <w:rPr>
                <w:rFonts w:hint="eastAsia"/>
                <w:sz w:val="24"/>
              </w:rPr>
              <w:t>2瓶</w:t>
            </w:r>
          </w:p>
        </w:tc>
        <w:tc>
          <w:tcPr>
            <w:tcW w:w="1620" w:type="dxa"/>
            <w:noWrap w:val="0"/>
            <w:vAlign w:val="center"/>
          </w:tcPr>
          <w:p w14:paraId="2BE50A2F">
            <w:pPr>
              <w:spacing w:line="0" w:lineRule="atLeast"/>
              <w:jc w:val="center"/>
              <w:rPr>
                <w:rFonts w:hint="eastAsia"/>
                <w:sz w:val="24"/>
              </w:rPr>
            </w:pPr>
            <w:r>
              <w:rPr>
                <w:rFonts w:hint="eastAsia"/>
                <w:sz w:val="24"/>
              </w:rPr>
              <w:t>云龙：1瓶</w:t>
            </w:r>
          </w:p>
          <w:p w14:paraId="140EBA85">
            <w:pPr>
              <w:spacing w:line="0" w:lineRule="atLeast"/>
              <w:jc w:val="center"/>
              <w:rPr>
                <w:sz w:val="24"/>
              </w:rPr>
            </w:pPr>
            <w:r>
              <w:rPr>
                <w:rFonts w:hint="eastAsia"/>
                <w:sz w:val="24"/>
              </w:rPr>
              <w:t>田心：1瓶</w:t>
            </w:r>
          </w:p>
        </w:tc>
      </w:tr>
      <w:tr w14:paraId="219F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4605D841">
            <w:pPr>
              <w:spacing w:line="0" w:lineRule="atLeast"/>
              <w:jc w:val="center"/>
              <w:rPr>
                <w:sz w:val="24"/>
              </w:rPr>
            </w:pPr>
            <w:r>
              <w:rPr>
                <w:sz w:val="24"/>
              </w:rPr>
              <w:t>5</w:t>
            </w:r>
          </w:p>
        </w:tc>
        <w:tc>
          <w:tcPr>
            <w:tcW w:w="1843" w:type="dxa"/>
            <w:noWrap w:val="0"/>
            <w:vAlign w:val="center"/>
          </w:tcPr>
          <w:p w14:paraId="0E582F7E">
            <w:pPr>
              <w:spacing w:line="0" w:lineRule="atLeast"/>
              <w:jc w:val="center"/>
              <w:rPr>
                <w:sz w:val="24"/>
              </w:rPr>
            </w:pPr>
            <w:r>
              <w:rPr>
                <w:rFonts w:hint="eastAsia"/>
                <w:sz w:val="24"/>
              </w:rPr>
              <w:t>光电比色计</w:t>
            </w:r>
          </w:p>
        </w:tc>
        <w:tc>
          <w:tcPr>
            <w:tcW w:w="2066" w:type="dxa"/>
            <w:noWrap w:val="0"/>
            <w:vAlign w:val="center"/>
          </w:tcPr>
          <w:p w14:paraId="326E46B0">
            <w:pPr>
              <w:spacing w:line="0" w:lineRule="atLeast"/>
              <w:jc w:val="center"/>
              <w:rPr>
                <w:rFonts w:hint="eastAsia"/>
                <w:sz w:val="24"/>
              </w:rPr>
            </w:pPr>
          </w:p>
        </w:tc>
        <w:tc>
          <w:tcPr>
            <w:tcW w:w="990" w:type="dxa"/>
            <w:noWrap w:val="0"/>
            <w:vAlign w:val="center"/>
          </w:tcPr>
          <w:p w14:paraId="79FAB031">
            <w:pPr>
              <w:spacing w:line="0" w:lineRule="atLeast"/>
              <w:jc w:val="center"/>
              <w:rPr>
                <w:rFonts w:hint="eastAsia"/>
                <w:sz w:val="24"/>
              </w:rPr>
            </w:pPr>
          </w:p>
        </w:tc>
        <w:tc>
          <w:tcPr>
            <w:tcW w:w="945" w:type="dxa"/>
            <w:noWrap w:val="0"/>
            <w:vAlign w:val="center"/>
          </w:tcPr>
          <w:p w14:paraId="5F95A7C0">
            <w:pPr>
              <w:spacing w:line="0" w:lineRule="atLeast"/>
              <w:jc w:val="center"/>
              <w:rPr>
                <w:sz w:val="24"/>
              </w:rPr>
            </w:pPr>
            <w:r>
              <w:rPr>
                <w:rFonts w:hint="eastAsia"/>
                <w:sz w:val="24"/>
              </w:rPr>
              <w:t>2个</w:t>
            </w:r>
          </w:p>
        </w:tc>
        <w:tc>
          <w:tcPr>
            <w:tcW w:w="1620" w:type="dxa"/>
            <w:noWrap w:val="0"/>
            <w:vAlign w:val="center"/>
          </w:tcPr>
          <w:p w14:paraId="58E3B23D">
            <w:pPr>
              <w:spacing w:line="0" w:lineRule="atLeast"/>
              <w:jc w:val="center"/>
              <w:rPr>
                <w:rFonts w:hint="eastAsia"/>
                <w:sz w:val="24"/>
              </w:rPr>
            </w:pPr>
            <w:r>
              <w:rPr>
                <w:rFonts w:hint="eastAsia"/>
                <w:sz w:val="24"/>
              </w:rPr>
              <w:t>云龙：1个</w:t>
            </w:r>
          </w:p>
          <w:p w14:paraId="23DD3F7A">
            <w:pPr>
              <w:spacing w:line="0" w:lineRule="atLeast"/>
              <w:jc w:val="center"/>
              <w:rPr>
                <w:rFonts w:hint="eastAsia"/>
                <w:sz w:val="24"/>
              </w:rPr>
            </w:pPr>
            <w:r>
              <w:rPr>
                <w:rFonts w:hint="eastAsia"/>
                <w:sz w:val="24"/>
              </w:rPr>
              <w:t>田心：1个</w:t>
            </w:r>
          </w:p>
        </w:tc>
      </w:tr>
    </w:tbl>
    <w:p w14:paraId="7C71EB22">
      <w:pPr>
        <w:spacing w:before="156" w:beforeLines="50" w:line="360" w:lineRule="auto"/>
        <w:jc w:val="center"/>
        <w:rPr>
          <w:sz w:val="24"/>
        </w:rPr>
      </w:pPr>
    </w:p>
    <w:p w14:paraId="1316CB67">
      <w:pPr>
        <w:numPr>
          <w:ilvl w:val="0"/>
          <w:numId w:val="3"/>
        </w:numPr>
        <w:spacing w:before="156" w:beforeLines="50" w:line="360" w:lineRule="auto"/>
        <w:rPr>
          <w:rFonts w:hint="eastAsia"/>
          <w:sz w:val="24"/>
        </w:rPr>
      </w:pPr>
      <w:r>
        <w:rPr>
          <w:rFonts w:hint="eastAsia"/>
          <w:sz w:val="24"/>
        </w:rPr>
        <w:t>服务质量要求：</w:t>
      </w:r>
    </w:p>
    <w:p w14:paraId="632D4306">
      <w:pPr>
        <w:tabs>
          <w:tab w:val="left" w:pos="312"/>
        </w:tabs>
        <w:spacing w:line="360" w:lineRule="auto"/>
        <w:ind w:firstLine="480" w:firstLineChars="200"/>
        <w:jc w:val="left"/>
        <w:rPr>
          <w:rFonts w:hint="eastAsia"/>
          <w:sz w:val="24"/>
        </w:rPr>
      </w:pPr>
      <w:r>
        <w:rPr>
          <w:rFonts w:hint="eastAsia"/>
          <w:sz w:val="24"/>
        </w:rPr>
        <w:t>1.二次供水水箱清洗要按照国家卫生部门要求，严格执行。保证水质检测合格。</w:t>
      </w:r>
    </w:p>
    <w:p w14:paraId="555B0784">
      <w:pPr>
        <w:tabs>
          <w:tab w:val="left" w:pos="312"/>
        </w:tabs>
        <w:spacing w:line="360" w:lineRule="auto"/>
        <w:ind w:firstLine="480" w:firstLineChars="200"/>
        <w:jc w:val="left"/>
        <w:rPr>
          <w:sz w:val="24"/>
        </w:rPr>
      </w:pPr>
      <w:r>
        <w:rPr>
          <w:sz w:val="24"/>
        </w:rPr>
        <w:t>2</w:t>
      </w:r>
      <w:r>
        <w:rPr>
          <w:rFonts w:hint="eastAsia"/>
          <w:sz w:val="24"/>
        </w:rPr>
        <w:t>.要求维修人员持证上岗，并穿着工装。</w:t>
      </w:r>
    </w:p>
    <w:p w14:paraId="05C5952C">
      <w:pPr>
        <w:spacing w:line="360" w:lineRule="auto"/>
        <w:ind w:firstLine="480" w:firstLineChars="200"/>
        <w:jc w:val="left"/>
        <w:rPr>
          <w:rFonts w:hint="eastAsia"/>
          <w:sz w:val="24"/>
        </w:rPr>
      </w:pPr>
      <w:r>
        <w:rPr>
          <w:color w:val="auto"/>
          <w:sz w:val="24"/>
        </w:rPr>
        <w:t>3</w:t>
      </w:r>
      <w:r>
        <w:rPr>
          <w:rFonts w:hint="eastAsia"/>
          <w:color w:val="auto"/>
          <w:sz w:val="24"/>
        </w:rPr>
        <w:t>.每学期进行</w:t>
      </w:r>
      <w:r>
        <w:rPr>
          <w:rFonts w:hint="eastAsia" w:ascii="Times New Roman" w:hAnsi="Times New Roman" w:eastAsia="宋体" w:cs="Times New Roman"/>
          <w:color w:val="auto"/>
          <w:sz w:val="24"/>
          <w:lang w:val="en-US" w:eastAsia="zh-CN"/>
        </w:rPr>
        <w:t>两</w:t>
      </w:r>
      <w:r>
        <w:rPr>
          <w:rFonts w:hint="eastAsia" w:ascii="Times New Roman" w:hAnsi="Times New Roman" w:eastAsia="宋体" w:cs="Times New Roman"/>
          <w:color w:val="auto"/>
          <w:sz w:val="24"/>
        </w:rPr>
        <w:t>次清洗，安</w:t>
      </w:r>
      <w:r>
        <w:rPr>
          <w:rFonts w:hint="eastAsia"/>
          <w:color w:val="auto"/>
          <w:sz w:val="24"/>
        </w:rPr>
        <w:t>排在寒暑假</w:t>
      </w:r>
      <w:r>
        <w:rPr>
          <w:rFonts w:hint="eastAsia"/>
          <w:sz w:val="24"/>
        </w:rPr>
        <w:t>期间进行，不得影响学校的正常教学工作和学生生活秩序。</w:t>
      </w:r>
    </w:p>
    <w:p w14:paraId="3FC5D94A">
      <w:pPr>
        <w:spacing w:line="360" w:lineRule="auto"/>
        <w:ind w:firstLine="480" w:firstLineChars="200"/>
        <w:jc w:val="left"/>
        <w:rPr>
          <w:sz w:val="24"/>
        </w:rPr>
      </w:pPr>
      <w:r>
        <w:rPr>
          <w:rFonts w:hint="eastAsia"/>
          <w:sz w:val="24"/>
        </w:rPr>
        <w:t>4.服从主管老师指令，完成清洗作业。</w:t>
      </w:r>
    </w:p>
    <w:p w14:paraId="1639E89D">
      <w:pPr>
        <w:spacing w:line="360" w:lineRule="auto"/>
        <w:ind w:firstLine="480" w:firstLineChars="200"/>
        <w:jc w:val="left"/>
        <w:rPr>
          <w:rFonts w:hint="eastAsia"/>
          <w:sz w:val="24"/>
        </w:rPr>
      </w:pPr>
      <w:r>
        <w:rPr>
          <w:rFonts w:hint="eastAsia"/>
          <w:sz w:val="24"/>
        </w:rPr>
        <w:t>5.清洗服务人员必须遵守各项安全规范要求，在服务期间发生的各类安全责任全部由中标方负责，校方不承担各类责任。</w:t>
      </w:r>
    </w:p>
    <w:p w14:paraId="6348D605">
      <w:pPr>
        <w:spacing w:line="360" w:lineRule="auto"/>
        <w:ind w:firstLine="480" w:firstLineChars="200"/>
        <w:jc w:val="left"/>
        <w:rPr>
          <w:sz w:val="24"/>
        </w:rPr>
      </w:pPr>
      <w:r>
        <w:rPr>
          <w:rFonts w:hint="eastAsia"/>
          <w:sz w:val="24"/>
        </w:rPr>
        <w:t>6.维修服务人员在校服务期间，必须遵守校方的各项规章制度，对违反制度的行为，校方有权进行考核，后果严重的将从重考核。</w:t>
      </w:r>
    </w:p>
    <w:p w14:paraId="72A7DAA7">
      <w:pPr>
        <w:numPr>
          <w:ilvl w:val="0"/>
          <w:numId w:val="3"/>
        </w:numPr>
        <w:spacing w:before="156" w:beforeLines="50" w:line="360" w:lineRule="auto"/>
        <w:rPr>
          <w:rFonts w:hint="eastAsia"/>
          <w:sz w:val="24"/>
        </w:rPr>
      </w:pPr>
      <w:r>
        <w:rPr>
          <w:rFonts w:hint="eastAsia"/>
          <w:sz w:val="24"/>
        </w:rPr>
        <w:t>服务质量检查考核标准和方法：</w:t>
      </w:r>
    </w:p>
    <w:tbl>
      <w:tblPr>
        <w:tblStyle w:val="16"/>
        <w:tblpPr w:leftFromText="180" w:rightFromText="180" w:vertAnchor="text" w:horzAnchor="page" w:tblpX="1672" w:tblpY="421"/>
        <w:tblOverlap w:val="never"/>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58"/>
        <w:gridCol w:w="4214"/>
        <w:gridCol w:w="1853"/>
      </w:tblGrid>
      <w:tr w14:paraId="0F56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188" w:type="dxa"/>
            <w:noWrap w:val="0"/>
            <w:vAlign w:val="center"/>
          </w:tcPr>
          <w:p w14:paraId="17CAEC27">
            <w:pPr>
              <w:adjustRightInd w:val="0"/>
              <w:snapToGrid w:val="0"/>
              <w:spacing w:line="0" w:lineRule="atLeast"/>
              <w:jc w:val="center"/>
              <w:rPr>
                <w:rFonts w:hint="eastAsia" w:ascii="宋体" w:hAnsi="宋体" w:cs="宋体"/>
                <w:b/>
                <w:color w:val="000000"/>
                <w:sz w:val="24"/>
              </w:rPr>
            </w:pPr>
            <w:r>
              <w:rPr>
                <w:rFonts w:hint="eastAsia" w:ascii="宋体" w:hAnsi="宋体" w:cs="宋体"/>
                <w:b/>
                <w:color w:val="000000"/>
                <w:sz w:val="24"/>
              </w:rPr>
              <w:t>类别</w:t>
            </w:r>
          </w:p>
        </w:tc>
        <w:tc>
          <w:tcPr>
            <w:tcW w:w="1358" w:type="dxa"/>
            <w:noWrap w:val="0"/>
            <w:vAlign w:val="center"/>
          </w:tcPr>
          <w:p w14:paraId="1279A843">
            <w:pPr>
              <w:adjustRightInd w:val="0"/>
              <w:snapToGrid w:val="0"/>
              <w:spacing w:line="0" w:lineRule="atLeast"/>
              <w:ind w:left="-42" w:leftChars="-20"/>
              <w:jc w:val="center"/>
              <w:rPr>
                <w:rFonts w:hint="eastAsia" w:ascii="宋体" w:hAnsi="宋体" w:cs="宋体"/>
                <w:b/>
                <w:color w:val="000000"/>
                <w:sz w:val="24"/>
              </w:rPr>
            </w:pPr>
            <w:r>
              <w:rPr>
                <w:rFonts w:hint="eastAsia" w:ascii="宋体" w:hAnsi="宋体" w:cs="宋体"/>
                <w:b/>
                <w:color w:val="000000"/>
                <w:sz w:val="24"/>
              </w:rPr>
              <w:t>考核内容</w:t>
            </w:r>
          </w:p>
        </w:tc>
        <w:tc>
          <w:tcPr>
            <w:tcW w:w="4214" w:type="dxa"/>
            <w:noWrap w:val="0"/>
            <w:vAlign w:val="center"/>
          </w:tcPr>
          <w:p w14:paraId="4A736F67">
            <w:pPr>
              <w:adjustRightInd w:val="0"/>
              <w:snapToGrid w:val="0"/>
              <w:spacing w:line="0" w:lineRule="atLeast"/>
              <w:jc w:val="center"/>
              <w:rPr>
                <w:rFonts w:hint="eastAsia" w:ascii="宋体" w:hAnsi="宋体" w:cs="宋体"/>
                <w:b/>
                <w:color w:val="000000"/>
                <w:sz w:val="24"/>
              </w:rPr>
            </w:pPr>
            <w:r>
              <w:rPr>
                <w:rFonts w:hint="eastAsia" w:ascii="宋体" w:hAnsi="宋体" w:cs="宋体"/>
                <w:b/>
                <w:color w:val="000000"/>
                <w:sz w:val="24"/>
              </w:rPr>
              <w:t>处 罚 标 准</w:t>
            </w:r>
          </w:p>
        </w:tc>
        <w:tc>
          <w:tcPr>
            <w:tcW w:w="1853" w:type="dxa"/>
            <w:noWrap w:val="0"/>
            <w:vAlign w:val="center"/>
          </w:tcPr>
          <w:p w14:paraId="196C96E4">
            <w:pPr>
              <w:adjustRightInd w:val="0"/>
              <w:snapToGrid w:val="0"/>
              <w:spacing w:line="0" w:lineRule="atLeast"/>
              <w:jc w:val="center"/>
              <w:rPr>
                <w:rFonts w:hint="eastAsia" w:ascii="宋体" w:hAnsi="宋体" w:cs="宋体"/>
                <w:b/>
                <w:color w:val="000000"/>
                <w:sz w:val="24"/>
              </w:rPr>
            </w:pPr>
            <w:r>
              <w:rPr>
                <w:rFonts w:hint="eastAsia" w:ascii="宋体" w:hAnsi="宋体" w:cs="宋体"/>
                <w:b/>
                <w:color w:val="000000"/>
                <w:sz w:val="24"/>
              </w:rPr>
              <w:t>考核处罚办法</w:t>
            </w:r>
          </w:p>
        </w:tc>
      </w:tr>
      <w:tr w14:paraId="4AAF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188" w:type="dxa"/>
            <w:vMerge w:val="restart"/>
            <w:noWrap w:val="0"/>
            <w:vAlign w:val="center"/>
          </w:tcPr>
          <w:p w14:paraId="09231B1A">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服务人员形象</w:t>
            </w:r>
          </w:p>
        </w:tc>
        <w:tc>
          <w:tcPr>
            <w:tcW w:w="1358" w:type="dxa"/>
            <w:vMerge w:val="restart"/>
            <w:noWrap w:val="0"/>
            <w:vAlign w:val="center"/>
          </w:tcPr>
          <w:p w14:paraId="35902BEF">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服务态度</w:t>
            </w:r>
          </w:p>
        </w:tc>
        <w:tc>
          <w:tcPr>
            <w:tcW w:w="4214" w:type="dxa"/>
            <w:noWrap w:val="0"/>
            <w:vAlign w:val="center"/>
          </w:tcPr>
          <w:p w14:paraId="118E7AD2">
            <w:pPr>
              <w:adjustRightInd w:val="0"/>
              <w:snapToGrid w:val="0"/>
              <w:spacing w:line="0" w:lineRule="atLeast"/>
              <w:rPr>
                <w:rFonts w:hint="eastAsia" w:ascii="宋体" w:hAnsi="宋体" w:cs="宋体"/>
                <w:color w:val="000000"/>
                <w:sz w:val="24"/>
              </w:rPr>
            </w:pPr>
            <w:r>
              <w:rPr>
                <w:rFonts w:hint="eastAsia" w:ascii="宋体" w:hAnsi="宋体" w:cs="宋体"/>
                <w:color w:val="000000"/>
                <w:sz w:val="24"/>
              </w:rPr>
              <w:t>未做到服务热情，文明用语，仪表整齐，统一着装。</w:t>
            </w:r>
          </w:p>
        </w:tc>
        <w:tc>
          <w:tcPr>
            <w:tcW w:w="1853" w:type="dxa"/>
            <w:noWrap w:val="0"/>
            <w:vAlign w:val="center"/>
          </w:tcPr>
          <w:p w14:paraId="256A79DE">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100元/人/次</w:t>
            </w:r>
          </w:p>
        </w:tc>
      </w:tr>
      <w:tr w14:paraId="0449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188" w:type="dxa"/>
            <w:vMerge w:val="continue"/>
            <w:noWrap w:val="0"/>
            <w:vAlign w:val="center"/>
          </w:tcPr>
          <w:p w14:paraId="40B066F4">
            <w:pPr>
              <w:adjustRightInd w:val="0"/>
              <w:snapToGrid w:val="0"/>
              <w:spacing w:line="0" w:lineRule="atLeast"/>
              <w:jc w:val="center"/>
              <w:rPr>
                <w:rFonts w:hint="eastAsia" w:ascii="宋体" w:hAnsi="宋体" w:cs="宋体"/>
                <w:color w:val="000000"/>
                <w:sz w:val="24"/>
              </w:rPr>
            </w:pPr>
          </w:p>
        </w:tc>
        <w:tc>
          <w:tcPr>
            <w:tcW w:w="1358" w:type="dxa"/>
            <w:vMerge w:val="continue"/>
            <w:noWrap w:val="0"/>
            <w:vAlign w:val="center"/>
          </w:tcPr>
          <w:p w14:paraId="171A7ADA">
            <w:pPr>
              <w:adjustRightInd w:val="0"/>
              <w:snapToGrid w:val="0"/>
              <w:spacing w:line="0" w:lineRule="atLeast"/>
              <w:jc w:val="center"/>
              <w:rPr>
                <w:rFonts w:hint="eastAsia" w:ascii="宋体" w:hAnsi="宋体" w:cs="宋体"/>
                <w:color w:val="000000"/>
                <w:sz w:val="24"/>
              </w:rPr>
            </w:pPr>
          </w:p>
        </w:tc>
        <w:tc>
          <w:tcPr>
            <w:tcW w:w="4214" w:type="dxa"/>
            <w:noWrap w:val="0"/>
            <w:vAlign w:val="center"/>
          </w:tcPr>
          <w:p w14:paraId="67A148F3">
            <w:pPr>
              <w:adjustRightInd w:val="0"/>
              <w:snapToGrid w:val="0"/>
              <w:spacing w:line="0" w:lineRule="atLeast"/>
              <w:rPr>
                <w:rFonts w:hint="eastAsia" w:ascii="宋体" w:hAnsi="宋体" w:cs="宋体"/>
                <w:color w:val="000000"/>
                <w:sz w:val="24"/>
              </w:rPr>
            </w:pPr>
            <w:r>
              <w:rPr>
                <w:rFonts w:hint="eastAsia" w:ascii="宋体" w:hAnsi="宋体" w:cs="宋体"/>
                <w:color w:val="000000"/>
                <w:sz w:val="24"/>
              </w:rPr>
              <w:t>在清洗作业时与甲方学生、教职工发生争执</w:t>
            </w:r>
          </w:p>
        </w:tc>
        <w:tc>
          <w:tcPr>
            <w:tcW w:w="1853" w:type="dxa"/>
            <w:noWrap w:val="0"/>
            <w:vAlign w:val="center"/>
          </w:tcPr>
          <w:p w14:paraId="5D548959">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100元/人/次</w:t>
            </w:r>
          </w:p>
        </w:tc>
      </w:tr>
      <w:tr w14:paraId="5FF7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188" w:type="dxa"/>
            <w:vMerge w:val="restart"/>
            <w:noWrap w:val="0"/>
            <w:vAlign w:val="center"/>
          </w:tcPr>
          <w:p w14:paraId="4BCDEFD6">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维护维修</w:t>
            </w:r>
          </w:p>
          <w:p w14:paraId="45113253">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工作</w:t>
            </w:r>
          </w:p>
        </w:tc>
        <w:tc>
          <w:tcPr>
            <w:tcW w:w="1358" w:type="dxa"/>
            <w:vMerge w:val="restart"/>
            <w:noWrap w:val="0"/>
            <w:vAlign w:val="center"/>
          </w:tcPr>
          <w:p w14:paraId="15BCB471">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工作标准</w:t>
            </w:r>
          </w:p>
        </w:tc>
        <w:tc>
          <w:tcPr>
            <w:tcW w:w="4214" w:type="dxa"/>
            <w:noWrap w:val="0"/>
            <w:vAlign w:val="center"/>
          </w:tcPr>
          <w:p w14:paraId="274AE201">
            <w:pPr>
              <w:adjustRightInd w:val="0"/>
              <w:snapToGrid w:val="0"/>
              <w:spacing w:line="0" w:lineRule="atLeast"/>
              <w:rPr>
                <w:rFonts w:hint="eastAsia" w:ascii="宋体" w:hAnsi="宋体" w:cs="宋体"/>
                <w:color w:val="000000"/>
                <w:sz w:val="24"/>
              </w:rPr>
            </w:pPr>
            <w:r>
              <w:rPr>
                <w:rFonts w:hint="eastAsia" w:ascii="宋体" w:hAnsi="宋体" w:cs="宋体"/>
                <w:color w:val="000000"/>
                <w:sz w:val="24"/>
              </w:rPr>
              <w:t>未达到《</w:t>
            </w:r>
            <w:r>
              <w:rPr>
                <w:rFonts w:hint="eastAsia" w:ascii="宋体" w:hAnsi="宋体" w:cs="宋体"/>
                <w:sz w:val="24"/>
              </w:rPr>
              <w:t>服务质量要求</w:t>
            </w:r>
            <w:r>
              <w:rPr>
                <w:rFonts w:hint="eastAsia" w:ascii="宋体" w:hAnsi="宋体" w:cs="宋体"/>
                <w:color w:val="000000"/>
                <w:sz w:val="24"/>
              </w:rPr>
              <w:t>》中的质量和工作标准</w:t>
            </w:r>
          </w:p>
        </w:tc>
        <w:tc>
          <w:tcPr>
            <w:tcW w:w="1853" w:type="dxa"/>
            <w:noWrap w:val="0"/>
            <w:vAlign w:val="center"/>
          </w:tcPr>
          <w:p w14:paraId="2E8C170E">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100元/人/次</w:t>
            </w:r>
          </w:p>
        </w:tc>
      </w:tr>
      <w:tr w14:paraId="1C63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188" w:type="dxa"/>
            <w:vMerge w:val="continue"/>
            <w:noWrap w:val="0"/>
            <w:vAlign w:val="center"/>
          </w:tcPr>
          <w:p w14:paraId="32CE791D">
            <w:pPr>
              <w:adjustRightInd w:val="0"/>
              <w:snapToGrid w:val="0"/>
              <w:spacing w:line="0" w:lineRule="atLeast"/>
              <w:jc w:val="center"/>
              <w:rPr>
                <w:rFonts w:hint="eastAsia" w:ascii="宋体" w:hAnsi="宋体" w:cs="宋体"/>
                <w:color w:val="000000"/>
                <w:sz w:val="24"/>
              </w:rPr>
            </w:pPr>
          </w:p>
        </w:tc>
        <w:tc>
          <w:tcPr>
            <w:tcW w:w="1358" w:type="dxa"/>
            <w:vMerge w:val="continue"/>
            <w:noWrap w:val="0"/>
            <w:vAlign w:val="center"/>
          </w:tcPr>
          <w:p w14:paraId="2392FB55">
            <w:pPr>
              <w:adjustRightInd w:val="0"/>
              <w:snapToGrid w:val="0"/>
              <w:spacing w:line="0" w:lineRule="atLeast"/>
              <w:jc w:val="center"/>
              <w:rPr>
                <w:rFonts w:hint="eastAsia" w:ascii="宋体" w:hAnsi="宋体" w:cs="宋体"/>
                <w:color w:val="000000"/>
                <w:sz w:val="24"/>
              </w:rPr>
            </w:pPr>
          </w:p>
        </w:tc>
        <w:tc>
          <w:tcPr>
            <w:tcW w:w="4214" w:type="dxa"/>
            <w:noWrap w:val="0"/>
            <w:vAlign w:val="center"/>
          </w:tcPr>
          <w:p w14:paraId="7F33D913">
            <w:pPr>
              <w:adjustRightInd w:val="0"/>
              <w:snapToGrid w:val="0"/>
              <w:spacing w:line="0" w:lineRule="atLeast"/>
              <w:rPr>
                <w:rFonts w:ascii="宋体" w:hAnsi="宋体" w:cs="宋体"/>
                <w:color w:val="000000"/>
                <w:sz w:val="24"/>
              </w:rPr>
            </w:pPr>
            <w:r>
              <w:rPr>
                <w:rFonts w:hint="eastAsia" w:ascii="宋体" w:hAnsi="宋体" w:cs="宋体"/>
                <w:color w:val="000000"/>
                <w:sz w:val="24"/>
              </w:rPr>
              <w:t>未按《服务质量要求》响应服务，清洗超时，造成学生宿舍大面积停水</w:t>
            </w:r>
          </w:p>
        </w:tc>
        <w:tc>
          <w:tcPr>
            <w:tcW w:w="1853" w:type="dxa"/>
            <w:noWrap w:val="0"/>
            <w:vAlign w:val="center"/>
          </w:tcPr>
          <w:p w14:paraId="0BA10E59">
            <w:pPr>
              <w:adjustRightInd w:val="0"/>
              <w:snapToGrid w:val="0"/>
              <w:spacing w:line="0" w:lineRule="atLeast"/>
              <w:jc w:val="center"/>
              <w:rPr>
                <w:rFonts w:ascii="宋体" w:hAnsi="宋体" w:cs="宋体"/>
                <w:color w:val="000000"/>
                <w:sz w:val="24"/>
              </w:rPr>
            </w:pPr>
            <w:r>
              <w:rPr>
                <w:rFonts w:hint="eastAsia" w:ascii="宋体" w:hAnsi="宋体" w:cs="宋体"/>
                <w:color w:val="000000"/>
                <w:sz w:val="24"/>
              </w:rPr>
              <w:t>1000元/次</w:t>
            </w:r>
          </w:p>
        </w:tc>
      </w:tr>
      <w:tr w14:paraId="576C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188" w:type="dxa"/>
            <w:vMerge w:val="continue"/>
            <w:noWrap w:val="0"/>
            <w:vAlign w:val="center"/>
          </w:tcPr>
          <w:p w14:paraId="776C7CAA">
            <w:pPr>
              <w:adjustRightInd w:val="0"/>
              <w:snapToGrid w:val="0"/>
              <w:spacing w:line="0" w:lineRule="atLeast"/>
              <w:jc w:val="center"/>
              <w:rPr>
                <w:rFonts w:hint="eastAsia" w:ascii="宋体" w:hAnsi="宋体" w:cs="宋体"/>
                <w:color w:val="000000"/>
                <w:sz w:val="24"/>
              </w:rPr>
            </w:pPr>
          </w:p>
        </w:tc>
        <w:tc>
          <w:tcPr>
            <w:tcW w:w="1358" w:type="dxa"/>
            <w:vMerge w:val="continue"/>
            <w:noWrap w:val="0"/>
            <w:vAlign w:val="center"/>
          </w:tcPr>
          <w:p w14:paraId="3B0822EB">
            <w:pPr>
              <w:adjustRightInd w:val="0"/>
              <w:snapToGrid w:val="0"/>
              <w:spacing w:line="0" w:lineRule="atLeast"/>
              <w:jc w:val="center"/>
              <w:rPr>
                <w:rFonts w:hint="eastAsia" w:ascii="宋体" w:hAnsi="宋体" w:cs="宋体"/>
                <w:color w:val="000000"/>
                <w:sz w:val="24"/>
              </w:rPr>
            </w:pPr>
          </w:p>
        </w:tc>
        <w:tc>
          <w:tcPr>
            <w:tcW w:w="4214" w:type="dxa"/>
            <w:noWrap w:val="0"/>
            <w:vAlign w:val="center"/>
          </w:tcPr>
          <w:p w14:paraId="7B38DD4A">
            <w:pPr>
              <w:adjustRightInd w:val="0"/>
              <w:snapToGrid w:val="0"/>
              <w:spacing w:line="0" w:lineRule="atLeast"/>
              <w:rPr>
                <w:rFonts w:hint="eastAsia" w:ascii="宋体" w:hAnsi="宋体" w:cs="宋体"/>
                <w:color w:val="000000"/>
                <w:sz w:val="24"/>
              </w:rPr>
            </w:pPr>
            <w:r>
              <w:rPr>
                <w:rFonts w:hint="eastAsia" w:ascii="宋体" w:hAnsi="宋体" w:cs="宋体"/>
                <w:color w:val="000000"/>
                <w:sz w:val="24"/>
              </w:rPr>
              <w:t>未按《</w:t>
            </w:r>
            <w:r>
              <w:rPr>
                <w:rFonts w:hint="eastAsia" w:ascii="宋体" w:hAnsi="宋体" w:cs="宋体"/>
                <w:sz w:val="24"/>
              </w:rPr>
              <w:t>服务质量要求</w:t>
            </w:r>
            <w:r>
              <w:rPr>
                <w:rFonts w:hint="eastAsia" w:ascii="宋体" w:hAnsi="宋体" w:cs="宋体"/>
                <w:color w:val="000000"/>
                <w:sz w:val="24"/>
              </w:rPr>
              <w:t>》安排清洗人员，或者未持证上岗</w:t>
            </w:r>
          </w:p>
        </w:tc>
        <w:tc>
          <w:tcPr>
            <w:tcW w:w="1853" w:type="dxa"/>
            <w:noWrap w:val="0"/>
            <w:vAlign w:val="center"/>
          </w:tcPr>
          <w:p w14:paraId="11848517">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100元/人/天</w:t>
            </w:r>
          </w:p>
        </w:tc>
      </w:tr>
      <w:tr w14:paraId="7EF9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188" w:type="dxa"/>
            <w:vMerge w:val="continue"/>
            <w:noWrap w:val="0"/>
            <w:vAlign w:val="center"/>
          </w:tcPr>
          <w:p w14:paraId="6027987B">
            <w:pPr>
              <w:adjustRightInd w:val="0"/>
              <w:snapToGrid w:val="0"/>
              <w:spacing w:line="0" w:lineRule="atLeast"/>
              <w:jc w:val="center"/>
              <w:rPr>
                <w:rFonts w:hint="eastAsia" w:ascii="宋体" w:hAnsi="宋体" w:cs="宋体"/>
                <w:color w:val="000000"/>
                <w:sz w:val="24"/>
              </w:rPr>
            </w:pPr>
          </w:p>
        </w:tc>
        <w:tc>
          <w:tcPr>
            <w:tcW w:w="1358" w:type="dxa"/>
            <w:vMerge w:val="continue"/>
            <w:noWrap w:val="0"/>
            <w:vAlign w:val="center"/>
          </w:tcPr>
          <w:p w14:paraId="179506E3">
            <w:pPr>
              <w:adjustRightInd w:val="0"/>
              <w:snapToGrid w:val="0"/>
              <w:spacing w:line="0" w:lineRule="atLeast"/>
              <w:jc w:val="center"/>
              <w:rPr>
                <w:rFonts w:hint="eastAsia" w:ascii="宋体" w:hAnsi="宋体" w:cs="宋体"/>
                <w:color w:val="000000"/>
                <w:sz w:val="24"/>
              </w:rPr>
            </w:pPr>
          </w:p>
        </w:tc>
        <w:tc>
          <w:tcPr>
            <w:tcW w:w="4214" w:type="dxa"/>
            <w:noWrap w:val="0"/>
            <w:vAlign w:val="center"/>
          </w:tcPr>
          <w:p w14:paraId="77CB0816">
            <w:pPr>
              <w:adjustRightInd w:val="0"/>
              <w:snapToGrid w:val="0"/>
              <w:spacing w:line="0" w:lineRule="atLeast"/>
              <w:rPr>
                <w:rFonts w:ascii="宋体" w:hAnsi="宋体" w:cs="宋体"/>
                <w:color w:val="000000"/>
                <w:sz w:val="24"/>
              </w:rPr>
            </w:pPr>
            <w:r>
              <w:rPr>
                <w:rFonts w:hint="eastAsia" w:ascii="宋体" w:hAnsi="宋体" w:cs="宋体"/>
                <w:color w:val="000000"/>
                <w:sz w:val="24"/>
              </w:rPr>
              <w:t>不服从主管老师指令操作或未完成指令</w:t>
            </w:r>
          </w:p>
        </w:tc>
        <w:tc>
          <w:tcPr>
            <w:tcW w:w="1853" w:type="dxa"/>
            <w:noWrap w:val="0"/>
            <w:vAlign w:val="center"/>
          </w:tcPr>
          <w:p w14:paraId="21EA319C">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200元/次</w:t>
            </w:r>
          </w:p>
        </w:tc>
      </w:tr>
      <w:tr w14:paraId="5696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188" w:type="dxa"/>
            <w:vMerge w:val="continue"/>
            <w:noWrap w:val="0"/>
            <w:vAlign w:val="center"/>
          </w:tcPr>
          <w:p w14:paraId="46F6B0A5">
            <w:pPr>
              <w:adjustRightInd w:val="0"/>
              <w:snapToGrid w:val="0"/>
              <w:spacing w:line="0" w:lineRule="atLeast"/>
              <w:jc w:val="center"/>
              <w:rPr>
                <w:rFonts w:hint="eastAsia" w:ascii="宋体" w:hAnsi="宋体" w:cs="宋体"/>
                <w:color w:val="000000"/>
                <w:sz w:val="24"/>
              </w:rPr>
            </w:pPr>
          </w:p>
        </w:tc>
        <w:tc>
          <w:tcPr>
            <w:tcW w:w="1358" w:type="dxa"/>
            <w:vMerge w:val="continue"/>
            <w:noWrap w:val="0"/>
            <w:vAlign w:val="center"/>
          </w:tcPr>
          <w:p w14:paraId="39789FEA">
            <w:pPr>
              <w:adjustRightInd w:val="0"/>
              <w:snapToGrid w:val="0"/>
              <w:spacing w:line="0" w:lineRule="atLeast"/>
              <w:jc w:val="center"/>
              <w:rPr>
                <w:rFonts w:hint="eastAsia" w:ascii="宋体" w:hAnsi="宋体" w:cs="宋体"/>
                <w:color w:val="000000"/>
                <w:sz w:val="24"/>
              </w:rPr>
            </w:pPr>
          </w:p>
        </w:tc>
        <w:tc>
          <w:tcPr>
            <w:tcW w:w="4214" w:type="dxa"/>
            <w:noWrap w:val="0"/>
            <w:vAlign w:val="center"/>
          </w:tcPr>
          <w:p w14:paraId="6CDCBEEF">
            <w:pPr>
              <w:adjustRightInd w:val="0"/>
              <w:snapToGrid w:val="0"/>
              <w:spacing w:line="0" w:lineRule="atLeast"/>
              <w:rPr>
                <w:rFonts w:hint="eastAsia" w:ascii="宋体" w:hAnsi="宋体" w:cs="宋体"/>
                <w:color w:val="000000"/>
                <w:sz w:val="24"/>
              </w:rPr>
            </w:pPr>
            <w:r>
              <w:rPr>
                <w:rFonts w:hint="eastAsia" w:ascii="宋体" w:hAnsi="宋体" w:cs="宋体"/>
                <w:color w:val="000000"/>
                <w:sz w:val="24"/>
              </w:rPr>
              <w:t>接到学生或老师投诉</w:t>
            </w:r>
          </w:p>
        </w:tc>
        <w:tc>
          <w:tcPr>
            <w:tcW w:w="1853" w:type="dxa"/>
            <w:noWrap w:val="0"/>
            <w:vAlign w:val="center"/>
          </w:tcPr>
          <w:p w14:paraId="0A98778A">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200元/次</w:t>
            </w:r>
          </w:p>
        </w:tc>
      </w:tr>
      <w:tr w14:paraId="4018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188" w:type="dxa"/>
            <w:vMerge w:val="continue"/>
            <w:noWrap w:val="0"/>
            <w:vAlign w:val="center"/>
          </w:tcPr>
          <w:p w14:paraId="18E1AC4F">
            <w:pPr>
              <w:adjustRightInd w:val="0"/>
              <w:snapToGrid w:val="0"/>
              <w:spacing w:line="0" w:lineRule="atLeast"/>
              <w:jc w:val="center"/>
              <w:rPr>
                <w:rFonts w:hint="eastAsia" w:ascii="宋体" w:hAnsi="宋体" w:cs="宋体"/>
                <w:color w:val="000000"/>
                <w:sz w:val="24"/>
              </w:rPr>
            </w:pPr>
          </w:p>
        </w:tc>
        <w:tc>
          <w:tcPr>
            <w:tcW w:w="1358" w:type="dxa"/>
            <w:vMerge w:val="continue"/>
            <w:noWrap w:val="0"/>
            <w:vAlign w:val="center"/>
          </w:tcPr>
          <w:p w14:paraId="30B46AF4">
            <w:pPr>
              <w:adjustRightInd w:val="0"/>
              <w:snapToGrid w:val="0"/>
              <w:spacing w:line="0" w:lineRule="atLeast"/>
              <w:jc w:val="center"/>
              <w:rPr>
                <w:rFonts w:hint="eastAsia" w:ascii="宋体" w:hAnsi="宋体" w:cs="宋体"/>
                <w:color w:val="000000"/>
                <w:sz w:val="24"/>
              </w:rPr>
            </w:pPr>
          </w:p>
        </w:tc>
        <w:tc>
          <w:tcPr>
            <w:tcW w:w="4214" w:type="dxa"/>
            <w:noWrap w:val="0"/>
            <w:vAlign w:val="center"/>
          </w:tcPr>
          <w:p w14:paraId="78DDEFFB">
            <w:pPr>
              <w:adjustRightInd w:val="0"/>
              <w:snapToGrid w:val="0"/>
              <w:spacing w:line="0" w:lineRule="atLeast"/>
              <w:rPr>
                <w:rFonts w:hint="eastAsia" w:ascii="宋体" w:hAnsi="宋体" w:cs="宋体"/>
                <w:color w:val="000000"/>
                <w:sz w:val="24"/>
              </w:rPr>
            </w:pPr>
            <w:r>
              <w:rPr>
                <w:rFonts w:hint="eastAsia" w:ascii="宋体" w:hAnsi="宋体" w:cs="宋体"/>
                <w:color w:val="000000"/>
                <w:sz w:val="24"/>
              </w:rPr>
              <w:t>违反校方各类规章制度的</w:t>
            </w:r>
          </w:p>
        </w:tc>
        <w:tc>
          <w:tcPr>
            <w:tcW w:w="1853" w:type="dxa"/>
            <w:noWrap w:val="0"/>
            <w:vAlign w:val="center"/>
          </w:tcPr>
          <w:p w14:paraId="5DC2E5F1">
            <w:pPr>
              <w:adjustRightInd w:val="0"/>
              <w:snapToGrid w:val="0"/>
              <w:spacing w:line="0" w:lineRule="atLeast"/>
              <w:jc w:val="center"/>
              <w:rPr>
                <w:rFonts w:hint="eastAsia" w:ascii="宋体" w:hAnsi="宋体" w:cs="宋体"/>
                <w:color w:val="000000"/>
                <w:sz w:val="24"/>
              </w:rPr>
            </w:pPr>
            <w:r>
              <w:rPr>
                <w:rFonts w:hint="eastAsia" w:ascii="宋体" w:hAnsi="宋体" w:cs="宋体"/>
                <w:color w:val="000000"/>
                <w:sz w:val="24"/>
              </w:rPr>
              <w:t>100元-1000元/人/次</w:t>
            </w:r>
          </w:p>
        </w:tc>
      </w:tr>
      <w:tr w14:paraId="3E61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613" w:type="dxa"/>
            <w:gridSpan w:val="4"/>
            <w:noWrap w:val="0"/>
            <w:vAlign w:val="center"/>
          </w:tcPr>
          <w:p w14:paraId="39CEA164">
            <w:pPr>
              <w:widowControl/>
              <w:shd w:val="clear" w:color="auto" w:fill="FFFFFF"/>
              <w:spacing w:line="330" w:lineRule="atLeast"/>
              <w:ind w:right="300"/>
              <w:jc w:val="left"/>
              <w:rPr>
                <w:rFonts w:hint="eastAsia" w:ascii="Arial" w:hAnsi="Arial" w:cs="Arial"/>
                <w:b/>
                <w:color w:val="FF0000"/>
                <w:kern w:val="0"/>
                <w:szCs w:val="21"/>
              </w:rPr>
            </w:pPr>
            <w:r>
              <w:rPr>
                <w:rFonts w:hint="eastAsia" w:ascii="宋体" w:hAnsi="宋体" w:cs="宋体"/>
                <w:b/>
                <w:color w:val="auto"/>
                <w:sz w:val="24"/>
              </w:rPr>
              <w:t>注：</w:t>
            </w:r>
            <w:r>
              <w:rPr>
                <w:rFonts w:hint="eastAsia" w:ascii="Arial" w:hAnsi="Arial" w:cs="Arial"/>
                <w:b/>
                <w:color w:val="auto"/>
                <w:kern w:val="0"/>
                <w:szCs w:val="21"/>
              </w:rPr>
              <w:t>以</w:t>
            </w:r>
            <w:r>
              <w:rPr>
                <w:rFonts w:ascii="Arial" w:hAnsi="Arial" w:cs="Arial"/>
                <w:b/>
                <w:color w:val="auto"/>
                <w:kern w:val="0"/>
                <w:szCs w:val="21"/>
              </w:rPr>
              <w:t>上考核，若有发生，每次从服务费支付中扣除。</w:t>
            </w:r>
          </w:p>
        </w:tc>
      </w:tr>
    </w:tbl>
    <w:p w14:paraId="379A06BB">
      <w:pPr>
        <w:spacing w:before="156" w:beforeLines="50" w:line="360" w:lineRule="auto"/>
        <w:rPr>
          <w:rFonts w:hint="eastAsia"/>
          <w:sz w:val="24"/>
        </w:rPr>
      </w:pPr>
      <w:r>
        <w:rPr>
          <w:rFonts w:hint="eastAsia"/>
          <w:sz w:val="24"/>
        </w:rPr>
        <w:t>六、履行合同的时间：</w:t>
      </w:r>
    </w:p>
    <w:p w14:paraId="3F295AB7">
      <w:pPr>
        <w:spacing w:line="360" w:lineRule="auto"/>
        <w:ind w:firstLine="480" w:firstLineChars="200"/>
        <w:rPr>
          <w:rFonts w:hint="eastAsia"/>
          <w:sz w:val="24"/>
        </w:rPr>
      </w:pPr>
      <w:r>
        <w:rPr>
          <w:rFonts w:hint="eastAsia"/>
          <w:sz w:val="24"/>
        </w:rPr>
        <w:t>协议自签订之日起，即具有法律效力，在合同规定期内，中途任何一方</w:t>
      </w:r>
    </w:p>
    <w:p w14:paraId="0ACB7D82">
      <w:pPr>
        <w:spacing w:line="360" w:lineRule="auto"/>
        <w:rPr>
          <w:rFonts w:hint="eastAsia"/>
          <w:sz w:val="24"/>
        </w:rPr>
      </w:pPr>
      <w:r>
        <w:rPr>
          <w:rFonts w:hint="eastAsia"/>
          <w:sz w:val="24"/>
        </w:rPr>
        <w:t>不得随意更改或解除，需要解除合同时，应提前一个月向对方提出书面申请，经</w:t>
      </w:r>
    </w:p>
    <w:p w14:paraId="561666A0">
      <w:pPr>
        <w:spacing w:line="360" w:lineRule="auto"/>
        <w:rPr>
          <w:rFonts w:hint="eastAsia"/>
          <w:sz w:val="24"/>
        </w:rPr>
      </w:pPr>
      <w:r>
        <w:rPr>
          <w:rFonts w:hint="eastAsia"/>
          <w:sz w:val="24"/>
        </w:rPr>
        <w:t>甲乙双方协商达成一致意见，允许解除合同。</w:t>
      </w:r>
    </w:p>
    <w:p w14:paraId="136A2D5E">
      <w:pPr>
        <w:spacing w:before="156" w:beforeLines="50" w:line="360" w:lineRule="auto"/>
        <w:rPr>
          <w:rFonts w:hint="eastAsia"/>
          <w:sz w:val="24"/>
        </w:rPr>
      </w:pPr>
      <w:r>
        <w:rPr>
          <w:rFonts w:hint="eastAsia"/>
          <w:sz w:val="24"/>
        </w:rPr>
        <w:t>七、付款方式：</w:t>
      </w:r>
    </w:p>
    <w:p w14:paraId="00C43E33">
      <w:pPr>
        <w:spacing w:line="360" w:lineRule="auto"/>
        <w:ind w:firstLine="480" w:firstLineChars="200"/>
        <w:rPr>
          <w:rFonts w:hint="eastAsia" w:ascii="宋体" w:hAnsi="宋体" w:cs="宋体"/>
          <w:sz w:val="24"/>
          <w:lang w:eastAsia="zh-CN"/>
        </w:rPr>
      </w:pPr>
      <w:r>
        <w:rPr>
          <w:rFonts w:hint="eastAsia" w:ascii="宋体" w:hAnsi="宋体" w:cs="宋体"/>
          <w:sz w:val="24"/>
        </w:rPr>
        <w:t>采用先服务后付款的</w:t>
      </w:r>
      <w:r>
        <w:rPr>
          <w:rFonts w:hint="eastAsia" w:ascii="宋体" w:hAnsi="宋体" w:cs="宋体"/>
          <w:sz w:val="24"/>
          <w:lang w:val="en-US" w:eastAsia="zh-CN"/>
        </w:rPr>
        <w:t>方式</w:t>
      </w:r>
      <w:r>
        <w:rPr>
          <w:rFonts w:hint="eastAsia" w:ascii="宋体" w:hAnsi="宋体" w:cs="宋体"/>
          <w:sz w:val="24"/>
          <w:lang w:eastAsia="zh-CN"/>
        </w:rPr>
        <w:t>。</w:t>
      </w:r>
    </w:p>
    <w:p w14:paraId="0FE89A9C">
      <w:pPr>
        <w:spacing w:line="360" w:lineRule="auto"/>
        <w:ind w:firstLine="480" w:firstLineChars="200"/>
        <w:rPr>
          <w:rFonts w:hint="eastAsia" w:ascii="宋体" w:hAnsi="宋体" w:cs="宋体"/>
          <w:sz w:val="24"/>
        </w:rPr>
      </w:pPr>
      <w:r>
        <w:rPr>
          <w:rFonts w:hint="eastAsia" w:ascii="宋体" w:hAnsi="宋体" w:cs="宋体"/>
          <w:sz w:val="24"/>
          <w:lang w:val="en-US" w:eastAsia="zh-CN"/>
        </w:rPr>
        <w:t>第一次</w:t>
      </w:r>
      <w:r>
        <w:rPr>
          <w:rFonts w:hint="eastAsia" w:ascii="宋体" w:hAnsi="宋体" w:cs="宋体"/>
          <w:sz w:val="24"/>
        </w:rPr>
        <w:t>清洗作业完成，水质检测合格并提供检测报告</w:t>
      </w:r>
      <w:r>
        <w:rPr>
          <w:rFonts w:hint="eastAsia" w:ascii="宋体" w:hAnsi="宋体" w:cs="宋体"/>
          <w:sz w:val="24"/>
          <w:lang w:val="en-US" w:eastAsia="zh-CN"/>
        </w:rPr>
        <w:t>给后勤处存档</w:t>
      </w:r>
      <w:r>
        <w:rPr>
          <w:rFonts w:hint="eastAsia" w:ascii="宋体" w:hAnsi="宋体" w:cs="宋体"/>
          <w:sz w:val="24"/>
        </w:rPr>
        <w:t>，</w:t>
      </w:r>
      <w:r>
        <w:rPr>
          <w:rFonts w:hint="eastAsia" w:ascii="宋体" w:hAnsi="宋体" w:cs="宋体"/>
          <w:sz w:val="24"/>
          <w:lang w:val="en-US" w:eastAsia="zh-CN"/>
        </w:rPr>
        <w:t>后勤处办理付款手续</w:t>
      </w:r>
      <w:r>
        <w:rPr>
          <w:rFonts w:hint="eastAsia" w:ascii="宋体" w:hAnsi="宋体" w:cs="宋体"/>
          <w:sz w:val="24"/>
        </w:rPr>
        <w:t>。</w:t>
      </w:r>
    </w:p>
    <w:p w14:paraId="3DCCD3F0">
      <w:pPr>
        <w:spacing w:line="360" w:lineRule="auto"/>
        <w:ind w:firstLine="480" w:firstLineChars="200"/>
        <w:rPr>
          <w:rFonts w:hint="eastAsia"/>
          <w:sz w:val="24"/>
        </w:rPr>
      </w:pPr>
      <w:r>
        <w:rPr>
          <w:rFonts w:hint="eastAsia" w:ascii="宋体" w:hAnsi="宋体" w:cs="宋体"/>
          <w:sz w:val="24"/>
          <w:lang w:val="en-US" w:eastAsia="zh-CN"/>
        </w:rPr>
        <w:t>第二次</w:t>
      </w:r>
      <w:r>
        <w:rPr>
          <w:rFonts w:hint="eastAsia" w:ascii="宋体" w:hAnsi="宋体" w:cs="宋体"/>
          <w:sz w:val="24"/>
        </w:rPr>
        <w:t>清洗作业完成，水质检测合格并提供检测报告</w:t>
      </w:r>
      <w:r>
        <w:rPr>
          <w:rFonts w:hint="eastAsia" w:ascii="宋体" w:hAnsi="宋体" w:cs="宋体"/>
          <w:sz w:val="24"/>
          <w:lang w:val="en-US" w:eastAsia="zh-CN"/>
        </w:rPr>
        <w:t>给后勤处存档</w:t>
      </w:r>
      <w:r>
        <w:rPr>
          <w:rFonts w:hint="eastAsia" w:ascii="宋体" w:hAnsi="宋体" w:cs="宋体"/>
          <w:sz w:val="24"/>
        </w:rPr>
        <w:t>，</w:t>
      </w:r>
      <w:r>
        <w:rPr>
          <w:rFonts w:hint="eastAsia" w:ascii="宋体" w:hAnsi="宋体" w:cs="宋体"/>
          <w:sz w:val="24"/>
          <w:lang w:val="en-US" w:eastAsia="zh-CN"/>
        </w:rPr>
        <w:t>后勤处办理付款手续，在2026年12月</w:t>
      </w:r>
      <w:r>
        <w:rPr>
          <w:rFonts w:hint="eastAsia" w:ascii="宋体" w:hAnsi="宋体" w:cs="宋体"/>
          <w:sz w:val="24"/>
        </w:rPr>
        <w:t>付清</w:t>
      </w:r>
      <w:r>
        <w:rPr>
          <w:rFonts w:hint="eastAsia" w:ascii="宋体" w:hAnsi="宋体" w:cs="宋体"/>
          <w:sz w:val="24"/>
          <w:lang w:val="en-US" w:eastAsia="zh-CN"/>
        </w:rPr>
        <w:t>剩余</w:t>
      </w:r>
      <w:r>
        <w:rPr>
          <w:rFonts w:hint="eastAsia" w:ascii="宋体" w:hAnsi="宋体" w:cs="宋体"/>
          <w:sz w:val="24"/>
        </w:rPr>
        <w:t>清洗服务费</w:t>
      </w:r>
      <w:r>
        <w:rPr>
          <w:rFonts w:hint="eastAsia" w:ascii="宋体" w:hAnsi="宋体" w:cs="宋体"/>
          <w:sz w:val="24"/>
          <w:lang w:val="en-US" w:eastAsia="zh-CN"/>
        </w:rPr>
        <w:t>和检测费。</w:t>
      </w:r>
    </w:p>
    <w:p w14:paraId="3CA5E13E">
      <w:pPr>
        <w:spacing w:before="156" w:beforeLines="50" w:line="360" w:lineRule="auto"/>
        <w:rPr>
          <w:rFonts w:hint="eastAsia" w:ascii="宋体" w:hAnsi="宋体" w:cs="宋体"/>
          <w:sz w:val="24"/>
        </w:rPr>
      </w:pPr>
      <w:r>
        <w:rPr>
          <w:rFonts w:hint="eastAsia" w:ascii="宋体" w:hAnsi="宋体" w:cs="宋体"/>
          <w:sz w:val="24"/>
        </w:rPr>
        <w:t>项目负责人签字：</w:t>
      </w:r>
    </w:p>
    <w:p w14:paraId="60F65479">
      <w:pPr>
        <w:spacing w:before="156" w:beforeLines="50"/>
        <w:rPr>
          <w:rFonts w:hint="eastAsia" w:ascii="宋体" w:hAnsi="宋体" w:cs="宋体"/>
          <w:sz w:val="24"/>
        </w:rPr>
      </w:pPr>
      <w:r>
        <w:rPr>
          <w:rFonts w:hint="eastAsia" w:ascii="宋体" w:hAnsi="宋体" w:cs="宋体"/>
          <w:sz w:val="24"/>
        </w:rPr>
        <w:t>部门主管审核：</w:t>
      </w:r>
    </w:p>
    <w:p w14:paraId="40F9B2F3">
      <w:pPr>
        <w:spacing w:before="156" w:beforeLines="50"/>
        <w:rPr>
          <w:rFonts w:hint="eastAsia" w:ascii="宋体" w:hAnsi="宋体" w:cs="宋体"/>
          <w:sz w:val="24"/>
        </w:rPr>
      </w:pPr>
      <w:r>
        <w:rPr>
          <w:rFonts w:hint="eastAsia" w:ascii="宋体" w:hAnsi="宋体" w:cs="宋体"/>
          <w:sz w:val="24"/>
        </w:rPr>
        <w:t>部门公章：</w:t>
      </w:r>
    </w:p>
    <w:p w14:paraId="7E5B110E">
      <w:pPr>
        <w:snapToGrid w:val="0"/>
        <w:spacing w:line="360" w:lineRule="auto"/>
        <w:ind w:firstLine="480" w:firstLineChars="200"/>
        <w:jc w:val="left"/>
        <w:rPr>
          <w:rFonts w:hint="eastAsia" w:ascii="仿宋" w:hAnsi="仿宋" w:eastAsia="仿宋" w:cstheme="minorEastAsia"/>
          <w:sz w:val="24"/>
          <w:szCs w:val="24"/>
        </w:rPr>
      </w:pPr>
    </w:p>
    <w:p w14:paraId="124CDEC5">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八、其他说明：</w:t>
      </w:r>
    </w:p>
    <w:p w14:paraId="311C4EA4">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参与投标的单位中标后须是湖南省政府采购电子卖场的合格供应商。</w:t>
      </w:r>
    </w:p>
    <w:p w14:paraId="6870C465">
      <w:pPr>
        <w:pStyle w:val="15"/>
        <w:ind w:left="0" w:leftChars="0" w:firstLine="0"/>
        <w:jc w:val="center"/>
        <w:rPr>
          <w:rFonts w:hint="eastAsia" w:ascii="仿宋" w:hAnsi="仿宋" w:eastAsia="仿宋"/>
          <w:b/>
          <w:sz w:val="36"/>
          <w:szCs w:val="36"/>
        </w:rPr>
      </w:pPr>
    </w:p>
    <w:p w14:paraId="1EDA314B">
      <w:pPr>
        <w:rPr>
          <w:rFonts w:hint="eastAsia" w:ascii="仿宋" w:hAnsi="仿宋" w:eastAsia="仿宋"/>
          <w:b/>
          <w:sz w:val="36"/>
          <w:szCs w:val="36"/>
        </w:rPr>
      </w:pPr>
    </w:p>
    <w:p w14:paraId="6A1D2957">
      <w:pPr>
        <w:rPr>
          <w:rFonts w:hint="eastAsia" w:ascii="仿宋" w:hAnsi="仿宋" w:eastAsia="仿宋"/>
          <w:b/>
          <w:sz w:val="36"/>
          <w:szCs w:val="36"/>
        </w:rPr>
      </w:pPr>
    </w:p>
    <w:p w14:paraId="6F1725CB">
      <w:pPr>
        <w:rPr>
          <w:rFonts w:hint="eastAsia" w:ascii="仿宋" w:hAnsi="仿宋" w:eastAsia="仿宋"/>
          <w:b/>
          <w:sz w:val="36"/>
          <w:szCs w:val="36"/>
        </w:rPr>
      </w:pPr>
    </w:p>
    <w:p w14:paraId="03B33036">
      <w:pPr>
        <w:rPr>
          <w:rFonts w:hint="eastAsia" w:ascii="仿宋" w:hAnsi="仿宋" w:eastAsia="仿宋"/>
          <w:b/>
          <w:sz w:val="36"/>
          <w:szCs w:val="36"/>
        </w:rPr>
      </w:pPr>
    </w:p>
    <w:p w14:paraId="64ABD4F7">
      <w:pPr>
        <w:rPr>
          <w:rFonts w:hint="eastAsia" w:ascii="仿宋" w:hAnsi="仿宋" w:eastAsia="仿宋"/>
          <w:b/>
          <w:sz w:val="36"/>
          <w:szCs w:val="36"/>
        </w:rPr>
      </w:pPr>
    </w:p>
    <w:p w14:paraId="43DB6F95">
      <w:pPr>
        <w:rPr>
          <w:rFonts w:hint="eastAsia" w:ascii="仿宋" w:hAnsi="仿宋" w:eastAsia="仿宋"/>
          <w:b/>
          <w:sz w:val="36"/>
          <w:szCs w:val="36"/>
        </w:rPr>
      </w:pPr>
    </w:p>
    <w:p w14:paraId="60B12E94">
      <w:pPr>
        <w:rPr>
          <w:rFonts w:hint="eastAsia" w:ascii="仿宋" w:hAnsi="仿宋" w:eastAsia="仿宋"/>
          <w:b/>
          <w:sz w:val="36"/>
          <w:szCs w:val="36"/>
        </w:rPr>
      </w:pPr>
    </w:p>
    <w:p w14:paraId="4FB0E074"/>
    <w:p w14:paraId="223FEA38">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1.询价小组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50018A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2.1询价。参加询价采购活动的供应商按照询价通知书的规定一次报出不得更改的价。</w:t>
      </w:r>
    </w:p>
    <w:p w14:paraId="7192D788">
      <w:pPr>
        <w:spacing w:line="360" w:lineRule="auto"/>
        <w:ind w:firstLine="480" w:firstLineChars="200"/>
        <w:rPr>
          <w:rFonts w:hint="eastAsia" w:ascii="宋体" w:hAnsi="宋体" w:cs="宋体"/>
          <w:color w:val="FF0000"/>
          <w:sz w:val="24"/>
        </w:rPr>
      </w:pPr>
      <w:r>
        <w:rPr>
          <w:rFonts w:hint="eastAsia" w:ascii="仿宋" w:hAnsi="仿宋" w:eastAsia="仿宋"/>
          <w:sz w:val="24"/>
          <w:szCs w:val="24"/>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4E262217">
      <w:pPr>
        <w:spacing w:line="360" w:lineRule="auto"/>
        <w:ind w:firstLine="480" w:firstLineChars="200"/>
        <w:rPr>
          <w:rFonts w:hint="eastAsia" w:ascii="仿宋" w:hAnsi="仿宋" w:eastAsia="仿宋"/>
          <w:sz w:val="24"/>
          <w:szCs w:val="24"/>
        </w:rPr>
      </w:pPr>
    </w:p>
    <w:p w14:paraId="5077E8EB">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一、询价响应声明：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w:t>
      </w:r>
    </w:p>
    <w:p w14:paraId="18F19F73">
      <w:pPr>
        <w:pStyle w:val="15"/>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76FA2809"/>
    <w:p w14:paraId="26A326CD">
      <w:pPr>
        <w:pStyle w:val="15"/>
        <w:ind w:left="0" w:leftChars="0" w:firstLine="0"/>
      </w:pPr>
    </w:p>
    <w:p w14:paraId="77055329"/>
    <w:p w14:paraId="4DFEE8F5">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3C1BA4CE">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询价响应声明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项目(</w:t>
      </w:r>
      <w:r>
        <w:rPr>
          <w:rFonts w:hint="eastAsia" w:ascii="仿宋" w:hAnsi="仿宋" w:eastAsia="仿宋"/>
          <w:sz w:val="24"/>
          <w:szCs w:val="24"/>
        </w:rPr>
        <w:t>项目名称)的询价采购文件的全部内容，知悉参加询价的风险，我方承诺接受询价采购文件的全部条款且无任何异议。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一、我方同意在询价采购文件中规定的提交响应文件截止时间起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四、我方愿意按询价采购文件规定的文件及更具企业自身报价，详见报价表。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五、我方承诺遵守相关法律的规定，保证在获得成交资格后，按照询价采购文件确定的事项签订采购合同，履行双方所签订的合同，并承担合同规定的责任和义务。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4FF266DC">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法定代表人身份证明(法定代表人参加询价)</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：法定代表人授权书(委托代理人参加询价)</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法定代表人身份证明(法定代表人参加询价)</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法定代表人授权书(委托代理人参加询价)</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编号）响应文件；(2)签署并提交响应文件报价；(3)退出询价；(4)签订合同和处理有关事宜，其法律后果由我方承担。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hint="eastAsia" w:ascii="仿宋" w:hAnsi="仿宋" w:eastAsia="仿宋"/>
        </w:rPr>
      </w:pPr>
    </w:p>
    <w:p w14:paraId="5550980C">
      <w:pPr>
        <w:pStyle w:val="15"/>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script"/>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2B8845"/>
    <w:multiLevelType w:val="singleLevel"/>
    <w:tmpl w:val="DD2B8845"/>
    <w:lvl w:ilvl="0" w:tentative="0">
      <w:start w:val="1"/>
      <w:numFmt w:val="chineseCounting"/>
      <w:suff w:val="nothing"/>
      <w:lvlText w:val="%1、"/>
      <w:lvlJc w:val="left"/>
      <w:rPr>
        <w:rFonts w:hint="eastAsia"/>
      </w:rPr>
    </w:lvl>
  </w:abstractNum>
  <w:abstractNum w:abstractNumId="1">
    <w:nsid w:val="E2D11AB1"/>
    <w:multiLevelType w:val="singleLevel"/>
    <w:tmpl w:val="E2D11AB1"/>
    <w:lvl w:ilvl="0" w:tentative="0">
      <w:start w:val="4"/>
      <w:numFmt w:val="chineseCounting"/>
      <w:suff w:val="nothing"/>
      <w:lvlText w:val="%1、"/>
      <w:lvlJc w:val="left"/>
      <w:rPr>
        <w:rFonts w:hint="eastAsia"/>
      </w:rPr>
    </w:lvl>
  </w:abstractNum>
  <w:abstractNum w:abstractNumId="2">
    <w:nsid w:val="4607394D"/>
    <w:multiLevelType w:val="singleLevel"/>
    <w:tmpl w:val="4607394D"/>
    <w:lvl w:ilvl="0" w:tentative="0">
      <w:start w:val="3"/>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72B41"/>
    <w:rsid w:val="000978ED"/>
    <w:rsid w:val="000A4F21"/>
    <w:rsid w:val="000B3E2A"/>
    <w:rsid w:val="000B589D"/>
    <w:rsid w:val="000B5EB2"/>
    <w:rsid w:val="000C38B1"/>
    <w:rsid w:val="000F5572"/>
    <w:rsid w:val="000F5E0A"/>
    <w:rsid w:val="00111A43"/>
    <w:rsid w:val="0011786F"/>
    <w:rsid w:val="00121DE8"/>
    <w:rsid w:val="0012412A"/>
    <w:rsid w:val="0012458D"/>
    <w:rsid w:val="0012755C"/>
    <w:rsid w:val="00133E6C"/>
    <w:rsid w:val="00142CCC"/>
    <w:rsid w:val="0015534D"/>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989"/>
    <w:rsid w:val="003603F2"/>
    <w:rsid w:val="00363043"/>
    <w:rsid w:val="00375975"/>
    <w:rsid w:val="003906B4"/>
    <w:rsid w:val="003A53A1"/>
    <w:rsid w:val="003A55E6"/>
    <w:rsid w:val="003A750D"/>
    <w:rsid w:val="003B0DF4"/>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A78C1"/>
    <w:rsid w:val="004D1D88"/>
    <w:rsid w:val="004D4DC1"/>
    <w:rsid w:val="004D5431"/>
    <w:rsid w:val="004F194E"/>
    <w:rsid w:val="004F6837"/>
    <w:rsid w:val="005038E5"/>
    <w:rsid w:val="00510C43"/>
    <w:rsid w:val="005213BF"/>
    <w:rsid w:val="00521ACC"/>
    <w:rsid w:val="00527948"/>
    <w:rsid w:val="00534255"/>
    <w:rsid w:val="005347BC"/>
    <w:rsid w:val="0053775C"/>
    <w:rsid w:val="00544120"/>
    <w:rsid w:val="00547D86"/>
    <w:rsid w:val="005503FB"/>
    <w:rsid w:val="005504CB"/>
    <w:rsid w:val="0055219A"/>
    <w:rsid w:val="00564560"/>
    <w:rsid w:val="00564D32"/>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2CB9"/>
    <w:rsid w:val="00676612"/>
    <w:rsid w:val="00691796"/>
    <w:rsid w:val="00697843"/>
    <w:rsid w:val="006A6F52"/>
    <w:rsid w:val="006B3AEE"/>
    <w:rsid w:val="006B59C6"/>
    <w:rsid w:val="006C453C"/>
    <w:rsid w:val="006E3F8E"/>
    <w:rsid w:val="006F14B5"/>
    <w:rsid w:val="0070481A"/>
    <w:rsid w:val="00704B82"/>
    <w:rsid w:val="007136E1"/>
    <w:rsid w:val="00716317"/>
    <w:rsid w:val="007201CC"/>
    <w:rsid w:val="0072218D"/>
    <w:rsid w:val="00723967"/>
    <w:rsid w:val="0073488D"/>
    <w:rsid w:val="00751202"/>
    <w:rsid w:val="00751C02"/>
    <w:rsid w:val="00753820"/>
    <w:rsid w:val="00755B07"/>
    <w:rsid w:val="00782076"/>
    <w:rsid w:val="007830BF"/>
    <w:rsid w:val="00785E32"/>
    <w:rsid w:val="00786053"/>
    <w:rsid w:val="00790FFD"/>
    <w:rsid w:val="007A01D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86BCA"/>
    <w:rsid w:val="008A0F71"/>
    <w:rsid w:val="008A5442"/>
    <w:rsid w:val="008B7B0E"/>
    <w:rsid w:val="008C1DFE"/>
    <w:rsid w:val="008C3DAB"/>
    <w:rsid w:val="008C5A1E"/>
    <w:rsid w:val="008C6777"/>
    <w:rsid w:val="008C7219"/>
    <w:rsid w:val="008D390D"/>
    <w:rsid w:val="008E42FD"/>
    <w:rsid w:val="008F12AD"/>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A3999"/>
    <w:rsid w:val="009B6342"/>
    <w:rsid w:val="009D6355"/>
    <w:rsid w:val="009E37A4"/>
    <w:rsid w:val="009E6A8E"/>
    <w:rsid w:val="009F7405"/>
    <w:rsid w:val="00A03B59"/>
    <w:rsid w:val="00A10168"/>
    <w:rsid w:val="00A14DD7"/>
    <w:rsid w:val="00A20585"/>
    <w:rsid w:val="00A23F96"/>
    <w:rsid w:val="00A25BA6"/>
    <w:rsid w:val="00A32376"/>
    <w:rsid w:val="00A35BE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347B"/>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179F2"/>
    <w:rsid w:val="00C32C45"/>
    <w:rsid w:val="00C33C22"/>
    <w:rsid w:val="00C366B9"/>
    <w:rsid w:val="00C53205"/>
    <w:rsid w:val="00C53D99"/>
    <w:rsid w:val="00C53E55"/>
    <w:rsid w:val="00C625DA"/>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15B1B"/>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1E31"/>
    <w:rsid w:val="00F07FB6"/>
    <w:rsid w:val="00F129A6"/>
    <w:rsid w:val="00F133F3"/>
    <w:rsid w:val="00F15528"/>
    <w:rsid w:val="00F262E9"/>
    <w:rsid w:val="00F26EA9"/>
    <w:rsid w:val="00F53F67"/>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EED3D31"/>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0C80380"/>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4F774EC"/>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3671</Words>
  <Characters>3839</Characters>
  <Lines>184</Lines>
  <Paragraphs>156</Paragraphs>
  <TotalTime>3</TotalTime>
  <ScaleCrop>false</ScaleCrop>
  <LinksUpToDate>false</LinksUpToDate>
  <CharactersWithSpaces>4469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2025-01-03T02:27:00Z</dcterms:created>
  <dc:creator>china</dc:creator>
  <cp:lastModifiedBy>榴莲臭臭配香茶Y(^_^)Y</cp:lastModifiedBy>
  <cp:lastPrinted>2020-08-24T02:17:00Z</cp:lastPrinted>
  <dcterms:modified xsi:type="dcterms:W3CDTF">2025-12-31T03:20:26Z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D9EDA0DB884E45DDB3432AAF97E5F77C_13</vt:lpwstr>
  </property>
  <property fmtid="{D5CDD505-2E9C-101B-9397-08002B2CF9AE}" pid="4" name="KSOTemplateDocerSaveRecord">
    <vt:lpwstr>eyJoZGlkIjoiMGUwMWUxMWI5Mjg2ZjQzOTI3YmY5ZTU1MmE1NzdiZmYiLCJ1c2VySWQiOiI2NTg3NDQzOTMifQ==</vt:lpwstr>
  </property>
</Properties>
</file>