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21C04">
      <w:pPr>
        <w:adjustRightInd w:val="0"/>
        <w:snapToGrid w:val="0"/>
        <w:spacing w:line="360" w:lineRule="auto"/>
        <w:ind w:firstLine="405"/>
        <w:rPr>
          <w:rFonts w:hint="eastAsia" w:ascii="仿宋_GB2312" w:hAnsi="华文中宋" w:eastAsia="仿宋_GB2312"/>
          <w:b/>
          <w:sz w:val="84"/>
          <w:szCs w:val="84"/>
        </w:rPr>
      </w:pPr>
    </w:p>
    <w:p w14:paraId="259CF557">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7D72433B">
      <w:pPr>
        <w:pStyle w:val="10"/>
        <w:adjustRightInd w:val="0"/>
        <w:snapToGrid w:val="0"/>
        <w:spacing w:line="360" w:lineRule="auto"/>
        <w:ind w:left="846" w:leftChars="403" w:firstLine="157" w:firstLineChars="49"/>
        <w:rPr>
          <w:rFonts w:hint="eastAsia" w:ascii="黑体" w:hAnsi="黑体" w:eastAsia="黑体"/>
          <w:b/>
          <w:sz w:val="32"/>
          <w:szCs w:val="32"/>
        </w:rPr>
      </w:pPr>
    </w:p>
    <w:p w14:paraId="0492D824">
      <w:pPr>
        <w:pStyle w:val="10"/>
        <w:adjustRightInd w:val="0"/>
        <w:snapToGrid w:val="0"/>
        <w:spacing w:line="360" w:lineRule="auto"/>
        <w:ind w:left="846" w:leftChars="403" w:firstLine="157" w:firstLineChars="49"/>
        <w:rPr>
          <w:rFonts w:hint="eastAsia" w:ascii="黑体" w:hAnsi="黑体" w:eastAsia="黑体"/>
          <w:b/>
          <w:sz w:val="32"/>
          <w:szCs w:val="32"/>
        </w:rPr>
      </w:pPr>
    </w:p>
    <w:p w14:paraId="4F9908AB">
      <w:pPr>
        <w:pStyle w:val="10"/>
        <w:adjustRightInd w:val="0"/>
        <w:snapToGrid w:val="0"/>
        <w:spacing w:line="360" w:lineRule="auto"/>
        <w:ind w:left="846" w:leftChars="403" w:firstLine="157" w:firstLineChars="49"/>
        <w:rPr>
          <w:rFonts w:hint="eastAsia" w:ascii="黑体" w:hAnsi="黑体" w:eastAsia="黑体"/>
          <w:b/>
          <w:sz w:val="32"/>
          <w:szCs w:val="32"/>
        </w:rPr>
      </w:pPr>
    </w:p>
    <w:p w14:paraId="3D2392A9">
      <w:pPr>
        <w:pStyle w:val="10"/>
        <w:adjustRightInd w:val="0"/>
        <w:snapToGrid w:val="0"/>
        <w:spacing w:line="360" w:lineRule="auto"/>
        <w:ind w:left="846" w:leftChars="403" w:firstLine="157" w:firstLineChars="49"/>
        <w:rPr>
          <w:rFonts w:hint="eastAsia" w:ascii="黑体" w:hAnsi="黑体" w:eastAsia="黑体"/>
          <w:b/>
          <w:sz w:val="32"/>
          <w:szCs w:val="32"/>
        </w:rPr>
      </w:pPr>
    </w:p>
    <w:p w14:paraId="659EA673">
      <w:pPr>
        <w:pStyle w:val="10"/>
        <w:adjustRightInd w:val="0"/>
        <w:snapToGrid w:val="0"/>
        <w:spacing w:line="360" w:lineRule="auto"/>
        <w:ind w:left="846" w:leftChars="403" w:firstLine="157" w:firstLineChars="49"/>
        <w:rPr>
          <w:rFonts w:hint="eastAsia" w:ascii="黑体" w:hAnsi="黑体" w:eastAsia="黑体"/>
          <w:b/>
          <w:sz w:val="32"/>
          <w:szCs w:val="32"/>
        </w:rPr>
      </w:pPr>
    </w:p>
    <w:p w14:paraId="370C7503">
      <w:pPr>
        <w:pStyle w:val="41"/>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lang w:val="en-US" w:eastAsia="zh-CN"/>
        </w:rPr>
        <w:t>东校区图书馆部分纸质图书盘点清查</w:t>
      </w:r>
      <w:r>
        <w:rPr>
          <w:rFonts w:hint="eastAsia" w:ascii="黑体" w:hAnsi="黑体" w:eastAsia="黑体"/>
          <w:kern w:val="0"/>
          <w:sz w:val="32"/>
          <w:szCs w:val="32"/>
        </w:rPr>
        <w:t>项目</w:t>
      </w:r>
    </w:p>
    <w:p w14:paraId="3A26F6AB">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76CCB73E">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0B9E613">
      <w:pPr>
        <w:pStyle w:val="10"/>
        <w:adjustRightInd w:val="0"/>
        <w:snapToGrid w:val="0"/>
        <w:spacing w:line="440" w:lineRule="exact"/>
        <w:jc w:val="center"/>
        <w:rPr>
          <w:rFonts w:hint="eastAsia" w:ascii="黑体" w:hAnsi="黑体" w:eastAsia="黑体"/>
          <w:b/>
          <w:sz w:val="32"/>
        </w:rPr>
      </w:pPr>
    </w:p>
    <w:p w14:paraId="699E5833">
      <w:pPr>
        <w:pStyle w:val="10"/>
        <w:adjustRightInd w:val="0"/>
        <w:snapToGrid w:val="0"/>
        <w:spacing w:line="440" w:lineRule="exact"/>
        <w:jc w:val="center"/>
        <w:rPr>
          <w:rFonts w:hint="eastAsia" w:ascii="黑体" w:hAnsi="黑体" w:eastAsia="黑体"/>
          <w:b/>
          <w:sz w:val="32"/>
        </w:rPr>
      </w:pPr>
    </w:p>
    <w:p w14:paraId="5C50F6AA">
      <w:pPr>
        <w:pStyle w:val="10"/>
        <w:adjustRightInd w:val="0"/>
        <w:snapToGrid w:val="0"/>
        <w:spacing w:line="440" w:lineRule="exact"/>
        <w:jc w:val="center"/>
        <w:rPr>
          <w:rFonts w:hint="eastAsia" w:ascii="黑体" w:hAnsi="黑体" w:eastAsia="黑体"/>
          <w:b/>
          <w:sz w:val="32"/>
        </w:rPr>
      </w:pPr>
    </w:p>
    <w:p w14:paraId="2F452FFE">
      <w:pPr>
        <w:pStyle w:val="10"/>
        <w:adjustRightInd w:val="0"/>
        <w:snapToGrid w:val="0"/>
        <w:spacing w:line="440" w:lineRule="exact"/>
        <w:jc w:val="center"/>
        <w:rPr>
          <w:rFonts w:hint="eastAsia" w:ascii="黑体" w:hAnsi="黑体" w:eastAsia="黑体"/>
          <w:b/>
          <w:sz w:val="32"/>
        </w:rPr>
      </w:pPr>
    </w:p>
    <w:p w14:paraId="70B1AF02">
      <w:pPr>
        <w:pStyle w:val="10"/>
        <w:adjustRightInd w:val="0"/>
        <w:snapToGrid w:val="0"/>
        <w:spacing w:line="440" w:lineRule="exact"/>
        <w:jc w:val="center"/>
        <w:rPr>
          <w:rFonts w:hint="eastAsia" w:ascii="黑体" w:hAnsi="黑体" w:eastAsia="黑体"/>
          <w:b/>
          <w:sz w:val="32"/>
        </w:rPr>
      </w:pPr>
    </w:p>
    <w:p w14:paraId="62FB9F97">
      <w:pPr>
        <w:pStyle w:val="10"/>
        <w:adjustRightInd w:val="0"/>
        <w:snapToGrid w:val="0"/>
        <w:spacing w:line="440" w:lineRule="exact"/>
        <w:jc w:val="center"/>
        <w:rPr>
          <w:rFonts w:hint="eastAsia" w:ascii="黑体" w:hAnsi="黑体" w:eastAsia="黑体"/>
          <w:b/>
          <w:sz w:val="32"/>
        </w:rPr>
      </w:pPr>
    </w:p>
    <w:p w14:paraId="253984EF">
      <w:pPr>
        <w:pStyle w:val="10"/>
        <w:adjustRightInd w:val="0"/>
        <w:snapToGrid w:val="0"/>
        <w:spacing w:line="440" w:lineRule="exact"/>
        <w:jc w:val="center"/>
        <w:rPr>
          <w:rFonts w:hint="eastAsia" w:ascii="黑体" w:hAnsi="黑体" w:eastAsia="黑体"/>
          <w:b/>
          <w:sz w:val="32"/>
        </w:rPr>
      </w:pPr>
    </w:p>
    <w:p w14:paraId="66C0D40B">
      <w:pPr>
        <w:pStyle w:val="10"/>
        <w:adjustRightInd w:val="0"/>
        <w:snapToGrid w:val="0"/>
        <w:spacing w:line="440" w:lineRule="exact"/>
        <w:jc w:val="center"/>
        <w:rPr>
          <w:rFonts w:hint="eastAsia" w:ascii="黑体" w:hAnsi="黑体" w:eastAsia="黑体"/>
          <w:b/>
          <w:sz w:val="32"/>
        </w:rPr>
      </w:pPr>
    </w:p>
    <w:p w14:paraId="41F3975C">
      <w:pPr>
        <w:pStyle w:val="10"/>
        <w:adjustRightInd w:val="0"/>
        <w:snapToGrid w:val="0"/>
        <w:spacing w:line="440" w:lineRule="exact"/>
        <w:jc w:val="center"/>
        <w:rPr>
          <w:rFonts w:hint="eastAsia" w:ascii="黑体" w:hAnsi="黑体" w:eastAsia="黑体"/>
          <w:b/>
          <w:sz w:val="32"/>
        </w:rPr>
      </w:pPr>
    </w:p>
    <w:p w14:paraId="074037F0">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二</w:t>
      </w:r>
      <w:r>
        <w:rPr>
          <w:rFonts w:ascii="黑体" w:hAnsi="黑体" w:eastAsia="黑体"/>
          <w:sz w:val="32"/>
          <w:szCs w:val="32"/>
        </w:rPr>
        <w:t>月</w:t>
      </w:r>
    </w:p>
    <w:p w14:paraId="0567EA68">
      <w:pPr>
        <w:pStyle w:val="16"/>
      </w:pPr>
    </w:p>
    <w:p w14:paraId="621EAF76">
      <w:pPr>
        <w:pStyle w:val="16"/>
        <w:rPr>
          <w:szCs w:val="22"/>
        </w:rPr>
      </w:pPr>
    </w:p>
    <w:p w14:paraId="0CACD48A">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5ED71537">
      <w:pPr>
        <w:jc w:val="center"/>
        <w:outlineLvl w:val="0"/>
        <w:rPr>
          <w:rFonts w:hint="eastAsia" w:ascii="黑体" w:hAnsi="黑体" w:eastAsia="黑体"/>
          <w:b/>
          <w:sz w:val="36"/>
          <w:szCs w:val="36"/>
        </w:rPr>
      </w:pPr>
      <w:r>
        <w:rPr>
          <w:rFonts w:hint="eastAsia" w:ascii="黑体" w:hAnsi="黑体" w:eastAsia="黑体"/>
          <w:b/>
          <w:sz w:val="36"/>
          <w:szCs w:val="36"/>
          <w:lang w:val="en-US" w:eastAsia="zh-CN"/>
        </w:rPr>
        <w:t>东校区图书馆部分纸质图书盘点清查</w:t>
      </w:r>
      <w:r>
        <w:rPr>
          <w:rFonts w:hint="eastAsia" w:ascii="黑体" w:hAnsi="黑体" w:eastAsia="黑体"/>
          <w:b/>
          <w:sz w:val="36"/>
          <w:szCs w:val="36"/>
        </w:rPr>
        <w:t>项目</w:t>
      </w:r>
    </w:p>
    <w:p w14:paraId="1FB73F48">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3777511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w:t>
      </w:r>
      <w:r>
        <w:rPr>
          <w:rFonts w:ascii="仿宋" w:hAnsi="仿宋" w:eastAsia="仿宋"/>
          <w:sz w:val="24"/>
          <w:szCs w:val="24"/>
          <w:u w:val="none"/>
        </w:rPr>
        <w:t>术学院</w:t>
      </w:r>
      <w:r>
        <w:rPr>
          <w:rFonts w:hint="eastAsia" w:ascii="仿宋" w:hAnsi="仿宋" w:eastAsia="仿宋"/>
          <w:sz w:val="24"/>
          <w:szCs w:val="24"/>
          <w:u w:val="none"/>
          <w:lang w:val="en-US" w:eastAsia="zh-CN"/>
        </w:rPr>
        <w:t>东校区图书馆部分纸质图书盘点清查</w:t>
      </w:r>
      <w:r>
        <w:rPr>
          <w:rFonts w:hint="eastAsia" w:ascii="仿宋" w:hAnsi="仿宋" w:eastAsia="仿宋"/>
          <w:sz w:val="24"/>
          <w:szCs w:val="24"/>
          <w:u w:val="none"/>
        </w:rPr>
        <w:t>项目</w:t>
      </w:r>
      <w:r>
        <w:rPr>
          <w:rFonts w:hint="eastAsia" w:ascii="仿宋" w:hAnsi="仿宋" w:eastAsia="仿宋"/>
          <w:sz w:val="24"/>
          <w:szCs w:val="24"/>
        </w:rPr>
        <w:t>需进行采购，现采用发布公告方式，邀请符合资格条件的供应商参与采购活动。</w:t>
      </w:r>
    </w:p>
    <w:p w14:paraId="7FF21E8A">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4659"/>
      <w:bookmarkStart w:id="1" w:name="_Toc26475"/>
      <w:bookmarkStart w:id="2" w:name="_Toc3564"/>
      <w:bookmarkStart w:id="3" w:name="_Toc31662_WPSOffice_Level2"/>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233FB43E">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lang w:val="en-US" w:eastAsia="zh-CN"/>
        </w:rPr>
        <w:t>东校区图书馆部分纸质图书盘点清查</w:t>
      </w:r>
      <w:r>
        <w:rPr>
          <w:rFonts w:hint="eastAsia" w:ascii="仿宋" w:hAnsi="仿宋" w:eastAsia="仿宋"/>
          <w:sz w:val="24"/>
          <w:szCs w:val="24"/>
        </w:rPr>
        <w:t>项目</w:t>
      </w:r>
    </w:p>
    <w:p w14:paraId="6C7A16CC">
      <w:pPr>
        <w:pStyle w:val="16"/>
        <w:snapToGrid w:val="0"/>
        <w:spacing w:before="0" w:beforeAutospacing="0" w:after="0" w:line="360" w:lineRule="auto"/>
        <w:ind w:left="0" w:leftChars="0" w:firstLine="480" w:firstLineChars="200"/>
        <w:jc w:val="both"/>
        <w:rPr>
          <w:rFonts w:hint="eastAsia" w:ascii="仿宋" w:hAnsi="仿宋" w:eastAsia="仿宋"/>
          <w:sz w:val="24"/>
          <w:szCs w:val="24"/>
          <w:lang w:eastAsia="zh-CN"/>
        </w:rPr>
      </w:pPr>
      <w:r>
        <w:rPr>
          <w:rFonts w:hint="eastAsia" w:ascii="仿宋" w:hAnsi="仿宋" w:eastAsia="仿宋"/>
          <w:sz w:val="24"/>
          <w:szCs w:val="24"/>
        </w:rPr>
        <w:t>2.项目概况: 为迎接2026年3月</w:t>
      </w:r>
      <w:r>
        <w:rPr>
          <w:rFonts w:hint="eastAsia" w:ascii="仿宋" w:hAnsi="仿宋" w:eastAsia="仿宋"/>
          <w:sz w:val="24"/>
          <w:szCs w:val="24"/>
          <w:lang w:val="en-US" w:eastAsia="zh-CN"/>
        </w:rPr>
        <w:t>左右</w:t>
      </w:r>
      <w:r>
        <w:rPr>
          <w:rFonts w:hint="eastAsia" w:ascii="仿宋" w:hAnsi="仿宋" w:eastAsia="仿宋"/>
          <w:sz w:val="24"/>
          <w:szCs w:val="24"/>
        </w:rPr>
        <w:t>教育部对我校申报本科职业大学的评估（国评）检查，确保图书馆纸质图书在架定位准确、系统数据与实物一致，现需聘请第三方专业团队对东校区图书馆四至六楼开放书架区域约52.16万册可流通纸质图书进行全面盘点清查。本项目旨在通过专业化服务，彻底解决图书错架、数据不一致等问题，保障评估抽查环节顺利通过</w:t>
      </w:r>
      <w:r>
        <w:rPr>
          <w:rFonts w:hint="eastAsia" w:ascii="仿宋" w:hAnsi="仿宋" w:eastAsia="仿宋"/>
          <w:sz w:val="24"/>
          <w:szCs w:val="24"/>
          <w:lang w:eastAsia="zh-CN"/>
        </w:rPr>
        <w:t>。</w:t>
      </w:r>
    </w:p>
    <w:p w14:paraId="029CFBDD">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default" w:ascii="仿宋" w:hAnsi="仿宋" w:eastAsia="仿宋"/>
          <w:sz w:val="24"/>
          <w:szCs w:val="24"/>
          <w:u w:val="none"/>
          <w:lang w:val="en-US" w:eastAsia="zh-CN"/>
        </w:rPr>
      </w:pPr>
      <w:r>
        <w:rPr>
          <w:rFonts w:hint="eastAsia" w:ascii="仿宋" w:hAnsi="仿宋" w:eastAsia="仿宋"/>
          <w:sz w:val="24"/>
          <w:szCs w:val="24"/>
        </w:rPr>
        <w:t>3.服务内容：</w:t>
      </w:r>
      <w:r>
        <w:rPr>
          <w:rFonts w:hint="eastAsia" w:ascii="仿宋" w:hAnsi="仿宋" w:eastAsia="仿宋"/>
          <w:sz w:val="24"/>
          <w:szCs w:val="24"/>
          <w:u w:val="none"/>
          <w:lang w:val="en-US" w:eastAsia="zh-CN"/>
        </w:rPr>
        <w:t>包括但不限于图书馆管理系统书单与实物逐一校对、错架图书归位整理、编目错漏图书重新编目加工上架、系统数据整理等。</w:t>
      </w:r>
    </w:p>
    <w:p w14:paraId="4C19C612">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1、全面盘点核对：逐册核对“Wise-lib”图书馆管理系统中的书目数据与书架实物信息确保完全一致（包括但不限于书名、条码号、索书号、馆藏地址、排架信息）。</w:t>
      </w:r>
    </w:p>
    <w:p w14:paraId="6B77BC88">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2、图书定位归架：依据东校区图书馆现行排架规则，对全部盘点图书进行准确定位核查与虚拟排架，将所有错架、乱架图书归位至正确架位。系统中显示在架、但实际错放在密集书库、样本库或其他开放书架的图书要注意核对并恢复定位，且不能影响现有密集书库、样本库图书排架的准确性。</w:t>
      </w:r>
    </w:p>
    <w:p w14:paraId="0875094A">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3、数据处理与修正：对盘点中发现的书目数据错漏（如编目信息错误、系统状态异常等）进行记录、整理，并配合甲方进行系统数据的修正或重新编目加工上架。确保现有馆藏库图书数量不流失；确保现有在架图书与系统在馆图书信息一一对应。</w:t>
      </w:r>
    </w:p>
    <w:p w14:paraId="6C7B5E3F">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4、大复本量图书贴标处理：需要给同一种有10本以上的大复本量图书进行封面贴号工作，确保能快速找到指定条码号的图书。</w:t>
      </w:r>
    </w:p>
    <w:p w14:paraId="0550282C">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5、现场评估保障：在2026年3月左右甲方迎接国评检查期间，必须指派熟悉本项目情况的技术人员驻留图书馆现场，全程协助甲方应对专家组随机图书抽查工作，确保抽查图书实物100%准确定位。</w:t>
      </w:r>
    </w:p>
    <w:p w14:paraId="3ECC8691">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6、成果交付：服务期满，向甲方提交完整的盘点清查工作报告（含电子版及纸质盖章版），内容需包括总册数、错架及数据错漏清单、处理结果、排架正确率统计等。</w:t>
      </w:r>
    </w:p>
    <w:p w14:paraId="6542831F">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sz w:val="24"/>
          <w:szCs w:val="24"/>
        </w:rPr>
      </w:pPr>
      <w:r>
        <w:rPr>
          <w:rFonts w:hint="eastAsia" w:ascii="仿宋" w:hAnsi="仿宋" w:eastAsia="仿宋"/>
          <w:sz w:val="24"/>
          <w:szCs w:val="24"/>
          <w:lang w:val="en-US" w:eastAsia="zh-CN"/>
        </w:rPr>
        <w:t>7、其他：工作人员须遵守甲方规章制度，爱护图书及设施，确保作业安全。</w:t>
      </w:r>
    </w:p>
    <w:p w14:paraId="499CA7F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15.65</w:t>
      </w:r>
      <w:r>
        <w:rPr>
          <w:rFonts w:hint="eastAsia" w:ascii="仿宋" w:hAnsi="仿宋" w:eastAsia="仿宋"/>
          <w:sz w:val="24"/>
          <w:szCs w:val="24"/>
          <w:u w:val="none"/>
        </w:rPr>
        <w:t xml:space="preserve"> </w:t>
      </w:r>
      <w:r>
        <w:rPr>
          <w:rFonts w:ascii="仿宋" w:hAnsi="仿宋" w:eastAsia="仿宋"/>
          <w:sz w:val="24"/>
          <w:szCs w:val="24"/>
          <w:u w:val="none"/>
        </w:rPr>
        <w:t>万元</w:t>
      </w:r>
    </w:p>
    <w:p w14:paraId="31AABF0B">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488B7F9F">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0E9C80B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092C2D8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62688FD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3AC5A1BC">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54C3D3A7">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002A193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2AD5130C">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2、特定资格条件：</w:t>
      </w:r>
      <w:r>
        <w:rPr>
          <w:rFonts w:hint="eastAsia" w:ascii="仿宋" w:hAnsi="仿宋" w:eastAsia="仿宋"/>
          <w:sz w:val="24"/>
          <w:szCs w:val="24"/>
          <w:lang w:val="en-US" w:eastAsia="zh-CN"/>
        </w:rPr>
        <w:t>无</w:t>
      </w:r>
    </w:p>
    <w:p w14:paraId="75C3CF6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5F3755E2">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1．首次响应文件的提交截止时间：202</w:t>
      </w:r>
      <w:r>
        <w:rPr>
          <w:rFonts w:hint="eastAsia" w:ascii="仿宋" w:hAnsi="仿宋" w:eastAsia="仿宋"/>
          <w:sz w:val="24"/>
          <w:szCs w:val="24"/>
          <w:lang w:val="en-US" w:eastAsia="zh-CN"/>
        </w:rPr>
        <w:t>6</w:t>
      </w:r>
      <w:r>
        <w:rPr>
          <w:rFonts w:hint="eastAsia" w:ascii="仿宋" w:hAnsi="仿宋" w:eastAsia="仿宋"/>
          <w:sz w:val="24"/>
          <w:szCs w:val="24"/>
        </w:rPr>
        <w:t>年</w:t>
      </w:r>
      <w:r>
        <w:rPr>
          <w:rFonts w:hint="eastAsia" w:ascii="仿宋" w:hAnsi="仿宋" w:eastAsia="仿宋"/>
          <w:sz w:val="24"/>
          <w:szCs w:val="24"/>
          <w:lang w:val="en-US" w:eastAsia="zh-CN"/>
        </w:rPr>
        <w:t>2</w:t>
      </w:r>
      <w:r>
        <w:rPr>
          <w:rFonts w:hint="eastAsia" w:ascii="仿宋" w:hAnsi="仿宋" w:eastAsia="仿宋"/>
          <w:sz w:val="24"/>
          <w:szCs w:val="24"/>
        </w:rPr>
        <w:t>月</w:t>
      </w:r>
      <w:r>
        <w:rPr>
          <w:rFonts w:hint="eastAsia" w:ascii="仿宋" w:hAnsi="仿宋" w:eastAsia="仿宋"/>
          <w:sz w:val="24"/>
          <w:szCs w:val="24"/>
          <w:lang w:val="en-US" w:eastAsia="zh-CN"/>
        </w:rPr>
        <w:t>10</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p>
    <w:p w14:paraId="45AC0C0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w:t>
      </w:r>
      <w:r>
        <w:rPr>
          <w:rFonts w:hint="eastAsia" w:ascii="仿宋" w:hAnsi="仿宋" w:eastAsia="仿宋"/>
          <w:sz w:val="24"/>
          <w:szCs w:val="24"/>
          <w:lang w:val="en-US" w:eastAsia="zh-CN"/>
        </w:rPr>
        <w:t>6</w:t>
      </w:r>
      <w:r>
        <w:rPr>
          <w:rFonts w:hint="eastAsia" w:ascii="仿宋" w:hAnsi="仿宋" w:eastAsia="仿宋"/>
          <w:sz w:val="24"/>
          <w:szCs w:val="24"/>
        </w:rPr>
        <w:t>年</w:t>
      </w:r>
      <w:r>
        <w:rPr>
          <w:rFonts w:hint="eastAsia" w:ascii="仿宋" w:hAnsi="仿宋" w:eastAsia="仿宋"/>
          <w:sz w:val="24"/>
          <w:szCs w:val="24"/>
          <w:lang w:val="en-US" w:eastAsia="zh-CN"/>
        </w:rPr>
        <w:t>2</w:t>
      </w:r>
      <w:r>
        <w:rPr>
          <w:rFonts w:hint="eastAsia" w:ascii="仿宋" w:hAnsi="仿宋" w:eastAsia="仿宋"/>
          <w:sz w:val="24"/>
          <w:szCs w:val="24"/>
        </w:rPr>
        <w:t>月</w:t>
      </w:r>
      <w:r>
        <w:rPr>
          <w:rFonts w:hint="eastAsia" w:ascii="仿宋" w:hAnsi="仿宋" w:eastAsia="仿宋"/>
          <w:sz w:val="24"/>
          <w:szCs w:val="24"/>
          <w:lang w:val="en-US" w:eastAsia="zh-CN"/>
        </w:rPr>
        <w:t>10</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p>
    <w:p w14:paraId="4528D68E">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7C94BB3">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41049C9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2ECC8B4E">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38C1E78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753E4004">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0D05DD1B">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5BF8B52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23D24A29">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lang w:val="en-US" w:eastAsia="zh-CN"/>
        </w:rPr>
        <w:t>刘英芝</w:t>
      </w:r>
    </w:p>
    <w:p w14:paraId="626D00E4">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电 话：</w:t>
      </w:r>
      <w:r>
        <w:rPr>
          <w:rFonts w:hint="eastAsia" w:ascii="仿宋" w:hAnsi="仿宋" w:eastAsia="仿宋" w:cstheme="minorEastAsia"/>
          <w:sz w:val="24"/>
          <w:szCs w:val="24"/>
          <w:u w:val="none"/>
          <w:lang w:val="en-US" w:eastAsia="zh-CN"/>
        </w:rPr>
        <w:t>18573358499</w:t>
      </w:r>
    </w:p>
    <w:p w14:paraId="4856BFBF">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658E27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2217D387">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7E3FD971">
      <w:pPr>
        <w:pStyle w:val="16"/>
      </w:pPr>
    </w:p>
    <w:p w14:paraId="023164AE"/>
    <w:p w14:paraId="470C6576">
      <w:pPr>
        <w:pStyle w:val="16"/>
      </w:pPr>
    </w:p>
    <w:p w14:paraId="5E30B292"/>
    <w:p w14:paraId="1CC29BF0">
      <w:pPr>
        <w:pStyle w:val="16"/>
      </w:pPr>
    </w:p>
    <w:p w14:paraId="47E601F1">
      <w:pPr>
        <w:pStyle w:val="16"/>
        <w:ind w:left="0" w:leftChars="0" w:firstLine="0"/>
        <w:rPr>
          <w:szCs w:val="22"/>
        </w:rPr>
      </w:pPr>
    </w:p>
    <w:p w14:paraId="43D2D1EB">
      <w:pPr>
        <w:rPr>
          <w:rFonts w:ascii="仿宋" w:hAnsi="仿宋" w:eastAsia="仿宋"/>
          <w:b/>
          <w:sz w:val="36"/>
          <w:szCs w:val="36"/>
        </w:rPr>
      </w:pPr>
      <w:r>
        <w:rPr>
          <w:rFonts w:ascii="仿宋" w:hAnsi="仿宋" w:eastAsia="仿宋"/>
          <w:b/>
          <w:sz w:val="36"/>
          <w:szCs w:val="36"/>
        </w:rPr>
        <w:br w:type="page"/>
      </w:r>
    </w:p>
    <w:p w14:paraId="5EB3C910">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59C9CD9C">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203270EA">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sz w:val="24"/>
          <w:szCs w:val="24"/>
          <w:u w:val="none"/>
          <w:lang w:val="en-US" w:eastAsia="zh-CN"/>
        </w:rPr>
        <w:t>东校区图书馆部分纸质图书盘点清查</w:t>
      </w:r>
      <w:r>
        <w:rPr>
          <w:rFonts w:hint="eastAsia" w:ascii="仿宋" w:hAnsi="仿宋" w:eastAsia="仿宋" w:cs="仿宋"/>
          <w:color w:val="333333"/>
          <w:kern w:val="0"/>
          <w:sz w:val="24"/>
          <w:szCs w:val="24"/>
        </w:rPr>
        <w:t>项目</w:t>
      </w:r>
    </w:p>
    <w:p w14:paraId="1CBF9A96">
      <w:pPr>
        <w:pStyle w:val="42"/>
        <w:adjustRightInd w:val="0"/>
        <w:snapToGrid w:val="0"/>
        <w:spacing w:line="360" w:lineRule="auto"/>
        <w:ind w:firstLine="480"/>
        <w:rPr>
          <w:rFonts w:hint="eastAsia" w:ascii="仿宋" w:hAnsi="仿宋" w:eastAsia="仿宋" w:cs="仿宋"/>
          <w:color w:val="333333"/>
          <w:kern w:val="0"/>
          <w:sz w:val="24"/>
          <w:szCs w:val="24"/>
          <w:u w:val="none"/>
        </w:rPr>
      </w:pPr>
      <w:r>
        <w:rPr>
          <w:rFonts w:hint="eastAsia" w:ascii="仿宋" w:hAnsi="仿宋" w:eastAsia="仿宋" w:cs="仿宋"/>
          <w:color w:val="333333"/>
          <w:kern w:val="0"/>
          <w:sz w:val="24"/>
          <w:szCs w:val="24"/>
        </w:rPr>
        <w:t>2．服务期限：</w:t>
      </w:r>
      <w:r>
        <w:rPr>
          <w:rFonts w:hint="eastAsia" w:ascii="仿宋" w:hAnsi="仿宋" w:eastAsia="仿宋" w:cs="Times New Roman"/>
          <w:kern w:val="2"/>
          <w:sz w:val="24"/>
          <w:szCs w:val="24"/>
          <w:u w:val="none"/>
          <w:lang w:val="en-US" w:eastAsia="zh-CN" w:bidi="ar-SA"/>
        </w:rPr>
        <w:t>合同签订之日起30个日内完成全部现场盘点清查及数据整理工作，并确保在2026年3月左右教育部国评开始前达到全部服务标准</w:t>
      </w:r>
      <w:r>
        <w:rPr>
          <w:rFonts w:hint="eastAsia" w:ascii="仿宋" w:hAnsi="仿宋" w:eastAsia="仿宋" w:cs="仿宋"/>
          <w:color w:val="333333"/>
          <w:kern w:val="0"/>
          <w:sz w:val="24"/>
          <w:szCs w:val="24"/>
          <w:u w:val="none"/>
        </w:rPr>
        <w:t>。</w:t>
      </w:r>
    </w:p>
    <w:p w14:paraId="40EF6C20">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027F18E">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供应商应完成以下全部服务工作：</w:t>
      </w:r>
    </w:p>
    <w:p w14:paraId="42823BA4">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1、全面盘点核对：逐册核对“Wise-lib”图书馆管理系统中的书目数据与书架实物信息确保完全一致（包括但不限于书名、条码号、索书号、馆藏地址、排架信息）。</w:t>
      </w:r>
    </w:p>
    <w:p w14:paraId="6E82AC93">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2、图书定位归架：依据东校区图书馆现行排架规则，对全部盘点图书进行准确定位核查与虚拟排架，将所有错架、乱架图书归位至正确架位。系统中显示在架、但实际错放在密集书库、样本库或其他开放书架的图书要注意核对并恢复定位，且不能影响现有密集书库、样本库图书排架的准确性。</w:t>
      </w:r>
    </w:p>
    <w:p w14:paraId="4D8FFE1E">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3、数据处理与修正：对盘点中发现的书目数据错漏（如编目信息错误、系统状态异常等）进行记录、整理，并配合甲方进行系统数据的修正或重新编目加工上架。确保现有馆藏库图书数量不流失；确保现有在架图书与系统在馆图书信息一一对应。</w:t>
      </w:r>
    </w:p>
    <w:p w14:paraId="5729ACDC">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4、大复本量图书贴标处理：需要给同一种有10本以上的大复本量图书进行封面贴号工作，确保能快速找到指定条码号的图书。</w:t>
      </w:r>
    </w:p>
    <w:p w14:paraId="5D028BE2">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5、现场评估保障：在2026年3月左右甲方迎接国评检查期间，必须指派熟悉本项目情况的技术人员驻留图书馆现场，全程协助甲方应对专家组随机图书抽查工作，确保抽查图书实物100%准确定位。</w:t>
      </w:r>
    </w:p>
    <w:p w14:paraId="130A3A1B">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6、成果交付：服务期满，向甲方提交完整的盘点清查工作报告（含电子版及纸质盖章版），内容需包括总册数、错架及数据错漏清单、处理结果、排架正确率统计等。</w:t>
      </w:r>
    </w:p>
    <w:p w14:paraId="76067F17">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7、其他：工作人员须遵守甲方规章制度，爱护图书及设施，确保作业安全。</w:t>
      </w:r>
    </w:p>
    <w:p w14:paraId="3A543818">
      <w:pPr>
        <w:numPr>
          <w:ilvl w:val="0"/>
          <w:numId w:val="0"/>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kern w:val="2"/>
          <w:sz w:val="24"/>
          <w:szCs w:val="24"/>
          <w:lang w:val="en-US" w:eastAsia="zh-CN" w:bidi="ar-SA"/>
        </w:rPr>
        <w:t>三、</w:t>
      </w:r>
      <w:r>
        <w:rPr>
          <w:rFonts w:hint="eastAsia" w:ascii="仿宋" w:hAnsi="仿宋" w:eastAsia="仿宋" w:cstheme="minorEastAsia"/>
          <w:b/>
          <w:sz w:val="24"/>
          <w:szCs w:val="24"/>
        </w:rPr>
        <w:t>服务质量要求：</w:t>
      </w:r>
    </w:p>
    <w:p w14:paraId="76AC08E4">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盘点数据准确率：系统数据与实物信息核对准确率不低于99.9%。</w:t>
      </w:r>
    </w:p>
    <w:p w14:paraId="5DF90AFD">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图书排架正确率：经整理归位后，图书排架正确率不低于99.9%。</w:t>
      </w:r>
    </w:p>
    <w:p w14:paraId="536DC9AA">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国评保障要求：在国评专家组抽查时，能确保从系统中随机指定的图书，其对应实物在10分钟内在书架准确位置被找到，实物在架率达到100%。</w:t>
      </w:r>
    </w:p>
    <w:p w14:paraId="4E86216A">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人员要求：配备充足、稳定的专业团队，核心人员需具备图书馆盘点或相关经验。</w:t>
      </w:r>
    </w:p>
    <w:p w14:paraId="491655DC">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安全与纪律：作业期间不得损坏图书及馆内设施，保持工作区域整洁有序。</w:t>
      </w:r>
    </w:p>
    <w:p w14:paraId="360A0FCB">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7D1FF7FD">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1.过程检查：甲方有权随时对工作进度、质量进行现场抽查。</w:t>
      </w:r>
    </w:p>
    <w:p w14:paraId="26EB1E9B">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2.最终验收：</w:t>
      </w:r>
    </w:p>
    <w:p w14:paraId="169225A7">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（1）数据验收：甲方对乙方提交的盘点数据进行随机抽样复核，差错率不超过0.1%。</w:t>
      </w:r>
    </w:p>
    <w:p w14:paraId="0AF56D1C">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（2）架上验收：甲方在盘点区域内进行随机抽架检查，排架正确率不低于99.9%。</w:t>
      </w:r>
    </w:p>
    <w:p w14:paraId="2A5ABA12">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（3）模拟及实战验收：采用模拟国评场景进行抽查测试。最终以2026年3月教育部国评期间，专家组实际抽查的结果作为项目验收合格的重要依据。若因乙方原因导致抽查图书无法在架找到，将视为重大服务缺陷。</w:t>
      </w:r>
    </w:p>
    <w:p w14:paraId="0E29B1B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275CB9E">
      <w:pPr>
        <w:pStyle w:val="42"/>
        <w:spacing w:line="520" w:lineRule="exact"/>
        <w:ind w:firstLine="480"/>
        <w:rPr>
          <w:rFonts w:hint="eastAsia" w:ascii="仿宋" w:hAnsi="仿宋" w:eastAsia="仿宋" w:cs="仿宋"/>
          <w:color w:val="333333"/>
          <w:kern w:val="0"/>
          <w:sz w:val="24"/>
          <w:szCs w:val="24"/>
          <w:highlight w:val="none"/>
          <w:lang w:val="en-US" w:eastAsia="zh-CN" w:bidi="ar-SA"/>
        </w:rPr>
      </w:pPr>
      <w:r>
        <w:rPr>
          <w:rFonts w:hint="eastAsia" w:ascii="仿宋" w:hAnsi="仿宋" w:eastAsia="仿宋" w:cs="仿宋"/>
          <w:color w:val="333333"/>
          <w:kern w:val="0"/>
          <w:sz w:val="24"/>
          <w:szCs w:val="24"/>
          <w:highlight w:val="none"/>
          <w:lang w:val="en-US" w:eastAsia="zh-CN" w:bidi="ar-SA"/>
        </w:rPr>
        <w:t>本项目招标上限价为</w:t>
      </w:r>
      <w:r>
        <w:rPr>
          <w:rFonts w:hint="eastAsia" w:ascii="仿宋" w:hAnsi="仿宋" w:eastAsia="仿宋" w:cs="仿宋"/>
          <w:color w:val="333333"/>
          <w:kern w:val="0"/>
          <w:sz w:val="24"/>
          <w:szCs w:val="24"/>
          <w:highlight w:val="none"/>
          <w:u w:val="single"/>
          <w:lang w:val="en-US" w:eastAsia="zh-CN" w:bidi="ar-SA"/>
        </w:rPr>
        <w:t>人民币15.65</w:t>
      </w:r>
      <w:r>
        <w:rPr>
          <w:rFonts w:hint="eastAsia" w:ascii="仿宋" w:hAnsi="仿宋" w:eastAsia="仿宋" w:cs="仿宋"/>
          <w:color w:val="333333"/>
          <w:kern w:val="0"/>
          <w:sz w:val="24"/>
          <w:szCs w:val="24"/>
          <w:highlight w:val="none"/>
          <w:lang w:val="en-US" w:eastAsia="zh-CN" w:bidi="ar-SA"/>
        </w:rPr>
        <w:t>万元，单价上限为</w:t>
      </w:r>
      <w:r>
        <w:rPr>
          <w:rFonts w:hint="eastAsia" w:ascii="仿宋" w:hAnsi="仿宋" w:eastAsia="仿宋" w:cs="仿宋"/>
          <w:color w:val="333333"/>
          <w:kern w:val="0"/>
          <w:sz w:val="24"/>
          <w:szCs w:val="24"/>
          <w:highlight w:val="none"/>
          <w:u w:val="single"/>
          <w:lang w:val="en-US" w:eastAsia="zh-CN" w:bidi="ar-SA"/>
        </w:rPr>
        <w:t xml:space="preserve"> 0.3 </w:t>
      </w:r>
      <w:r>
        <w:rPr>
          <w:rFonts w:hint="eastAsia" w:ascii="仿宋" w:hAnsi="仿宋" w:eastAsia="仿宋" w:cs="仿宋"/>
          <w:color w:val="333333"/>
          <w:kern w:val="0"/>
          <w:sz w:val="24"/>
          <w:szCs w:val="24"/>
          <w:highlight w:val="none"/>
          <w:lang w:val="en-US" w:eastAsia="zh-CN" w:bidi="ar-SA"/>
        </w:rPr>
        <w:t>元/册，按实际盘点验收合格册数结算，最终结算总价不得超过招标上限价。</w:t>
      </w:r>
    </w:p>
    <w:p w14:paraId="62CC100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33ED0258">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w:t>
      </w:r>
      <w:r>
        <w:rPr>
          <w:rFonts w:hint="eastAsia" w:ascii="仿宋" w:hAnsi="仿宋" w:eastAsia="仿宋" w:cs="仿宋"/>
          <w:color w:val="333333"/>
          <w:kern w:val="0"/>
          <w:sz w:val="24"/>
          <w:szCs w:val="24"/>
          <w:lang w:val="en-US" w:eastAsia="zh-CN" w:bidi="ar-SA"/>
        </w:rPr>
        <w:t>按实际盘点验收合格册数结算，最终结算总价不得超过招标上限价。</w:t>
      </w:r>
      <w:r>
        <w:rPr>
          <w:rFonts w:hint="eastAsia" w:ascii="仿宋" w:hAnsi="仿宋" w:eastAsia="仿宋" w:cs="仿宋"/>
          <w:color w:val="333333"/>
          <w:kern w:val="0"/>
          <w:sz w:val="24"/>
          <w:szCs w:val="24"/>
        </w:rPr>
        <w:t>成交供应商收到成交通知后，应在一周内签订合同。</w:t>
      </w:r>
    </w:p>
    <w:p w14:paraId="786D364A">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F8E3DD9">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第一期付款（60%）：乙方完成全部图书盘点核对、定位归架及数据处理工作，并提交合格工作报告经甲方验收通过后，甲方向乙方支付合同总价的60%。</w:t>
      </w:r>
    </w:p>
    <w:p w14:paraId="7994D99F">
      <w:pPr>
        <w:pStyle w:val="14"/>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highlight w:val="yellow"/>
          <w:lang w:val="en-US" w:eastAsia="zh-CN" w:bidi="ar-SA"/>
        </w:rPr>
      </w:pPr>
      <w:r>
        <w:rPr>
          <w:rFonts w:hint="eastAsia" w:ascii="仿宋" w:hAnsi="仿宋" w:eastAsia="仿宋" w:cs="仿宋"/>
          <w:color w:val="333333"/>
          <w:kern w:val="0"/>
          <w:sz w:val="24"/>
          <w:szCs w:val="24"/>
          <w:lang w:val="en-US" w:eastAsia="zh-CN" w:bidi="ar-SA"/>
        </w:rPr>
        <w:t>第二期付款（40%）：国评检查期间，乙方技术人员现场保障工作完成，且甲方国评图书抽查环节顺利通过后，乙方提供全额合规增值税专用发票，甲方支付剩余合同价款。</w:t>
      </w:r>
    </w:p>
    <w:p w14:paraId="6E61CECD">
      <w:pPr>
        <w:snapToGrid w:val="0"/>
        <w:spacing w:line="360" w:lineRule="auto"/>
        <w:ind w:firstLine="482" w:firstLineChars="200"/>
        <w:jc w:val="left"/>
        <w:rPr>
          <w:rFonts w:hint="eastAsia" w:ascii="仿宋" w:hAnsi="仿宋" w:eastAsia="仿宋" w:cstheme="minorEastAsia"/>
          <w:b/>
          <w:sz w:val="24"/>
          <w:szCs w:val="24"/>
        </w:rPr>
      </w:pPr>
    </w:p>
    <w:p w14:paraId="6B899E75">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7EDED370">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4055DAF6">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101AAED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0E019ECC">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77E4E88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2750A5E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4C61882A">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6CA41A7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FE5D8A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5C29783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C5F5C76">
      <w:pPr>
        <w:pStyle w:val="16"/>
        <w:spacing w:before="0" w:beforeAutospacing="0" w:after="0" w:line="240" w:lineRule="atLeast"/>
        <w:ind w:left="0" w:leftChars="0" w:firstLine="0"/>
        <w:jc w:val="both"/>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1056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01" w:type="dxa"/>
            <w:vAlign w:val="center"/>
          </w:tcPr>
          <w:p w14:paraId="5158C373">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1A37B0E2">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B53135C">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34CE65A3">
            <w:pPr>
              <w:jc w:val="center"/>
              <w:rPr>
                <w:rFonts w:hint="eastAsia" w:ascii="仿宋" w:hAnsi="仿宋" w:eastAsia="仿宋"/>
                <w:b/>
                <w:sz w:val="24"/>
                <w:szCs w:val="24"/>
              </w:rPr>
            </w:pPr>
            <w:r>
              <w:rPr>
                <w:rFonts w:hint="eastAsia" w:ascii="仿宋" w:hAnsi="仿宋" w:eastAsia="仿宋"/>
                <w:b/>
                <w:sz w:val="24"/>
                <w:szCs w:val="24"/>
              </w:rPr>
              <w:t>评分标准</w:t>
            </w:r>
          </w:p>
        </w:tc>
      </w:tr>
      <w:tr w14:paraId="6E8D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1" w:type="dxa"/>
            <w:vAlign w:val="center"/>
          </w:tcPr>
          <w:p w14:paraId="6965E026">
            <w:pPr>
              <w:jc w:val="center"/>
              <w:rPr>
                <w:rFonts w:hint="eastAsia" w:ascii="仿宋" w:hAnsi="仿宋" w:eastAsia="仿宋"/>
                <w:b/>
                <w:kern w:val="0"/>
                <w:sz w:val="24"/>
                <w:szCs w:val="24"/>
                <w:highlight w:val="yellow"/>
              </w:rPr>
            </w:pPr>
            <w:r>
              <w:rPr>
                <w:rFonts w:hint="eastAsia" w:ascii="仿宋" w:hAnsi="仿宋" w:eastAsia="仿宋"/>
                <w:sz w:val="24"/>
                <w:szCs w:val="24"/>
                <w:highlight w:val="none"/>
              </w:rPr>
              <w:t>1</w:t>
            </w:r>
          </w:p>
        </w:tc>
        <w:tc>
          <w:tcPr>
            <w:tcW w:w="1308" w:type="dxa"/>
            <w:vAlign w:val="center"/>
          </w:tcPr>
          <w:p w14:paraId="2106D910">
            <w:pPr>
              <w:jc w:val="center"/>
              <w:rPr>
                <w:rFonts w:hint="eastAsia" w:ascii="仿宋" w:hAnsi="仿宋" w:eastAsia="仿宋"/>
                <w:b/>
                <w:kern w:val="0"/>
                <w:sz w:val="24"/>
                <w:szCs w:val="24"/>
                <w:highlight w:val="yellow"/>
              </w:rPr>
            </w:pPr>
            <w:r>
              <w:rPr>
                <w:rFonts w:hint="eastAsia" w:ascii="仿宋" w:hAnsi="仿宋" w:eastAsia="仿宋"/>
                <w:kern w:val="0"/>
                <w:sz w:val="24"/>
                <w:szCs w:val="24"/>
                <w:highlight w:val="none"/>
              </w:rPr>
              <w:t>报价</w:t>
            </w:r>
          </w:p>
        </w:tc>
        <w:tc>
          <w:tcPr>
            <w:tcW w:w="709" w:type="dxa"/>
            <w:vAlign w:val="center"/>
          </w:tcPr>
          <w:p w14:paraId="391BCA2F">
            <w:pPr>
              <w:jc w:val="center"/>
              <w:rPr>
                <w:rFonts w:hint="eastAsia" w:ascii="仿宋" w:hAnsi="仿宋" w:eastAsia="仿宋"/>
                <w:kern w:val="0"/>
                <w:sz w:val="24"/>
                <w:szCs w:val="24"/>
                <w:highlight w:val="none"/>
              </w:rPr>
            </w:pPr>
            <w:r>
              <w:rPr>
                <w:rFonts w:hint="eastAsia" w:ascii="仿宋" w:hAnsi="仿宋" w:eastAsia="仿宋"/>
                <w:kern w:val="0"/>
                <w:sz w:val="24"/>
                <w:szCs w:val="24"/>
                <w:highlight w:val="none"/>
              </w:rPr>
              <w:t>30</w:t>
            </w:r>
          </w:p>
        </w:tc>
        <w:tc>
          <w:tcPr>
            <w:tcW w:w="6237" w:type="dxa"/>
            <w:vAlign w:val="center"/>
          </w:tcPr>
          <w:p w14:paraId="1E0FF57A">
            <w:pPr>
              <w:jc w:val="both"/>
              <w:rPr>
                <w:rFonts w:hint="eastAsia" w:ascii="仿宋" w:hAnsi="仿宋" w:eastAsia="仿宋"/>
                <w:kern w:val="0"/>
                <w:sz w:val="24"/>
                <w:szCs w:val="24"/>
                <w:highlight w:val="none"/>
              </w:rPr>
            </w:pPr>
            <w:r>
              <w:rPr>
                <w:rFonts w:hint="eastAsia" w:ascii="仿宋" w:hAnsi="仿宋" w:eastAsia="仿宋" w:cs="宋体"/>
                <w:sz w:val="24"/>
                <w:szCs w:val="24"/>
                <w:highlight w:val="none"/>
              </w:rPr>
              <w:t>以经评委会一致认定满足招标文件要求且投标价格最低的投标报价为评标基准价，其价格得分计30分。其他投标人的价格得分统一按公式计算：报价得分=（评标基准价/投标报价）×价格权重。</w:t>
            </w:r>
          </w:p>
        </w:tc>
      </w:tr>
      <w:tr w14:paraId="443A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1" w:type="dxa"/>
            <w:vAlign w:val="center"/>
          </w:tcPr>
          <w:p w14:paraId="583C48AA">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2</w:t>
            </w:r>
          </w:p>
        </w:tc>
        <w:tc>
          <w:tcPr>
            <w:tcW w:w="1308" w:type="dxa"/>
            <w:vAlign w:val="center"/>
          </w:tcPr>
          <w:p w14:paraId="56C3FE80">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rPr>
              <w:t>服务团队</w:t>
            </w:r>
            <w:r>
              <w:rPr>
                <w:rFonts w:hint="eastAsia" w:ascii="仿宋" w:hAnsi="仿宋" w:eastAsia="仿宋" w:cs="宋体"/>
                <w:sz w:val="24"/>
                <w:szCs w:val="24"/>
                <w:highlight w:val="none"/>
                <w:lang w:val="en-US" w:eastAsia="zh-CN"/>
              </w:rPr>
              <w:t>与履约能力</w:t>
            </w:r>
          </w:p>
        </w:tc>
        <w:tc>
          <w:tcPr>
            <w:tcW w:w="709" w:type="dxa"/>
            <w:vAlign w:val="center"/>
          </w:tcPr>
          <w:p w14:paraId="05BB12DC">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30</w:t>
            </w:r>
          </w:p>
        </w:tc>
        <w:tc>
          <w:tcPr>
            <w:tcW w:w="6237" w:type="dxa"/>
            <w:vAlign w:val="center"/>
          </w:tcPr>
          <w:p w14:paraId="1B1BB6D7">
            <w:pPr>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（1）服务团队中的人员</w:t>
            </w:r>
            <w:r>
              <w:rPr>
                <w:rFonts w:hint="eastAsia" w:ascii="仿宋" w:hAnsi="仿宋" w:eastAsia="仿宋" w:cs="宋体"/>
                <w:sz w:val="24"/>
                <w:szCs w:val="24"/>
                <w:highlight w:val="none"/>
                <w:lang w:val="en-US" w:eastAsia="zh-CN"/>
              </w:rPr>
              <w:t>应</w:t>
            </w:r>
            <w:r>
              <w:rPr>
                <w:rFonts w:hint="eastAsia" w:ascii="仿宋" w:hAnsi="仿宋" w:eastAsia="仿宋" w:cs="宋体"/>
                <w:sz w:val="24"/>
                <w:szCs w:val="24"/>
                <w:highlight w:val="none"/>
              </w:rPr>
              <w:t>具备</w:t>
            </w:r>
            <w:r>
              <w:rPr>
                <w:rFonts w:hint="eastAsia" w:ascii="仿宋" w:hAnsi="仿宋" w:eastAsia="仿宋"/>
                <w:kern w:val="0"/>
                <w:sz w:val="24"/>
                <w:szCs w:val="24"/>
                <w:highlight w:val="none"/>
              </w:rPr>
              <w:t>图书馆盘点或编目加工</w:t>
            </w:r>
            <w:r>
              <w:rPr>
                <w:rFonts w:hint="eastAsia" w:ascii="仿宋" w:hAnsi="仿宋" w:eastAsia="仿宋"/>
                <w:kern w:val="0"/>
                <w:sz w:val="24"/>
                <w:szCs w:val="24"/>
                <w:highlight w:val="none"/>
                <w:lang w:val="en-US" w:eastAsia="zh-CN"/>
              </w:rPr>
              <w:t>专业知识</w:t>
            </w:r>
            <w:r>
              <w:rPr>
                <w:rFonts w:hint="eastAsia" w:ascii="仿宋" w:hAnsi="仿宋" w:eastAsia="仿宋" w:cs="宋体"/>
                <w:sz w:val="24"/>
                <w:szCs w:val="24"/>
                <w:highlight w:val="none"/>
              </w:rPr>
              <w:t>，</w:t>
            </w:r>
            <w:r>
              <w:rPr>
                <w:rFonts w:hint="eastAsia" w:ascii="仿宋" w:hAnsi="仿宋" w:eastAsia="仿宋" w:cs="宋体"/>
                <w:sz w:val="24"/>
                <w:szCs w:val="24"/>
                <w:highlight w:val="none"/>
                <w:lang w:val="en-US" w:eastAsia="zh-CN"/>
              </w:rPr>
              <w:t>具备</w:t>
            </w:r>
            <w:r>
              <w:rPr>
                <w:rFonts w:hint="eastAsia" w:ascii="仿宋" w:hAnsi="仿宋" w:eastAsia="仿宋"/>
                <w:kern w:val="0"/>
                <w:sz w:val="24"/>
                <w:szCs w:val="24"/>
                <w:highlight w:val="none"/>
                <w:lang w:val="en-US" w:eastAsia="zh-CN"/>
              </w:rPr>
              <w:t>相关（如图书馆员、编目员等）职业资格证书的,</w:t>
            </w:r>
            <w:r>
              <w:rPr>
                <w:rFonts w:hint="eastAsia" w:ascii="仿宋" w:hAnsi="仿宋" w:eastAsia="仿宋" w:cs="宋体"/>
                <w:sz w:val="24"/>
                <w:szCs w:val="24"/>
                <w:highlight w:val="none"/>
              </w:rPr>
              <w:t>每提供1人得</w:t>
            </w:r>
            <w:r>
              <w:rPr>
                <w:rFonts w:hint="eastAsia" w:ascii="仿宋" w:hAnsi="仿宋" w:eastAsia="仿宋" w:cs="宋体"/>
                <w:sz w:val="24"/>
                <w:szCs w:val="24"/>
                <w:highlight w:val="none"/>
                <w:lang w:val="en-US" w:eastAsia="zh-CN"/>
              </w:rPr>
              <w:t>5</w:t>
            </w:r>
            <w:r>
              <w:rPr>
                <w:rFonts w:hint="eastAsia" w:ascii="仿宋" w:hAnsi="仿宋" w:eastAsia="仿宋" w:cs="宋体"/>
                <w:sz w:val="24"/>
                <w:szCs w:val="24"/>
                <w:highlight w:val="none"/>
              </w:rPr>
              <w:t>分，最高得</w:t>
            </w:r>
            <w:r>
              <w:rPr>
                <w:rFonts w:hint="eastAsia" w:ascii="仿宋" w:hAnsi="仿宋" w:eastAsia="仿宋" w:cs="宋体"/>
                <w:sz w:val="24"/>
                <w:szCs w:val="24"/>
                <w:highlight w:val="none"/>
                <w:lang w:val="en-US" w:eastAsia="zh-CN"/>
              </w:rPr>
              <w:t>10</w:t>
            </w:r>
            <w:r>
              <w:rPr>
                <w:rFonts w:hint="eastAsia" w:ascii="仿宋" w:hAnsi="仿宋" w:eastAsia="仿宋" w:cs="宋体"/>
                <w:sz w:val="24"/>
                <w:szCs w:val="24"/>
                <w:highlight w:val="none"/>
              </w:rPr>
              <w:t>分。</w:t>
            </w:r>
          </w:p>
          <w:p w14:paraId="608E13BA">
            <w:pPr>
              <w:jc w:val="left"/>
              <w:rPr>
                <w:rFonts w:hint="eastAsia" w:ascii="仿宋" w:hAnsi="仿宋" w:eastAsia="仿宋"/>
                <w:kern w:val="0"/>
                <w:sz w:val="24"/>
                <w:szCs w:val="24"/>
                <w:highlight w:val="none"/>
                <w:lang w:val="en-US" w:eastAsia="zh-CN"/>
              </w:rPr>
            </w:pPr>
            <w:r>
              <w:rPr>
                <w:rFonts w:hint="eastAsia" w:ascii="仿宋" w:hAnsi="仿宋" w:eastAsia="仿宋" w:cs="宋体"/>
                <w:sz w:val="24"/>
                <w:szCs w:val="24"/>
                <w:highlight w:val="none"/>
              </w:rPr>
              <w:t>（</w:t>
            </w:r>
            <w:r>
              <w:rPr>
                <w:rFonts w:hint="eastAsia" w:ascii="仿宋" w:hAnsi="仿宋" w:eastAsia="仿宋" w:cs="宋体"/>
                <w:sz w:val="24"/>
                <w:szCs w:val="24"/>
                <w:highlight w:val="none"/>
                <w:lang w:val="en-US" w:eastAsia="zh-CN"/>
              </w:rPr>
              <w:t>2</w:t>
            </w:r>
            <w:r>
              <w:rPr>
                <w:rFonts w:hint="eastAsia" w:ascii="仿宋" w:hAnsi="仿宋" w:eastAsia="仿宋" w:cs="宋体"/>
                <w:sz w:val="24"/>
                <w:szCs w:val="24"/>
                <w:highlight w:val="none"/>
              </w:rPr>
              <w:t>）</w:t>
            </w:r>
            <w:r>
              <w:rPr>
                <w:rFonts w:hint="eastAsia" w:ascii="仿宋" w:hAnsi="仿宋" w:eastAsia="仿宋" w:cs="宋体"/>
                <w:sz w:val="24"/>
                <w:szCs w:val="24"/>
                <w:highlight w:val="none"/>
                <w:lang w:val="en-US" w:eastAsia="zh-CN"/>
              </w:rPr>
              <w:t>服务</w:t>
            </w:r>
            <w:r>
              <w:rPr>
                <w:rFonts w:hint="eastAsia" w:ascii="仿宋" w:hAnsi="仿宋" w:eastAsia="仿宋"/>
                <w:kern w:val="0"/>
                <w:sz w:val="24"/>
                <w:szCs w:val="24"/>
                <w:highlight w:val="none"/>
              </w:rPr>
              <w:t>团队</w:t>
            </w:r>
            <w:r>
              <w:rPr>
                <w:rFonts w:hint="eastAsia" w:ascii="仿宋" w:hAnsi="仿宋" w:eastAsia="仿宋"/>
                <w:kern w:val="0"/>
                <w:sz w:val="24"/>
                <w:szCs w:val="24"/>
                <w:highlight w:val="none"/>
                <w:lang w:val="en-US" w:eastAsia="zh-CN"/>
              </w:rPr>
              <w:t>中的成员应</w:t>
            </w:r>
            <w:r>
              <w:rPr>
                <w:rFonts w:hint="eastAsia" w:ascii="仿宋" w:hAnsi="仿宋" w:eastAsia="仿宋"/>
                <w:kern w:val="0"/>
                <w:sz w:val="24"/>
                <w:szCs w:val="24"/>
                <w:highlight w:val="none"/>
              </w:rPr>
              <w:t>具备</w:t>
            </w:r>
            <w:r>
              <w:rPr>
                <w:rFonts w:hint="eastAsia" w:ascii="仿宋" w:hAnsi="仿宋" w:eastAsia="仿宋"/>
                <w:kern w:val="0"/>
                <w:sz w:val="24"/>
                <w:szCs w:val="24"/>
                <w:highlight w:val="none"/>
                <w:lang w:val="en-US" w:eastAsia="zh-CN"/>
              </w:rPr>
              <w:t>所需图书管理</w:t>
            </w:r>
            <w:r>
              <w:rPr>
                <w:rFonts w:hint="eastAsia" w:ascii="仿宋" w:hAnsi="仿宋" w:eastAsia="仿宋"/>
                <w:kern w:val="0"/>
                <w:sz w:val="24"/>
                <w:szCs w:val="24"/>
                <w:highlight w:val="none"/>
              </w:rPr>
              <w:t>系统操作</w:t>
            </w:r>
            <w:r>
              <w:rPr>
                <w:rFonts w:hint="eastAsia" w:ascii="仿宋" w:hAnsi="仿宋" w:eastAsia="仿宋"/>
                <w:kern w:val="0"/>
                <w:sz w:val="24"/>
                <w:szCs w:val="24"/>
                <w:highlight w:val="none"/>
                <w:lang w:val="en-US" w:eastAsia="zh-CN"/>
              </w:rPr>
              <w:t>经验,</w:t>
            </w:r>
            <w:r>
              <w:rPr>
                <w:rFonts w:hint="eastAsia" w:ascii="仿宋" w:hAnsi="仿宋" w:eastAsia="仿宋" w:cs="宋体"/>
                <w:sz w:val="24"/>
                <w:szCs w:val="24"/>
                <w:highlight w:val="none"/>
              </w:rPr>
              <w:t>供应商提供自202</w:t>
            </w:r>
            <w:r>
              <w:rPr>
                <w:rFonts w:hint="eastAsia" w:ascii="仿宋" w:hAnsi="仿宋" w:eastAsia="仿宋" w:cs="宋体"/>
                <w:sz w:val="24"/>
                <w:szCs w:val="24"/>
                <w:highlight w:val="none"/>
                <w:lang w:val="en-US" w:eastAsia="zh-CN"/>
              </w:rPr>
              <w:t>2</w:t>
            </w:r>
            <w:r>
              <w:rPr>
                <w:rFonts w:hint="eastAsia" w:ascii="仿宋" w:hAnsi="仿宋" w:eastAsia="仿宋" w:cs="宋体"/>
                <w:sz w:val="24"/>
                <w:szCs w:val="24"/>
                <w:highlight w:val="none"/>
              </w:rPr>
              <w:t>年12月至本项目响应文件递交截止时间（以合同签订日期为准）具有类似</w:t>
            </w:r>
            <w:r>
              <w:rPr>
                <w:rFonts w:hint="eastAsia" w:ascii="仿宋" w:hAnsi="仿宋" w:eastAsia="仿宋"/>
                <w:kern w:val="0"/>
                <w:sz w:val="24"/>
                <w:szCs w:val="24"/>
                <w:highlight w:val="none"/>
                <w:lang w:val="en-US" w:eastAsia="zh-CN"/>
              </w:rPr>
              <w:t>图书管理</w:t>
            </w:r>
            <w:r>
              <w:rPr>
                <w:rFonts w:hint="default" w:ascii="仿宋" w:hAnsi="仿宋" w:eastAsia="仿宋"/>
                <w:kern w:val="0"/>
                <w:sz w:val="24"/>
                <w:szCs w:val="24"/>
                <w:highlight w:val="none"/>
              </w:rPr>
              <w:t>系统环境下的盘点/</w:t>
            </w:r>
            <w:r>
              <w:rPr>
                <w:rFonts w:hint="default" w:ascii="仿宋" w:hAnsi="仿宋" w:eastAsia="仿宋" w:cs="Times New Roman"/>
                <w:kern w:val="0"/>
                <w:sz w:val="24"/>
                <w:szCs w:val="24"/>
                <w:highlight w:val="none"/>
              </w:rPr>
              <w:t>编目项目</w:t>
            </w:r>
            <w:r>
              <w:rPr>
                <w:rFonts w:hint="eastAsia" w:ascii="仿宋" w:hAnsi="仿宋" w:eastAsia="仿宋" w:cs="宋体"/>
                <w:sz w:val="24"/>
                <w:szCs w:val="24"/>
                <w:highlight w:val="none"/>
              </w:rPr>
              <w:t>（</w:t>
            </w:r>
            <w:r>
              <w:rPr>
                <w:rFonts w:hint="eastAsia" w:ascii="仿宋" w:hAnsi="仿宋" w:eastAsia="仿宋"/>
                <w:kern w:val="0"/>
                <w:sz w:val="24"/>
                <w:szCs w:val="24"/>
                <w:highlight w:val="none"/>
                <w:lang w:val="en-US" w:eastAsia="zh-CN"/>
              </w:rPr>
              <w:t>纸质图书盘点清查</w:t>
            </w:r>
            <w:r>
              <w:rPr>
                <w:rFonts w:hint="eastAsia" w:ascii="仿宋" w:hAnsi="仿宋" w:eastAsia="仿宋" w:cs="宋体"/>
                <w:sz w:val="24"/>
                <w:szCs w:val="24"/>
                <w:highlight w:val="none"/>
              </w:rPr>
              <w:t>）服务项目实施案例的,每提供一个加</w:t>
            </w:r>
            <w:r>
              <w:rPr>
                <w:rFonts w:hint="eastAsia" w:ascii="仿宋" w:hAnsi="仿宋" w:eastAsia="仿宋" w:cs="宋体"/>
                <w:sz w:val="24"/>
                <w:szCs w:val="24"/>
                <w:highlight w:val="none"/>
                <w:lang w:val="en-US" w:eastAsia="zh-CN"/>
              </w:rPr>
              <w:t>7</w:t>
            </w:r>
            <w:r>
              <w:rPr>
                <w:rFonts w:hint="eastAsia" w:ascii="仿宋" w:hAnsi="仿宋" w:eastAsia="仿宋" w:cs="宋体"/>
                <w:sz w:val="24"/>
                <w:szCs w:val="24"/>
                <w:highlight w:val="none"/>
              </w:rPr>
              <w:t>分</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lang w:val="en-US" w:eastAsia="zh-CN"/>
              </w:rPr>
              <w:t>最高得分20</w:t>
            </w:r>
            <w:r>
              <w:rPr>
                <w:rFonts w:hint="eastAsia" w:ascii="仿宋" w:hAnsi="仿宋" w:eastAsia="仿宋" w:cs="宋体"/>
                <w:sz w:val="24"/>
                <w:szCs w:val="24"/>
                <w:highlight w:val="none"/>
              </w:rPr>
              <w:t>分。</w:t>
            </w:r>
          </w:p>
          <w:p w14:paraId="25DD00DB">
            <w:pPr>
              <w:jc w:val="both"/>
              <w:rPr>
                <w:rFonts w:hint="eastAsia" w:ascii="仿宋" w:hAnsi="仿宋" w:eastAsia="仿宋"/>
                <w:kern w:val="0"/>
                <w:sz w:val="24"/>
                <w:szCs w:val="24"/>
                <w:highlight w:val="none"/>
              </w:rPr>
            </w:pPr>
            <w:r>
              <w:rPr>
                <w:rFonts w:hint="eastAsia" w:ascii="仿宋" w:hAnsi="仿宋" w:eastAsia="仿宋" w:cs="宋体"/>
                <w:b/>
                <w:bCs/>
                <w:sz w:val="24"/>
                <w:szCs w:val="24"/>
                <w:highlight w:val="none"/>
              </w:rPr>
              <w:t>【评审依据】：1）响应文件中提供以上人员证书扫描件和供应商为其缴纳的近三个月（不含磋商当月）的社保证明扫描件并加盖供应商公章，未提供或提供的证明材料不齐全的不得分。2）服务团队中人员证书不得复用，否则不予加分。</w:t>
            </w:r>
            <w:r>
              <w:rPr>
                <w:rFonts w:hint="eastAsia" w:ascii="仿宋" w:hAnsi="仿宋" w:eastAsia="仿宋" w:cs="宋体"/>
                <w:b/>
                <w:bCs/>
                <w:sz w:val="24"/>
                <w:szCs w:val="24"/>
                <w:highlight w:val="none"/>
                <w:lang w:val="en-US" w:eastAsia="zh-CN"/>
              </w:rPr>
              <w:t>3</w:t>
            </w:r>
            <w:r>
              <w:rPr>
                <w:rFonts w:hint="eastAsia" w:ascii="仿宋" w:hAnsi="仿宋" w:eastAsia="仿宋" w:cs="宋体"/>
                <w:b/>
                <w:bCs/>
                <w:sz w:val="24"/>
                <w:szCs w:val="24"/>
                <w:highlight w:val="none"/>
              </w:rPr>
              <w:t>）响应文件中提供合同复印件并加盖供应商公章。（合同复印件需提供合同首页、标的或内容所在页、签字盖章页）</w:t>
            </w:r>
          </w:p>
        </w:tc>
      </w:tr>
      <w:tr w14:paraId="62F2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501" w:type="dxa"/>
            <w:vAlign w:val="center"/>
          </w:tcPr>
          <w:p w14:paraId="641D0190">
            <w:pPr>
              <w:jc w:val="left"/>
              <w:rPr>
                <w:rFonts w:hint="eastAsia" w:ascii="仿宋" w:hAnsi="仿宋" w:eastAsia="仿宋" w:cs="宋体"/>
                <w:sz w:val="24"/>
                <w:szCs w:val="24"/>
              </w:rPr>
            </w:pPr>
            <w:r>
              <w:rPr>
                <w:rFonts w:hint="eastAsia" w:ascii="仿宋" w:hAnsi="仿宋" w:eastAsia="仿宋" w:cs="宋体"/>
                <w:sz w:val="24"/>
                <w:szCs w:val="24"/>
              </w:rPr>
              <w:t>3</w:t>
            </w:r>
          </w:p>
        </w:tc>
        <w:tc>
          <w:tcPr>
            <w:tcW w:w="1308" w:type="dxa"/>
            <w:vAlign w:val="center"/>
          </w:tcPr>
          <w:p w14:paraId="09951831">
            <w:pPr>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项目整体实施方案</w:t>
            </w:r>
          </w:p>
        </w:tc>
        <w:tc>
          <w:tcPr>
            <w:tcW w:w="709" w:type="dxa"/>
            <w:vAlign w:val="center"/>
          </w:tcPr>
          <w:p w14:paraId="01636BC4">
            <w:pPr>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20</w:t>
            </w:r>
          </w:p>
        </w:tc>
        <w:tc>
          <w:tcPr>
            <w:tcW w:w="6237" w:type="dxa"/>
            <w:vAlign w:val="center"/>
          </w:tcPr>
          <w:p w14:paraId="79B7BCAF">
            <w:pPr>
              <w:pStyle w:val="14"/>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val="0"/>
              <w:spacing w:beforeAutospacing="0" w:afterAutospacing="0"/>
              <w:ind w:left="0" w:leftChars="0" w:right="0" w:rightChars="0" w:firstLine="0" w:firstLineChars="0"/>
              <w:textAlignment w:val="auto"/>
              <w:rPr>
                <w:rFonts w:hint="eastAsia" w:ascii="仿宋" w:hAnsi="仿宋" w:eastAsia="仿宋" w:cs="仿宋"/>
                <w:i w:val="0"/>
                <w:iCs w:val="0"/>
                <w:caps w:val="0"/>
                <w:color w:val="0F1115"/>
                <w:spacing w:val="0"/>
                <w:sz w:val="24"/>
                <w:szCs w:val="24"/>
                <w:highlight w:val="none"/>
                <w:shd w:val="clear" w:fill="FFFFFF"/>
              </w:rPr>
            </w:pPr>
            <w:r>
              <w:rPr>
                <w:rFonts w:hint="eastAsia" w:ascii="仿宋" w:hAnsi="仿宋" w:eastAsia="仿宋" w:cs="仿宋"/>
                <w:i w:val="0"/>
                <w:iCs w:val="0"/>
                <w:caps w:val="0"/>
                <w:color w:val="0F1115"/>
                <w:spacing w:val="0"/>
                <w:kern w:val="2"/>
                <w:sz w:val="24"/>
                <w:szCs w:val="24"/>
                <w:highlight w:val="none"/>
                <w:shd w:val="clear" w:fill="FFFFFF"/>
                <w:lang w:val="en-US" w:eastAsia="zh-CN" w:bidi="ar-SA"/>
              </w:rPr>
              <w:t>（1）</w:t>
            </w:r>
            <w:r>
              <w:rPr>
                <w:rFonts w:hint="eastAsia" w:ascii="仿宋" w:hAnsi="仿宋" w:eastAsia="仿宋" w:cs="仿宋"/>
                <w:i w:val="0"/>
                <w:iCs w:val="0"/>
                <w:caps w:val="0"/>
                <w:color w:val="0F1115"/>
                <w:spacing w:val="0"/>
                <w:sz w:val="24"/>
                <w:szCs w:val="24"/>
                <w:highlight w:val="none"/>
                <w:shd w:val="clear" w:fill="FFFFFF"/>
              </w:rPr>
              <w:t> </w:t>
            </w:r>
            <w:r>
              <w:rPr>
                <w:rStyle w:val="20"/>
                <w:rFonts w:hint="eastAsia" w:ascii="仿宋" w:hAnsi="仿宋" w:eastAsia="仿宋" w:cs="仿宋"/>
                <w:b/>
                <w:bCs/>
                <w:i w:val="0"/>
                <w:iCs w:val="0"/>
                <w:caps w:val="0"/>
                <w:color w:val="0F1115"/>
                <w:spacing w:val="0"/>
                <w:sz w:val="24"/>
                <w:szCs w:val="24"/>
                <w:highlight w:val="none"/>
                <w:shd w:val="clear" w:fill="FFFFFF"/>
              </w:rPr>
              <w:t>对需求的理解与分析（5分）</w:t>
            </w:r>
            <w:r>
              <w:rPr>
                <w:rStyle w:val="20"/>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rPr>
              <w:t>对招标文件中工作内容、难点（如多校区、乱架严重、数据历史问题）的理解是否深刻、准确。理解全面、分析透彻，能预判关键难点并提出针对性思路，得5分。理解基本准确，但分析较为泛泛，得2-3分。理解有偏差或过于简单，得0-1分。</w:t>
            </w:r>
          </w:p>
          <w:p w14:paraId="30DA894F">
            <w:pPr>
              <w:pStyle w:val="14"/>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val="0"/>
              <w:spacing w:beforeAutospacing="0" w:afterAutospacing="0"/>
              <w:ind w:left="0" w:leftChars="0" w:right="0" w:rightChars="0" w:firstLine="0" w:firstLineChars="0"/>
              <w:textAlignment w:val="auto"/>
              <w:rPr>
                <w:rFonts w:hint="eastAsia" w:ascii="仿宋" w:hAnsi="仿宋" w:eastAsia="仿宋" w:cs="仿宋"/>
                <w:i w:val="0"/>
                <w:iCs w:val="0"/>
                <w:caps w:val="0"/>
                <w:color w:val="0F1115"/>
                <w:spacing w:val="0"/>
                <w:sz w:val="24"/>
                <w:szCs w:val="24"/>
                <w:highlight w:val="none"/>
                <w:shd w:val="clear" w:fill="FFFFFF"/>
              </w:rPr>
            </w:pPr>
            <w:r>
              <w:rPr>
                <w:rFonts w:hint="eastAsia" w:ascii="仿宋" w:hAnsi="仿宋" w:eastAsia="仿宋" w:cs="仿宋"/>
                <w:i w:val="0"/>
                <w:iCs w:val="0"/>
                <w:caps w:val="0"/>
                <w:color w:val="0F1115"/>
                <w:spacing w:val="0"/>
                <w:kern w:val="2"/>
                <w:sz w:val="24"/>
                <w:szCs w:val="24"/>
                <w:highlight w:val="none"/>
                <w:shd w:val="clear" w:fill="FFFFFF"/>
                <w:lang w:val="en-US" w:eastAsia="zh-CN" w:bidi="ar-SA"/>
              </w:rPr>
              <w:t>（2）</w:t>
            </w:r>
            <w:r>
              <w:rPr>
                <w:rStyle w:val="20"/>
                <w:rFonts w:hint="eastAsia" w:ascii="仿宋" w:hAnsi="仿宋" w:eastAsia="仿宋" w:cs="仿宋"/>
                <w:b/>
                <w:bCs/>
                <w:i w:val="0"/>
                <w:iCs w:val="0"/>
                <w:caps w:val="0"/>
                <w:color w:val="0F1115"/>
                <w:spacing w:val="0"/>
                <w:sz w:val="24"/>
                <w:szCs w:val="24"/>
                <w:highlight w:val="none"/>
                <w:shd w:val="clear" w:fill="FFFFFF"/>
              </w:rPr>
              <w:t>盘点核对与数据处理（5分）</w:t>
            </w:r>
            <w:r>
              <w:rPr>
                <w:rStyle w:val="20"/>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rPr>
              <w:t>流程设计合理（如分区、分层、责任到人）、高效，能保证“账、实、位”一一对应，并有有效的复查机制。优得5分，良得3分，一般得1分。 对错书、错架、数据错误（MARC字段错误、状态异常等）的发现、记录、报告、协同修正流程清晰，设计了专用的差错登记单或系统，可追溯。优得5分，良得3分</w:t>
            </w:r>
            <w:r>
              <w:rPr>
                <w:rFonts w:hint="eastAsia" w:ascii="仿宋" w:hAnsi="仿宋" w:eastAsia="仿宋" w:cs="仿宋"/>
                <w:i w:val="0"/>
                <w:iCs w:val="0"/>
                <w:caps w:val="0"/>
                <w:color w:val="0F1115"/>
                <w:spacing w:val="0"/>
                <w:sz w:val="24"/>
                <w:szCs w:val="24"/>
                <w:highlight w:val="none"/>
                <w:shd w:val="clear" w:fill="FFFFFF"/>
                <w:lang w:eastAsia="zh-CN"/>
              </w:rPr>
              <w:t>。</w:t>
            </w:r>
          </w:p>
          <w:p w14:paraId="6184814C">
            <w:pPr>
              <w:pStyle w:val="1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0"/>
              <w:textAlignment w:val="auto"/>
              <w:rPr>
                <w:rFonts w:hint="eastAsia" w:ascii="仿宋" w:hAnsi="仿宋" w:eastAsia="仿宋" w:cs="仿宋"/>
                <w:sz w:val="24"/>
                <w:szCs w:val="24"/>
                <w:highlight w:val="none"/>
              </w:rPr>
            </w:pP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3</w:t>
            </w:r>
            <w:r>
              <w:rPr>
                <w:rFonts w:hint="eastAsia" w:ascii="仿宋" w:hAnsi="仿宋" w:eastAsia="仿宋" w:cs="仿宋"/>
                <w:i w:val="0"/>
                <w:iCs w:val="0"/>
                <w:caps w:val="0"/>
                <w:color w:val="0F1115"/>
                <w:spacing w:val="0"/>
                <w:sz w:val="24"/>
                <w:szCs w:val="24"/>
                <w:highlight w:val="none"/>
                <w:shd w:val="clear" w:fill="FFFFFF"/>
                <w:lang w:eastAsia="zh-CN"/>
              </w:rPr>
              <w:t>）</w:t>
            </w:r>
            <w:r>
              <w:rPr>
                <w:rStyle w:val="20"/>
                <w:rFonts w:hint="eastAsia" w:ascii="仿宋" w:hAnsi="仿宋" w:eastAsia="仿宋" w:cs="仿宋"/>
                <w:b/>
                <w:bCs/>
                <w:i w:val="0"/>
                <w:iCs w:val="0"/>
                <w:caps w:val="0"/>
                <w:color w:val="0F1115"/>
                <w:spacing w:val="0"/>
                <w:sz w:val="24"/>
                <w:szCs w:val="24"/>
                <w:highlight w:val="none"/>
                <w:shd w:val="clear" w:fill="FFFFFF"/>
              </w:rPr>
              <w:t>图书定位归架（5分）</w:t>
            </w:r>
            <w:r>
              <w:rPr>
                <w:rStyle w:val="20"/>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rPr>
              <w:t>针对“图书定位归架”的排架规则熟悉程度和操作细则。方案体现对《中图法》排架规则及贵馆可能的细部规则（如不同藏书区的区别）的理解，操作细则具体（如如何识别“种次号”顺序），得5分。方案仅提及按索书号排序，缺乏细节，得2-3分。</w:t>
            </w:r>
          </w:p>
          <w:p w14:paraId="386CE50A">
            <w:pPr>
              <w:keepNext w:val="0"/>
              <w:keepLines w:val="0"/>
              <w:pageBreakBefore w:val="0"/>
              <w:widowControl/>
              <w:numPr>
                <w:ilvl w:val="0"/>
                <w:numId w:val="1"/>
              </w:numPr>
              <w:suppressLineNumbers w:val="0"/>
              <w:kinsoku/>
              <w:wordWrap/>
              <w:overflowPunct/>
              <w:topLinePunct w:val="0"/>
              <w:autoSpaceDE/>
              <w:autoSpaceDN/>
              <w:bidi w:val="0"/>
              <w:adjustRightInd/>
              <w:snapToGrid w:val="0"/>
              <w:spacing w:beforeAutospacing="0" w:afterAutospacing="0"/>
              <w:ind w:left="0" w:hanging="360"/>
              <w:textAlignment w:val="auto"/>
              <w:rPr>
                <w:rFonts w:hint="eastAsia" w:ascii="仿宋" w:hAnsi="仿宋" w:eastAsia="仿宋"/>
                <w:kern w:val="0"/>
                <w:sz w:val="24"/>
                <w:szCs w:val="24"/>
                <w:highlight w:val="none"/>
                <w:lang w:eastAsia="zh-CN"/>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eastAsia="zh-CN"/>
              </w:rPr>
              <w:t>）</w:t>
            </w:r>
            <w:r>
              <w:rPr>
                <w:rStyle w:val="20"/>
                <w:rFonts w:hint="eastAsia" w:ascii="仿宋" w:hAnsi="仿宋" w:eastAsia="仿宋" w:cs="仿宋"/>
                <w:b/>
                <w:bCs/>
                <w:i w:val="0"/>
                <w:iCs w:val="0"/>
                <w:caps w:val="0"/>
                <w:color w:val="0F1115"/>
                <w:spacing w:val="0"/>
                <w:sz w:val="24"/>
                <w:szCs w:val="24"/>
                <w:highlight w:val="none"/>
                <w:shd w:val="clear" w:fill="FFFFFF"/>
              </w:rPr>
              <w:t>安全保障与图书保护措施（5分）：</w:t>
            </w:r>
            <w:r>
              <w:rPr>
                <w:rFonts w:hint="eastAsia" w:ascii="仿宋" w:hAnsi="仿宋" w:eastAsia="仿宋" w:cs="仿宋"/>
                <w:i w:val="0"/>
                <w:iCs w:val="0"/>
                <w:caps w:val="0"/>
                <w:color w:val="0F1115"/>
                <w:spacing w:val="0"/>
                <w:sz w:val="24"/>
                <w:szCs w:val="24"/>
                <w:highlight w:val="none"/>
                <w:shd w:val="clear" w:fill="FFFFFF"/>
              </w:rPr>
              <w:t> 图书下架、搬运、清点过程中的防损、防盗、防火、防潮及人员安全措施。措施全面、具体、可操作性强，得5分。措施较简单，得2-3分。</w:t>
            </w:r>
          </w:p>
        </w:tc>
      </w:tr>
      <w:tr w14:paraId="2C8B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1F11FA84">
            <w:pPr>
              <w:jc w:val="left"/>
              <w:rPr>
                <w:rFonts w:hint="eastAsia" w:ascii="仿宋" w:hAnsi="仿宋" w:eastAsia="仿宋" w:cs="宋体"/>
                <w:sz w:val="24"/>
                <w:szCs w:val="24"/>
              </w:rPr>
            </w:pPr>
            <w:r>
              <w:rPr>
                <w:rFonts w:hint="eastAsia" w:ascii="仿宋" w:hAnsi="仿宋" w:eastAsia="仿宋" w:cs="宋体"/>
                <w:sz w:val="24"/>
                <w:szCs w:val="24"/>
              </w:rPr>
              <w:t>4</w:t>
            </w:r>
          </w:p>
        </w:tc>
        <w:tc>
          <w:tcPr>
            <w:tcW w:w="1308" w:type="dxa"/>
            <w:vAlign w:val="center"/>
          </w:tcPr>
          <w:p w14:paraId="6DD38DE0">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服务承诺与口碑</w:t>
            </w:r>
          </w:p>
        </w:tc>
        <w:tc>
          <w:tcPr>
            <w:tcW w:w="709" w:type="dxa"/>
            <w:vAlign w:val="center"/>
          </w:tcPr>
          <w:p w14:paraId="4C39461F">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vAlign w:val="center"/>
          </w:tcPr>
          <w:p w14:paraId="769C8C99">
            <w:pPr>
              <w:pStyle w:val="14"/>
              <w:keepNext w:val="0"/>
              <w:keepLines w:val="0"/>
              <w:widowControl/>
              <w:suppressLineNumbers w:val="0"/>
              <w:spacing w:before="0" w:beforeAutospacing="0" w:after="96" w:afterAutospacing="0"/>
              <w:ind w:left="0" w:right="0"/>
              <w:rPr>
                <w:rFonts w:hint="eastAsia" w:ascii="仿宋" w:hAnsi="仿宋" w:eastAsia="仿宋" w:cs="仿宋"/>
                <w:sz w:val="24"/>
                <w:szCs w:val="24"/>
              </w:rPr>
            </w:pPr>
            <w:r>
              <w:rPr>
                <w:rStyle w:val="20"/>
                <w:rFonts w:hint="eastAsia" w:ascii="仿宋" w:hAnsi="仿宋" w:eastAsia="仿宋" w:cs="仿宋"/>
                <w:b/>
                <w:bCs/>
                <w:i w:val="0"/>
                <w:iCs w:val="0"/>
                <w:caps w:val="0"/>
                <w:color w:val="0F1115"/>
                <w:spacing w:val="0"/>
                <w:sz w:val="24"/>
                <w:szCs w:val="24"/>
                <w:shd w:val="clear" w:fill="FFFFFF"/>
                <w:lang w:eastAsia="zh-CN"/>
              </w:rPr>
              <w:t>（</w:t>
            </w:r>
            <w:r>
              <w:rPr>
                <w:rStyle w:val="20"/>
                <w:rFonts w:hint="eastAsia" w:ascii="仿宋" w:hAnsi="仿宋" w:eastAsia="仿宋" w:cs="仿宋"/>
                <w:b/>
                <w:bCs/>
                <w:i w:val="0"/>
                <w:iCs w:val="0"/>
                <w:caps w:val="0"/>
                <w:color w:val="0F1115"/>
                <w:spacing w:val="0"/>
                <w:sz w:val="24"/>
                <w:szCs w:val="24"/>
                <w:shd w:val="clear" w:fill="FFFFFF"/>
                <w:lang w:val="en-US" w:eastAsia="zh-CN"/>
              </w:rPr>
              <w:t>1</w:t>
            </w:r>
            <w:r>
              <w:rPr>
                <w:rStyle w:val="20"/>
                <w:rFonts w:hint="eastAsia" w:ascii="仿宋" w:hAnsi="仿宋" w:eastAsia="仿宋" w:cs="仿宋"/>
                <w:b/>
                <w:bCs/>
                <w:i w:val="0"/>
                <w:iCs w:val="0"/>
                <w:caps w:val="0"/>
                <w:color w:val="0F1115"/>
                <w:spacing w:val="0"/>
                <w:sz w:val="24"/>
                <w:szCs w:val="24"/>
                <w:shd w:val="clear" w:fill="FFFFFF"/>
                <w:lang w:eastAsia="zh-CN"/>
              </w:rPr>
              <w:t>）</w:t>
            </w:r>
            <w:r>
              <w:rPr>
                <w:rStyle w:val="20"/>
                <w:rFonts w:hint="eastAsia" w:ascii="仿宋" w:hAnsi="仿宋" w:eastAsia="仿宋" w:cs="仿宋"/>
                <w:b/>
                <w:bCs/>
                <w:i w:val="0"/>
                <w:iCs w:val="0"/>
                <w:caps w:val="0"/>
                <w:color w:val="0F1115"/>
                <w:spacing w:val="0"/>
                <w:sz w:val="24"/>
                <w:szCs w:val="24"/>
                <w:shd w:val="clear" w:fill="FFFFFF"/>
              </w:rPr>
              <w:t>类似项目业绩（1</w:t>
            </w:r>
            <w:r>
              <w:rPr>
                <w:rStyle w:val="20"/>
                <w:rFonts w:hint="eastAsia" w:ascii="仿宋" w:hAnsi="仿宋" w:eastAsia="仿宋" w:cs="仿宋"/>
                <w:b/>
                <w:bCs/>
                <w:i w:val="0"/>
                <w:iCs w:val="0"/>
                <w:caps w:val="0"/>
                <w:color w:val="0F1115"/>
                <w:spacing w:val="0"/>
                <w:sz w:val="24"/>
                <w:szCs w:val="24"/>
                <w:shd w:val="clear" w:fill="FFFFFF"/>
                <w:lang w:val="en-US" w:eastAsia="zh-CN"/>
              </w:rPr>
              <w:t>0</w:t>
            </w:r>
            <w:r>
              <w:rPr>
                <w:rStyle w:val="20"/>
                <w:rFonts w:hint="eastAsia" w:ascii="仿宋" w:hAnsi="仿宋" w:eastAsia="仿宋" w:cs="仿宋"/>
                <w:b/>
                <w:bCs/>
                <w:i w:val="0"/>
                <w:iCs w:val="0"/>
                <w:caps w:val="0"/>
                <w:color w:val="0F1115"/>
                <w:spacing w:val="0"/>
                <w:sz w:val="24"/>
                <w:szCs w:val="24"/>
                <w:shd w:val="clear" w:fill="FFFFFF"/>
              </w:rPr>
              <w:t>分）：</w:t>
            </w:r>
            <w:r>
              <w:rPr>
                <w:rFonts w:hint="eastAsia" w:ascii="仿宋" w:hAnsi="仿宋" w:eastAsia="仿宋" w:cs="仿宋"/>
                <w:i w:val="0"/>
                <w:iCs w:val="0"/>
                <w:caps w:val="0"/>
                <w:color w:val="0F1115"/>
                <w:spacing w:val="0"/>
                <w:sz w:val="24"/>
                <w:szCs w:val="24"/>
                <w:shd w:val="clear" w:fill="FFFFFF"/>
              </w:rPr>
              <w:t> </w:t>
            </w:r>
            <w:r>
              <w:rPr>
                <w:rFonts w:hint="eastAsia" w:ascii="仿宋" w:hAnsi="仿宋" w:eastAsia="仿宋"/>
                <w:kern w:val="0"/>
                <w:sz w:val="24"/>
                <w:szCs w:val="24"/>
              </w:rPr>
              <w:t>提供近5年内成功管理过类似规模（</w:t>
            </w:r>
            <w:r>
              <w:rPr>
                <w:rFonts w:hint="eastAsia" w:ascii="仿宋" w:hAnsi="仿宋" w:eastAsia="仿宋"/>
                <w:kern w:val="0"/>
                <w:sz w:val="24"/>
                <w:szCs w:val="24"/>
                <w:lang w:val="en-US" w:eastAsia="zh-CN"/>
              </w:rPr>
              <w:t>5</w:t>
            </w:r>
            <w:r>
              <w:rPr>
                <w:rFonts w:hint="eastAsia" w:ascii="仿宋" w:hAnsi="仿宋" w:eastAsia="仿宋"/>
                <w:kern w:val="0"/>
                <w:sz w:val="24"/>
                <w:szCs w:val="24"/>
              </w:rPr>
              <w:t>万册以上）图书馆盘点</w:t>
            </w:r>
            <w:r>
              <w:rPr>
                <w:rFonts w:hint="eastAsia" w:ascii="仿宋" w:hAnsi="仿宋" w:eastAsia="仿宋"/>
                <w:kern w:val="0"/>
                <w:sz w:val="24"/>
                <w:szCs w:val="24"/>
                <w:lang w:val="en-US" w:eastAsia="zh-CN"/>
              </w:rPr>
              <w:t>或加工编目上架</w:t>
            </w:r>
            <w:r>
              <w:rPr>
                <w:rFonts w:hint="eastAsia" w:ascii="仿宋" w:hAnsi="仿宋" w:eastAsia="仿宋"/>
                <w:kern w:val="0"/>
                <w:sz w:val="24"/>
                <w:szCs w:val="24"/>
              </w:rPr>
              <w:t>项目的</w:t>
            </w:r>
            <w:r>
              <w:rPr>
                <w:rFonts w:hint="eastAsia" w:ascii="仿宋" w:hAnsi="仿宋" w:eastAsia="仿宋"/>
                <w:kern w:val="0"/>
                <w:sz w:val="24"/>
                <w:szCs w:val="24"/>
                <w:lang w:val="en-US" w:eastAsia="zh-CN"/>
              </w:rPr>
              <w:t>证明（</w:t>
            </w:r>
            <w:r>
              <w:rPr>
                <w:rFonts w:hint="eastAsia" w:ascii="仿宋" w:hAnsi="仿宋" w:eastAsia="仿宋"/>
                <w:kern w:val="0"/>
                <w:sz w:val="24"/>
                <w:szCs w:val="24"/>
              </w:rPr>
              <w:t>合同关键页及验收证明</w:t>
            </w:r>
            <w:r>
              <w:rPr>
                <w:rFonts w:hint="eastAsia" w:ascii="仿宋" w:hAnsi="仿宋" w:eastAsia="仿宋"/>
                <w:kern w:val="0"/>
                <w:sz w:val="24"/>
                <w:szCs w:val="24"/>
                <w:lang w:eastAsia="zh-CN"/>
              </w:rPr>
              <w:t>）</w:t>
            </w:r>
            <w:r>
              <w:rPr>
                <w:rFonts w:hint="eastAsia" w:ascii="仿宋" w:hAnsi="仿宋" w:eastAsia="仿宋"/>
                <w:kern w:val="0"/>
                <w:sz w:val="24"/>
                <w:szCs w:val="24"/>
              </w:rPr>
              <w:t>，每1个得</w:t>
            </w:r>
            <w:r>
              <w:rPr>
                <w:rFonts w:hint="eastAsia" w:ascii="仿宋" w:hAnsi="仿宋" w:eastAsia="仿宋"/>
                <w:kern w:val="0"/>
                <w:sz w:val="24"/>
                <w:szCs w:val="24"/>
                <w:lang w:val="en-US" w:eastAsia="zh-CN"/>
              </w:rPr>
              <w:t>5</w:t>
            </w:r>
            <w:r>
              <w:rPr>
                <w:rFonts w:hint="eastAsia" w:ascii="仿宋" w:hAnsi="仿宋" w:eastAsia="仿宋"/>
                <w:kern w:val="0"/>
                <w:sz w:val="24"/>
                <w:szCs w:val="24"/>
              </w:rPr>
              <w:t>分</w:t>
            </w:r>
            <w:r>
              <w:rPr>
                <w:rFonts w:hint="eastAsia" w:ascii="仿宋" w:hAnsi="仿宋" w:eastAsia="仿宋"/>
                <w:kern w:val="0"/>
                <w:sz w:val="24"/>
                <w:szCs w:val="24"/>
                <w:lang w:eastAsia="zh-CN"/>
              </w:rPr>
              <w:t>，</w:t>
            </w:r>
            <w:r>
              <w:rPr>
                <w:rFonts w:hint="eastAsia" w:ascii="仿宋" w:hAnsi="仿宋" w:eastAsia="仿宋"/>
                <w:kern w:val="0"/>
                <w:sz w:val="24"/>
                <w:szCs w:val="24"/>
                <w:lang w:val="en-US" w:eastAsia="zh-CN"/>
              </w:rPr>
              <w:t>最高得分10分</w:t>
            </w:r>
            <w:r>
              <w:rPr>
                <w:rFonts w:hint="eastAsia" w:ascii="仿宋" w:hAnsi="仿宋" w:eastAsia="仿宋" w:cs="仿宋"/>
                <w:i w:val="0"/>
                <w:iCs w:val="0"/>
                <w:caps w:val="0"/>
                <w:color w:val="0F1115"/>
                <w:spacing w:val="0"/>
                <w:sz w:val="24"/>
                <w:szCs w:val="24"/>
                <w:shd w:val="clear" w:fill="FFFFFF"/>
              </w:rPr>
              <w:t>。每提供1个其他图书馆项目的用户推荐信或表扬信，得2分</w:t>
            </w:r>
            <w:r>
              <w:rPr>
                <w:rFonts w:hint="eastAsia" w:ascii="仿宋" w:hAnsi="仿宋" w:eastAsia="仿宋" w:cs="仿宋"/>
                <w:i w:val="0"/>
                <w:iCs w:val="0"/>
                <w:caps w:val="0"/>
                <w:color w:val="0F1115"/>
                <w:spacing w:val="0"/>
                <w:sz w:val="24"/>
                <w:szCs w:val="24"/>
                <w:shd w:val="clear" w:fill="FFFFFF"/>
                <w:lang w:eastAsia="zh-CN"/>
              </w:rPr>
              <w:t>，</w:t>
            </w:r>
            <w:r>
              <w:rPr>
                <w:rFonts w:hint="eastAsia" w:ascii="仿宋" w:hAnsi="仿宋" w:eastAsia="仿宋" w:cs="仿宋"/>
                <w:i w:val="0"/>
                <w:iCs w:val="0"/>
                <w:caps w:val="0"/>
                <w:color w:val="0F1115"/>
                <w:spacing w:val="0"/>
                <w:sz w:val="24"/>
                <w:szCs w:val="24"/>
                <w:shd w:val="clear" w:fill="FFFFFF"/>
              </w:rPr>
              <w:t>最高得</w:t>
            </w:r>
            <w:r>
              <w:rPr>
                <w:rFonts w:hint="eastAsia" w:ascii="仿宋" w:hAnsi="仿宋" w:eastAsia="仿宋" w:cs="仿宋"/>
                <w:i w:val="0"/>
                <w:iCs w:val="0"/>
                <w:caps w:val="0"/>
                <w:color w:val="0F1115"/>
                <w:spacing w:val="0"/>
                <w:sz w:val="24"/>
                <w:szCs w:val="24"/>
                <w:shd w:val="clear" w:fill="FFFFFF"/>
                <w:lang w:val="en-US" w:eastAsia="zh-CN"/>
              </w:rPr>
              <w:t>5</w:t>
            </w:r>
            <w:r>
              <w:rPr>
                <w:rFonts w:hint="eastAsia" w:ascii="仿宋" w:hAnsi="仿宋" w:eastAsia="仿宋" w:cs="仿宋"/>
                <w:i w:val="0"/>
                <w:iCs w:val="0"/>
                <w:caps w:val="0"/>
                <w:color w:val="0F1115"/>
                <w:spacing w:val="0"/>
                <w:sz w:val="24"/>
                <w:szCs w:val="24"/>
                <w:shd w:val="clear" w:fill="FFFFFF"/>
              </w:rPr>
              <w:t>分。</w:t>
            </w:r>
          </w:p>
          <w:p w14:paraId="0E4E216E">
            <w:pPr>
              <w:pStyle w:val="14"/>
              <w:keepNext w:val="0"/>
              <w:keepLines w:val="0"/>
              <w:widowControl/>
              <w:suppressLineNumbers w:val="0"/>
              <w:spacing w:before="0" w:beforeAutospacing="0" w:after="96" w:afterAutospacing="0"/>
              <w:ind w:left="0" w:right="0"/>
              <w:rPr>
                <w:rFonts w:hint="default" w:ascii="仿宋" w:hAnsi="仿宋" w:eastAsia="仿宋" w:cs="仿宋"/>
                <w:i w:val="0"/>
                <w:iCs w:val="0"/>
                <w:caps w:val="0"/>
                <w:color w:val="0F1115"/>
                <w:spacing w:val="0"/>
                <w:sz w:val="24"/>
                <w:szCs w:val="24"/>
                <w:shd w:val="clear" w:fill="FFFFFF"/>
                <w:lang w:val="en-US" w:eastAsia="zh-CN"/>
              </w:rPr>
            </w:pPr>
            <w:r>
              <w:rPr>
                <w:rStyle w:val="20"/>
                <w:rFonts w:hint="eastAsia" w:ascii="仿宋" w:hAnsi="仿宋" w:eastAsia="仿宋" w:cs="仿宋"/>
                <w:b/>
                <w:bCs/>
                <w:i w:val="0"/>
                <w:iCs w:val="0"/>
                <w:caps w:val="0"/>
                <w:color w:val="0F1115"/>
                <w:spacing w:val="0"/>
                <w:sz w:val="24"/>
                <w:szCs w:val="24"/>
                <w:shd w:val="clear" w:fill="FFFFFF"/>
                <w:lang w:eastAsia="zh-CN"/>
              </w:rPr>
              <w:t>（</w:t>
            </w:r>
            <w:r>
              <w:rPr>
                <w:rStyle w:val="20"/>
                <w:rFonts w:hint="eastAsia" w:ascii="仿宋" w:hAnsi="仿宋" w:eastAsia="仿宋" w:cs="仿宋"/>
                <w:b/>
                <w:bCs/>
                <w:i w:val="0"/>
                <w:iCs w:val="0"/>
                <w:caps w:val="0"/>
                <w:color w:val="0F1115"/>
                <w:spacing w:val="0"/>
                <w:sz w:val="24"/>
                <w:szCs w:val="24"/>
                <w:shd w:val="clear" w:fill="FFFFFF"/>
                <w:lang w:val="en-US" w:eastAsia="zh-CN"/>
              </w:rPr>
              <w:t>2</w:t>
            </w:r>
            <w:r>
              <w:rPr>
                <w:rStyle w:val="20"/>
                <w:rFonts w:hint="eastAsia" w:ascii="仿宋" w:hAnsi="仿宋" w:eastAsia="仿宋" w:cs="仿宋"/>
                <w:b/>
                <w:bCs/>
                <w:i w:val="0"/>
                <w:iCs w:val="0"/>
                <w:caps w:val="0"/>
                <w:color w:val="0F1115"/>
                <w:spacing w:val="0"/>
                <w:sz w:val="24"/>
                <w:szCs w:val="24"/>
                <w:shd w:val="clear" w:fill="FFFFFF"/>
                <w:lang w:eastAsia="zh-CN"/>
              </w:rPr>
              <w:t>）</w:t>
            </w:r>
            <w:r>
              <w:rPr>
                <w:rStyle w:val="20"/>
                <w:rFonts w:hint="eastAsia" w:ascii="仿宋" w:hAnsi="仿宋" w:eastAsia="仿宋" w:cs="仿宋"/>
                <w:b/>
                <w:bCs/>
                <w:i w:val="0"/>
                <w:iCs w:val="0"/>
                <w:caps w:val="0"/>
                <w:color w:val="0F1115"/>
                <w:spacing w:val="0"/>
                <w:sz w:val="24"/>
                <w:szCs w:val="24"/>
                <w:shd w:val="clear" w:fill="FFFFFF"/>
              </w:rPr>
              <w:t>服务保障承诺（5分）：</w:t>
            </w:r>
            <w:r>
              <w:rPr>
                <w:rFonts w:hint="eastAsia" w:ascii="仿宋" w:hAnsi="仿宋" w:eastAsia="仿宋" w:cs="仿宋"/>
                <w:i w:val="0"/>
                <w:iCs w:val="0"/>
                <w:caps w:val="0"/>
                <w:color w:val="0F1115"/>
                <w:spacing w:val="0"/>
                <w:sz w:val="24"/>
                <w:szCs w:val="24"/>
                <w:shd w:val="clear" w:fill="FFFFFF"/>
              </w:rPr>
              <w:t> 对项目进度、质量、保密性、人员管理等方面的书面承诺。承诺内容全面、具体（如按期完工违约金、数据保密协议、人员服从甲方管理等），并愿意写入合同，得5分</w:t>
            </w:r>
            <w:r>
              <w:rPr>
                <w:rFonts w:hint="eastAsia" w:ascii="仿宋" w:hAnsi="仿宋" w:eastAsia="仿宋" w:cs="仿宋"/>
                <w:i w:val="0"/>
                <w:iCs w:val="0"/>
                <w:caps w:val="0"/>
                <w:color w:val="0F1115"/>
                <w:spacing w:val="0"/>
                <w:sz w:val="24"/>
                <w:szCs w:val="24"/>
                <w:shd w:val="clear" w:fill="FFFFFF"/>
                <w:lang w:eastAsia="zh-CN"/>
              </w:rPr>
              <w:t>，</w:t>
            </w:r>
            <w:r>
              <w:rPr>
                <w:rFonts w:hint="eastAsia" w:ascii="仿宋" w:hAnsi="仿宋" w:eastAsia="仿宋" w:cs="仿宋"/>
                <w:i w:val="0"/>
                <w:iCs w:val="0"/>
                <w:caps w:val="0"/>
                <w:color w:val="0F1115"/>
                <w:spacing w:val="0"/>
                <w:sz w:val="24"/>
                <w:szCs w:val="24"/>
                <w:shd w:val="clear" w:fill="FFFFFF"/>
              </w:rPr>
              <w:t>承诺较为笼统，得2-3分</w:t>
            </w:r>
            <w:r>
              <w:rPr>
                <w:rFonts w:hint="eastAsia" w:ascii="仿宋" w:hAnsi="仿宋" w:eastAsia="仿宋" w:cs="仿宋"/>
                <w:i w:val="0"/>
                <w:iCs w:val="0"/>
                <w:caps w:val="0"/>
                <w:color w:val="0F1115"/>
                <w:spacing w:val="0"/>
                <w:sz w:val="24"/>
                <w:szCs w:val="24"/>
                <w:shd w:val="clear" w:fill="FFFFFF"/>
                <w:lang w:val="en-US" w:eastAsia="zh-CN"/>
              </w:rPr>
              <w:t>。</w:t>
            </w:r>
          </w:p>
          <w:p w14:paraId="08536E3C">
            <w:pPr>
              <w:jc w:val="left"/>
              <w:rPr>
                <w:rFonts w:hint="eastAsia" w:ascii="仿宋" w:hAnsi="仿宋" w:eastAsia="仿宋" w:cs="仿宋"/>
                <w:i w:val="0"/>
                <w:iCs w:val="0"/>
                <w:caps w:val="0"/>
                <w:color w:val="0F1115"/>
                <w:spacing w:val="0"/>
                <w:sz w:val="24"/>
                <w:szCs w:val="24"/>
                <w:shd w:val="clear" w:fill="FFFFFF"/>
                <w:lang w:eastAsia="zh-CN"/>
              </w:rPr>
            </w:pPr>
            <w:r>
              <w:rPr>
                <w:rFonts w:hint="eastAsia" w:ascii="仿宋" w:hAnsi="仿宋" w:eastAsia="仿宋" w:cs="仿宋"/>
                <w:b/>
                <w:bCs/>
                <w:i w:val="0"/>
                <w:iCs w:val="0"/>
                <w:caps w:val="0"/>
                <w:color w:val="0F1115"/>
                <w:spacing w:val="0"/>
                <w:sz w:val="24"/>
                <w:szCs w:val="24"/>
                <w:shd w:val="clear" w:fill="FFFFFF"/>
                <w:lang w:eastAsia="zh-CN"/>
              </w:rPr>
              <w:t>（</w:t>
            </w:r>
            <w:r>
              <w:rPr>
                <w:rFonts w:hint="eastAsia" w:ascii="仿宋" w:hAnsi="仿宋" w:eastAsia="仿宋" w:cs="仿宋"/>
                <w:b/>
                <w:bCs/>
                <w:i w:val="0"/>
                <w:iCs w:val="0"/>
                <w:caps w:val="0"/>
                <w:color w:val="0F1115"/>
                <w:spacing w:val="0"/>
                <w:sz w:val="24"/>
                <w:szCs w:val="24"/>
                <w:shd w:val="clear" w:fill="FFFFFF"/>
                <w:lang w:val="en-US" w:eastAsia="zh-CN"/>
              </w:rPr>
              <w:t>3</w:t>
            </w:r>
            <w:r>
              <w:rPr>
                <w:rFonts w:hint="eastAsia" w:ascii="仿宋" w:hAnsi="仿宋" w:eastAsia="仿宋" w:cs="仿宋"/>
                <w:b/>
                <w:bCs/>
                <w:i w:val="0"/>
                <w:iCs w:val="0"/>
                <w:caps w:val="0"/>
                <w:color w:val="0F1115"/>
                <w:spacing w:val="0"/>
                <w:sz w:val="24"/>
                <w:szCs w:val="24"/>
                <w:shd w:val="clear" w:fill="FFFFFF"/>
                <w:lang w:eastAsia="zh-CN"/>
              </w:rPr>
              <w:t>）</w:t>
            </w:r>
            <w:r>
              <w:rPr>
                <w:rFonts w:hint="eastAsia" w:ascii="仿宋" w:hAnsi="仿宋" w:eastAsia="仿宋" w:cs="宋体"/>
                <w:b/>
                <w:bCs/>
                <w:sz w:val="24"/>
                <w:szCs w:val="24"/>
                <w:lang w:val="en-US" w:eastAsia="zh-CN" w:bidi="ar"/>
              </w:rPr>
              <w:t>提供</w:t>
            </w:r>
            <w:r>
              <w:rPr>
                <w:rFonts w:hint="eastAsia" w:ascii="仿宋" w:hAnsi="仿宋" w:eastAsia="仿宋" w:cs="宋体"/>
                <w:b/>
                <w:bCs/>
                <w:sz w:val="24"/>
                <w:szCs w:val="24"/>
                <w:lang w:val="zh-CN" w:bidi="ar"/>
              </w:rPr>
              <w:t>售后服务方案综合评分</w:t>
            </w:r>
            <w:r>
              <w:rPr>
                <w:rStyle w:val="20"/>
                <w:rFonts w:hint="eastAsia" w:ascii="仿宋" w:hAnsi="仿宋" w:eastAsia="仿宋" w:cs="仿宋"/>
                <w:b/>
                <w:bCs/>
                <w:i w:val="0"/>
                <w:iCs w:val="0"/>
                <w:caps w:val="0"/>
                <w:color w:val="0F1115"/>
                <w:spacing w:val="0"/>
                <w:sz w:val="24"/>
                <w:szCs w:val="24"/>
                <w:shd w:val="clear" w:fill="FFFFFF"/>
              </w:rPr>
              <w:t>（5分）</w:t>
            </w:r>
            <w:r>
              <w:rPr>
                <w:rFonts w:hint="eastAsia" w:ascii="仿宋" w:hAnsi="仿宋" w:eastAsia="仿宋" w:cs="宋体"/>
                <w:b w:val="0"/>
                <w:bCs w:val="0"/>
                <w:sz w:val="24"/>
                <w:szCs w:val="24"/>
                <w:lang w:val="zh-CN" w:bidi="ar"/>
              </w:rPr>
              <w:t>（包含售后措施、售后服务、服务响应时间、人员安排、售后服务承诺、应急服务措施等）</w:t>
            </w:r>
            <w:r>
              <w:rPr>
                <w:rFonts w:hint="eastAsia" w:ascii="仿宋" w:hAnsi="仿宋" w:eastAsia="仿宋" w:cs="宋体"/>
                <w:sz w:val="24"/>
                <w:szCs w:val="24"/>
                <w:lang w:val="zh-CN" w:bidi="ar"/>
              </w:rPr>
              <w:t>：方案完善、有针对性、可行性的得</w:t>
            </w:r>
            <w:r>
              <w:rPr>
                <w:rFonts w:hint="eastAsia" w:ascii="仿宋" w:hAnsi="仿宋" w:eastAsia="仿宋" w:cs="宋体"/>
                <w:sz w:val="24"/>
                <w:szCs w:val="24"/>
                <w:lang w:val="en-US" w:eastAsia="zh-CN" w:bidi="ar"/>
              </w:rPr>
              <w:t>5</w:t>
            </w:r>
            <w:r>
              <w:rPr>
                <w:rFonts w:hint="eastAsia" w:ascii="仿宋" w:hAnsi="仿宋" w:eastAsia="仿宋" w:cs="宋体"/>
                <w:sz w:val="24"/>
                <w:szCs w:val="24"/>
                <w:lang w:val="zh-CN" w:bidi="ar"/>
              </w:rPr>
              <w:t>分，方案阐述不够清晰、不够详尽的得</w:t>
            </w:r>
            <w:r>
              <w:rPr>
                <w:rFonts w:hint="eastAsia" w:ascii="仿宋" w:hAnsi="仿宋" w:eastAsia="仿宋" w:cs="宋体"/>
                <w:sz w:val="24"/>
                <w:szCs w:val="24"/>
                <w:lang w:val="en-US" w:eastAsia="zh-CN" w:bidi="ar"/>
              </w:rPr>
              <w:t>2</w:t>
            </w:r>
            <w:r>
              <w:rPr>
                <w:rFonts w:hint="eastAsia" w:ascii="仿宋" w:hAnsi="仿宋" w:eastAsia="仿宋" w:cs="宋体"/>
                <w:sz w:val="24"/>
                <w:szCs w:val="24"/>
                <w:lang w:val="zh-CN" w:bidi="ar"/>
              </w:rPr>
              <w:t>分，方案欠合理或未提供不得分。</w:t>
            </w:r>
          </w:p>
        </w:tc>
      </w:tr>
    </w:tbl>
    <w:p w14:paraId="17334F27">
      <w:pPr>
        <w:pStyle w:val="16"/>
        <w:ind w:left="0" w:leftChars="0" w:firstLine="0"/>
        <w:jc w:val="center"/>
        <w:rPr>
          <w:rFonts w:hint="eastAsia" w:ascii="宋体" w:hAnsi="宋体" w:eastAsia="仿宋" w:cs="宋体"/>
          <w:b/>
          <w:color w:val="333333"/>
          <w:kern w:val="0"/>
          <w:sz w:val="36"/>
          <w:szCs w:val="36"/>
        </w:rPr>
      </w:pPr>
      <w:bookmarkStart w:id="9" w:name="_GoBack"/>
      <w:bookmarkEnd w:id="9"/>
      <w:r>
        <w:rPr>
          <w:rFonts w:hint="eastAsia" w:ascii="宋体" w:hAnsi="宋体" w:eastAsia="仿宋" w:cs="宋体"/>
          <w:b/>
          <w:color w:val="333333"/>
          <w:kern w:val="0"/>
          <w:sz w:val="36"/>
          <w:szCs w:val="36"/>
        </w:rPr>
        <w:t>三、响应文件组成</w:t>
      </w:r>
    </w:p>
    <w:p w14:paraId="230C094C">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5E3EE92D">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7CA4E6CE">
      <w:pPr>
        <w:pStyle w:val="16"/>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597EEB46">
      <w:pPr>
        <w:rPr>
          <w:rFonts w:hint="eastAsia"/>
        </w:rPr>
      </w:pPr>
    </w:p>
    <w:p w14:paraId="54346406">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393EA5D9">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44979FEB">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B8FD26C">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47C9BF8">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69038182">
      <w:pPr>
        <w:pStyle w:val="10"/>
        <w:adjustRightInd w:val="0"/>
        <w:snapToGrid w:val="0"/>
        <w:spacing w:line="360" w:lineRule="auto"/>
        <w:rPr>
          <w:rFonts w:hint="eastAsia" w:ascii="仿宋_GB2312" w:hAnsi="宋体" w:eastAsia="仿宋_GB2312"/>
          <w:b/>
        </w:rPr>
      </w:pPr>
    </w:p>
    <w:p w14:paraId="1CB8D724">
      <w:pPr>
        <w:pStyle w:val="10"/>
        <w:adjustRightInd w:val="0"/>
        <w:snapToGrid w:val="0"/>
        <w:spacing w:line="360" w:lineRule="auto"/>
        <w:rPr>
          <w:rFonts w:hint="eastAsia" w:ascii="仿宋_GB2312" w:hAnsi="宋体" w:eastAsia="仿宋_GB2312"/>
          <w:b/>
        </w:rPr>
      </w:pPr>
    </w:p>
    <w:p w14:paraId="73AF5EFC">
      <w:pPr>
        <w:rPr>
          <w:rFonts w:ascii="仿宋" w:hAnsi="仿宋" w:eastAsia="仿宋"/>
          <w:b/>
          <w:sz w:val="24"/>
          <w:szCs w:val="24"/>
        </w:rPr>
      </w:pPr>
    </w:p>
    <w:p w14:paraId="00EABCEF">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3B263C3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6C5FDEDD">
      <w:pPr>
        <w:adjustRightInd w:val="0"/>
        <w:snapToGrid w:val="0"/>
        <w:spacing w:line="360" w:lineRule="auto"/>
        <w:rPr>
          <w:rFonts w:hint="eastAsia" w:ascii="仿宋_GB2312" w:hAnsi="宋体" w:eastAsia="仿宋_GB2312"/>
          <w:sz w:val="24"/>
          <w:szCs w:val="24"/>
        </w:rPr>
      </w:pPr>
    </w:p>
    <w:p w14:paraId="5C1E24F5">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76FC6B70">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w:t>
      </w:r>
      <w:r>
        <w:rPr>
          <w:rFonts w:hint="eastAsia" w:ascii="仿宋" w:hAnsi="仿宋" w:eastAsia="仿宋"/>
          <w:sz w:val="24"/>
          <w:szCs w:val="24"/>
          <w:u w:val="none"/>
        </w:rPr>
        <w:t>了</w:t>
      </w:r>
      <w:r>
        <w:rPr>
          <w:rFonts w:hint="eastAsia" w:ascii="仿宋" w:hAnsi="仿宋" w:eastAsia="仿宋"/>
          <w:sz w:val="24"/>
          <w:szCs w:val="24"/>
          <w:u w:val="none"/>
          <w:lang w:val="en-US" w:eastAsia="zh-CN"/>
        </w:rPr>
        <w:t>东校区图书馆部分纸质图书盘点清查项目</w:t>
      </w:r>
      <w:r>
        <w:rPr>
          <w:rFonts w:hint="eastAsia" w:ascii="仿宋" w:hAnsi="仿宋" w:eastAsia="仿宋"/>
          <w:sz w:val="24"/>
          <w:szCs w:val="24"/>
        </w:rPr>
        <w:t>的询比采购文件的全部内容，知悉参加询比的风险，我方承诺接受询比采购文件的全部条款且无任何异议。</w:t>
      </w:r>
    </w:p>
    <w:p w14:paraId="4FB8864E">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3FE9963E">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48AC0D3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11B22496">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582B7977">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5943C06F">
      <w:pPr>
        <w:adjustRightInd w:val="0"/>
        <w:snapToGrid w:val="0"/>
        <w:spacing w:line="360" w:lineRule="auto"/>
        <w:ind w:right="24"/>
        <w:rPr>
          <w:rFonts w:hint="eastAsia" w:ascii="仿宋" w:hAnsi="仿宋" w:eastAsia="仿宋"/>
          <w:bCs/>
          <w:sz w:val="24"/>
          <w:szCs w:val="24"/>
        </w:rPr>
      </w:pPr>
    </w:p>
    <w:p w14:paraId="57CE8B28">
      <w:pPr>
        <w:adjustRightInd w:val="0"/>
        <w:snapToGrid w:val="0"/>
        <w:spacing w:line="360" w:lineRule="auto"/>
        <w:ind w:right="24"/>
        <w:rPr>
          <w:rFonts w:hint="eastAsia" w:ascii="仿宋" w:hAnsi="仿宋" w:eastAsia="仿宋"/>
          <w:bCs/>
          <w:sz w:val="24"/>
          <w:szCs w:val="24"/>
        </w:rPr>
      </w:pPr>
    </w:p>
    <w:p w14:paraId="1E80F75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4B3E8863">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18E3A13A">
      <w:pPr>
        <w:pStyle w:val="10"/>
        <w:adjustRightInd w:val="0"/>
        <w:snapToGrid w:val="0"/>
        <w:spacing w:line="360" w:lineRule="auto"/>
        <w:rPr>
          <w:rFonts w:hint="eastAsia" w:ascii="仿宋" w:hAnsi="仿宋" w:eastAsia="仿宋"/>
          <w:sz w:val="24"/>
          <w:szCs w:val="24"/>
        </w:rPr>
      </w:pPr>
    </w:p>
    <w:p w14:paraId="5732A5D8">
      <w:pPr>
        <w:pStyle w:val="10"/>
        <w:adjustRightInd w:val="0"/>
        <w:snapToGrid w:val="0"/>
        <w:spacing w:line="360" w:lineRule="auto"/>
        <w:rPr>
          <w:rFonts w:hint="eastAsia" w:ascii="仿宋" w:hAnsi="仿宋" w:eastAsia="仿宋"/>
          <w:sz w:val="24"/>
          <w:szCs w:val="24"/>
        </w:rPr>
      </w:pPr>
    </w:p>
    <w:p w14:paraId="241DC07F">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17FC225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70BAD44F">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612DE1A5">
      <w:pPr>
        <w:adjustRightInd w:val="0"/>
        <w:snapToGrid w:val="0"/>
        <w:spacing w:line="360" w:lineRule="auto"/>
        <w:ind w:right="24"/>
        <w:rPr>
          <w:rFonts w:hint="eastAsia" w:ascii="仿宋" w:hAnsi="仿宋" w:eastAsia="仿宋"/>
          <w:bCs/>
          <w:sz w:val="24"/>
        </w:rPr>
      </w:pPr>
    </w:p>
    <w:p w14:paraId="4401A021">
      <w:pPr>
        <w:adjustRightInd w:val="0"/>
        <w:snapToGrid w:val="0"/>
        <w:spacing w:line="360" w:lineRule="auto"/>
        <w:ind w:right="24"/>
        <w:rPr>
          <w:rFonts w:hint="eastAsia" w:ascii="仿宋_GB2312" w:hAnsi="华文中宋" w:eastAsia="仿宋_GB2312"/>
          <w:bCs/>
          <w:sz w:val="24"/>
        </w:rPr>
      </w:pPr>
    </w:p>
    <w:p w14:paraId="787E5C0D">
      <w:pPr>
        <w:adjustRightInd w:val="0"/>
        <w:snapToGrid w:val="0"/>
        <w:spacing w:line="360" w:lineRule="auto"/>
        <w:ind w:right="24"/>
        <w:rPr>
          <w:szCs w:val="21"/>
        </w:rPr>
      </w:pPr>
    </w:p>
    <w:p w14:paraId="3001641F">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6DB1364D">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B852E19">
      <w:pPr>
        <w:snapToGrid w:val="0"/>
        <w:spacing w:line="480" w:lineRule="auto"/>
        <w:rPr>
          <w:rFonts w:hint="eastAsia" w:ascii="仿宋" w:hAnsi="仿宋" w:eastAsia="仿宋"/>
          <w:sz w:val="24"/>
          <w:szCs w:val="24"/>
        </w:rPr>
      </w:pPr>
    </w:p>
    <w:p w14:paraId="5EE7BB9B">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4C3953E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15B842A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63287E72">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4AEF1B4A">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2ED624FC">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26FF4933">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0176BBF3">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0752396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7E3C95AA">
      <w:pPr>
        <w:snapToGrid w:val="0"/>
        <w:spacing w:line="480" w:lineRule="auto"/>
        <w:rPr>
          <w:rFonts w:hint="eastAsia" w:ascii="仿宋" w:hAnsi="仿宋" w:eastAsia="仿宋"/>
          <w:sz w:val="24"/>
          <w:szCs w:val="24"/>
        </w:rPr>
      </w:pPr>
    </w:p>
    <w:p w14:paraId="54CA1EAF">
      <w:pPr>
        <w:snapToGrid w:val="0"/>
        <w:rPr>
          <w:rFonts w:hint="eastAsia" w:ascii="仿宋" w:hAnsi="仿宋" w:eastAsia="仿宋"/>
          <w:sz w:val="24"/>
          <w:szCs w:val="24"/>
        </w:rPr>
      </w:pPr>
    </w:p>
    <w:p w14:paraId="71FEE465">
      <w:pPr>
        <w:snapToGrid w:val="0"/>
        <w:rPr>
          <w:rFonts w:hint="eastAsia" w:ascii="仿宋" w:hAnsi="仿宋" w:eastAsia="仿宋"/>
          <w:sz w:val="24"/>
          <w:szCs w:val="24"/>
        </w:rPr>
      </w:pPr>
    </w:p>
    <w:p w14:paraId="68B72820">
      <w:pPr>
        <w:snapToGrid w:val="0"/>
        <w:rPr>
          <w:rFonts w:hint="eastAsia" w:ascii="仿宋" w:hAnsi="仿宋" w:eastAsia="仿宋"/>
          <w:sz w:val="24"/>
          <w:szCs w:val="24"/>
        </w:rPr>
      </w:pPr>
    </w:p>
    <w:p w14:paraId="769C05CA">
      <w:pPr>
        <w:snapToGrid w:val="0"/>
        <w:rPr>
          <w:rFonts w:hint="eastAsia" w:ascii="仿宋" w:hAnsi="仿宋" w:eastAsia="仿宋"/>
          <w:sz w:val="24"/>
          <w:szCs w:val="24"/>
        </w:rPr>
      </w:pPr>
    </w:p>
    <w:p w14:paraId="3E918DCA">
      <w:pPr>
        <w:adjustRightInd w:val="0"/>
        <w:snapToGrid w:val="0"/>
        <w:spacing w:line="360" w:lineRule="auto"/>
        <w:rPr>
          <w:rFonts w:hint="eastAsia" w:ascii="仿宋" w:hAnsi="仿宋" w:eastAsia="仿宋"/>
          <w:sz w:val="24"/>
          <w:szCs w:val="24"/>
        </w:rPr>
      </w:pPr>
    </w:p>
    <w:p w14:paraId="3D98CA26">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75B9208A">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36FE780">
      <w:pPr>
        <w:adjustRightInd w:val="0"/>
        <w:snapToGrid w:val="0"/>
        <w:spacing w:before="156" w:beforeLines="50" w:line="360" w:lineRule="auto"/>
        <w:rPr>
          <w:rFonts w:hint="eastAsia" w:ascii="仿宋_GB2312" w:hAnsi="宋体" w:eastAsia="仿宋_GB2312"/>
          <w:sz w:val="24"/>
          <w:szCs w:val="24"/>
        </w:rPr>
      </w:pPr>
    </w:p>
    <w:p w14:paraId="4E5A65C0">
      <w:pPr>
        <w:adjustRightInd w:val="0"/>
        <w:snapToGrid w:val="0"/>
        <w:spacing w:before="156" w:beforeLines="50" w:line="360" w:lineRule="auto"/>
        <w:rPr>
          <w:rFonts w:hint="eastAsia" w:ascii="仿宋_GB2312" w:hAnsi="宋体" w:eastAsia="仿宋_GB2312"/>
          <w:sz w:val="24"/>
          <w:szCs w:val="24"/>
        </w:rPr>
      </w:pPr>
    </w:p>
    <w:p w14:paraId="595786D1">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1730FA3B">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2D2D7108">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78E0654">
      <w:pPr>
        <w:adjustRightInd w:val="0"/>
        <w:snapToGrid w:val="0"/>
        <w:spacing w:line="360" w:lineRule="auto"/>
        <w:jc w:val="center"/>
        <w:rPr>
          <w:rFonts w:hint="eastAsia" w:ascii="仿宋" w:hAnsi="仿宋" w:eastAsia="仿宋"/>
          <w:b/>
          <w:sz w:val="24"/>
          <w:szCs w:val="24"/>
        </w:rPr>
      </w:pPr>
    </w:p>
    <w:p w14:paraId="2839C4B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76BD62AB">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FD47D4D">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499BD20B">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14879CD2">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59FF12E">
      <w:pPr>
        <w:adjustRightInd w:val="0"/>
        <w:snapToGrid w:val="0"/>
        <w:spacing w:line="360" w:lineRule="auto"/>
        <w:ind w:right="420"/>
        <w:rPr>
          <w:rFonts w:ascii="仿宋_GB2312" w:eastAsia="仿宋_GB2312"/>
          <w:sz w:val="24"/>
          <w:szCs w:val="24"/>
        </w:rPr>
      </w:pPr>
    </w:p>
    <w:p w14:paraId="026D308B">
      <w:pPr>
        <w:adjustRightInd w:val="0"/>
        <w:snapToGrid w:val="0"/>
        <w:spacing w:line="360" w:lineRule="auto"/>
        <w:ind w:right="420"/>
        <w:rPr>
          <w:rFonts w:ascii="仿宋_GB2312" w:eastAsia="仿宋_GB2312"/>
          <w:sz w:val="24"/>
          <w:szCs w:val="24"/>
        </w:rPr>
      </w:pPr>
    </w:p>
    <w:p w14:paraId="43348575">
      <w:pPr>
        <w:adjustRightInd w:val="0"/>
        <w:snapToGrid w:val="0"/>
        <w:spacing w:line="360" w:lineRule="auto"/>
        <w:ind w:right="420"/>
        <w:rPr>
          <w:rFonts w:ascii="仿宋_GB2312" w:eastAsia="仿宋_GB2312"/>
          <w:sz w:val="24"/>
          <w:szCs w:val="24"/>
        </w:rPr>
      </w:pPr>
    </w:p>
    <w:p w14:paraId="29A96878">
      <w:pPr>
        <w:adjustRightInd w:val="0"/>
        <w:snapToGrid w:val="0"/>
        <w:spacing w:line="360" w:lineRule="auto"/>
        <w:ind w:right="420"/>
        <w:rPr>
          <w:rFonts w:ascii="仿宋_GB2312" w:eastAsia="仿宋_GB2312"/>
          <w:sz w:val="24"/>
          <w:szCs w:val="24"/>
        </w:rPr>
      </w:pPr>
    </w:p>
    <w:p w14:paraId="195B3D78">
      <w:pPr>
        <w:adjustRightInd w:val="0"/>
        <w:snapToGrid w:val="0"/>
        <w:spacing w:line="360" w:lineRule="auto"/>
        <w:ind w:right="420"/>
        <w:rPr>
          <w:rFonts w:ascii="仿宋_GB2312" w:eastAsia="仿宋_GB2312"/>
          <w:sz w:val="24"/>
          <w:szCs w:val="24"/>
        </w:rPr>
      </w:pPr>
    </w:p>
    <w:p w14:paraId="036E60A4">
      <w:pPr>
        <w:adjustRightInd w:val="0"/>
        <w:snapToGrid w:val="0"/>
        <w:spacing w:line="360" w:lineRule="auto"/>
        <w:ind w:right="420"/>
        <w:rPr>
          <w:rFonts w:ascii="仿宋_GB2312" w:eastAsia="仿宋_GB2312"/>
          <w:sz w:val="24"/>
          <w:szCs w:val="24"/>
        </w:rPr>
      </w:pPr>
    </w:p>
    <w:p w14:paraId="1E9C6EFD">
      <w:pPr>
        <w:adjustRightInd w:val="0"/>
        <w:snapToGrid w:val="0"/>
        <w:spacing w:line="360" w:lineRule="auto"/>
        <w:ind w:right="420"/>
        <w:rPr>
          <w:rFonts w:ascii="仿宋_GB2312" w:eastAsia="仿宋_GB2312"/>
          <w:sz w:val="24"/>
          <w:szCs w:val="24"/>
        </w:rPr>
      </w:pPr>
    </w:p>
    <w:p w14:paraId="582882F4">
      <w:pPr>
        <w:adjustRightInd w:val="0"/>
        <w:snapToGrid w:val="0"/>
        <w:spacing w:line="360" w:lineRule="auto"/>
        <w:ind w:right="420"/>
        <w:rPr>
          <w:rFonts w:ascii="仿宋_GB2312" w:eastAsia="仿宋_GB2312"/>
          <w:sz w:val="24"/>
          <w:szCs w:val="24"/>
        </w:rPr>
      </w:pPr>
    </w:p>
    <w:p w14:paraId="4584DC9D">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7BCBC6B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1BEB9A1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9B0B7A2">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6A3B569C">
      <w:pPr>
        <w:spacing w:line="360" w:lineRule="exact"/>
        <w:rPr>
          <w:rFonts w:ascii="仿宋_GB2312" w:eastAsia="仿宋_GB2312"/>
          <w:b/>
          <w:sz w:val="24"/>
          <w:szCs w:val="24"/>
        </w:rPr>
      </w:pPr>
    </w:p>
    <w:p w14:paraId="142098F9">
      <w:pPr>
        <w:spacing w:line="360" w:lineRule="exact"/>
        <w:rPr>
          <w:rFonts w:ascii="仿宋_GB2312" w:eastAsia="仿宋_GB2312"/>
          <w:b/>
          <w:sz w:val="24"/>
          <w:szCs w:val="24"/>
        </w:rPr>
      </w:pPr>
    </w:p>
    <w:p w14:paraId="776397C9">
      <w:pPr>
        <w:pStyle w:val="16"/>
      </w:pPr>
    </w:p>
    <w:p w14:paraId="3B2A657E"/>
    <w:p w14:paraId="030AA3CF"/>
    <w:p w14:paraId="6FEB7549">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131E97DB">
      <w:pPr>
        <w:jc w:val="center"/>
        <w:rPr>
          <w:rFonts w:hint="eastAsia" w:ascii="仿宋" w:hAnsi="仿宋" w:eastAsia="仿宋"/>
          <w:b/>
          <w:sz w:val="32"/>
          <w:szCs w:val="32"/>
        </w:rPr>
      </w:pPr>
      <w:r>
        <w:rPr>
          <w:rFonts w:ascii="仿宋" w:hAnsi="仿宋" w:eastAsia="仿宋"/>
          <w:b/>
          <w:sz w:val="32"/>
          <w:szCs w:val="32"/>
        </w:rPr>
        <w:t>报价函</w:t>
      </w:r>
    </w:p>
    <w:p w14:paraId="7A09C32B">
      <w:pPr>
        <w:rPr>
          <w:rFonts w:hint="eastAsia" w:ascii="仿宋" w:hAnsi="仿宋" w:eastAsia="仿宋"/>
          <w:sz w:val="24"/>
          <w:szCs w:val="24"/>
        </w:rPr>
      </w:pPr>
      <w:r>
        <w:rPr>
          <w:rFonts w:hint="eastAsia" w:ascii="仿宋" w:hAnsi="仿宋" w:eastAsia="仿宋"/>
          <w:sz w:val="24"/>
          <w:szCs w:val="24"/>
        </w:rPr>
        <w:t xml:space="preserve">                               </w:t>
      </w:r>
    </w:p>
    <w:p w14:paraId="1301126D">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173AB126">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rPr>
        <w:t>询比文件，清楚文件中关于本项目的相关采购需求。</w:t>
      </w:r>
    </w:p>
    <w:p w14:paraId="4957B72F">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1FE72986">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u w:val="single"/>
        </w:rPr>
        <w:t>人民币</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1E975AAA">
      <w:pPr>
        <w:pStyle w:val="16"/>
        <w:rPr>
          <w:rFonts w:hint="eastAsia" w:ascii="仿宋" w:hAnsi="仿宋" w:eastAsia="仿宋"/>
        </w:rPr>
      </w:pPr>
    </w:p>
    <w:p w14:paraId="45FD4394">
      <w:pPr>
        <w:pStyle w:val="16"/>
        <w:ind w:left="0" w:leftChars="0" w:firstLine="0"/>
        <w:rPr>
          <w:rFonts w:hint="eastAsia" w:ascii="仿宋" w:hAnsi="仿宋" w:eastAsia="仿宋"/>
        </w:rPr>
      </w:pPr>
    </w:p>
    <w:p w14:paraId="41B50E22">
      <w:pPr>
        <w:spacing w:line="360" w:lineRule="auto"/>
        <w:ind w:firstLine="640"/>
        <w:jc w:val="left"/>
        <w:rPr>
          <w:rFonts w:hint="eastAsia" w:ascii="仿宋" w:hAnsi="仿宋" w:eastAsia="仿宋"/>
          <w:sz w:val="24"/>
          <w:szCs w:val="24"/>
        </w:rPr>
      </w:pPr>
    </w:p>
    <w:p w14:paraId="54EFCD17">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3C11435">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0000600000000000000"/>
    <w:charset w:val="86"/>
    <w:family w:val="script"/>
    <w:pitch w:val="default"/>
    <w:sig w:usb0="800002BF" w:usb1="184F6CF8" w:usb2="00000012" w:usb3="00000000" w:csb0="00160001" w:csb1="1203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07163E4F">
        <w:pPr>
          <w:pStyle w:val="12"/>
          <w:jc w:val="center"/>
        </w:pPr>
        <w:r>
          <w:fldChar w:fldCharType="begin"/>
        </w:r>
        <w:r>
          <w:instrText xml:space="preserve">PAGE   \* MERGEFORMAT</w:instrText>
        </w:r>
        <w:r>
          <w:fldChar w:fldCharType="separate"/>
        </w:r>
        <w:r>
          <w:rPr>
            <w:lang w:val="zh-CN"/>
          </w:rPr>
          <w:t>25</w:t>
        </w:r>
        <w:r>
          <w:fldChar w:fldCharType="end"/>
        </w:r>
      </w:p>
    </w:sdtContent>
  </w:sdt>
  <w:p w14:paraId="44D91F37">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60293">
    <w:pPr>
      <w:pStyle w:val="12"/>
      <w:framePr w:wrap="around" w:vAnchor="text" w:hAnchor="margin" w:xAlign="center" w:y="1"/>
      <w:rPr>
        <w:rStyle w:val="21"/>
      </w:rPr>
    </w:pPr>
    <w:r>
      <w:fldChar w:fldCharType="begin"/>
    </w:r>
    <w:r>
      <w:rPr>
        <w:rStyle w:val="21"/>
      </w:rPr>
      <w:instrText xml:space="preserve">PAGE  </w:instrText>
    </w:r>
    <w:r>
      <w:fldChar w:fldCharType="end"/>
    </w:r>
  </w:p>
  <w:p w14:paraId="3B4DD35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0589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6EC88">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A849DC"/>
    <w:multiLevelType w:val="multilevel"/>
    <w:tmpl w:val="2AA849D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C7C7BD0"/>
    <w:rsid w:val="1D444728"/>
    <w:rsid w:val="1E4F7829"/>
    <w:rsid w:val="1F9951FF"/>
    <w:rsid w:val="201D3E7D"/>
    <w:rsid w:val="202D76F6"/>
    <w:rsid w:val="20746BB2"/>
    <w:rsid w:val="21E64000"/>
    <w:rsid w:val="22FB1D2D"/>
    <w:rsid w:val="23E9602A"/>
    <w:rsid w:val="242B03F0"/>
    <w:rsid w:val="24F13006"/>
    <w:rsid w:val="26E533CB"/>
    <w:rsid w:val="270B6E73"/>
    <w:rsid w:val="295D104C"/>
    <w:rsid w:val="29B665AC"/>
    <w:rsid w:val="29D15596"/>
    <w:rsid w:val="2A7725E1"/>
    <w:rsid w:val="2B473D61"/>
    <w:rsid w:val="2B7A4480"/>
    <w:rsid w:val="2CB01DDA"/>
    <w:rsid w:val="2D460049"/>
    <w:rsid w:val="3163566D"/>
    <w:rsid w:val="31A35A6A"/>
    <w:rsid w:val="31D8203D"/>
    <w:rsid w:val="31FA2FC3"/>
    <w:rsid w:val="3248523C"/>
    <w:rsid w:val="3402159B"/>
    <w:rsid w:val="353327D7"/>
    <w:rsid w:val="35510676"/>
    <w:rsid w:val="35A3072E"/>
    <w:rsid w:val="35BA60CE"/>
    <w:rsid w:val="38CA49CD"/>
    <w:rsid w:val="39D54C2E"/>
    <w:rsid w:val="3A731769"/>
    <w:rsid w:val="3B3140E6"/>
    <w:rsid w:val="3B8763FC"/>
    <w:rsid w:val="3C0E61D6"/>
    <w:rsid w:val="3D912B45"/>
    <w:rsid w:val="3DC92B7D"/>
    <w:rsid w:val="3E7013C9"/>
    <w:rsid w:val="3EFC2DB5"/>
    <w:rsid w:val="3F2D1069"/>
    <w:rsid w:val="404D79B1"/>
    <w:rsid w:val="40CF23D7"/>
    <w:rsid w:val="411058C0"/>
    <w:rsid w:val="413277CA"/>
    <w:rsid w:val="41A31919"/>
    <w:rsid w:val="42507548"/>
    <w:rsid w:val="457F75CA"/>
    <w:rsid w:val="45F636BE"/>
    <w:rsid w:val="471A6376"/>
    <w:rsid w:val="495E1E55"/>
    <w:rsid w:val="4A6C57DD"/>
    <w:rsid w:val="4A842484"/>
    <w:rsid w:val="4ACE4B79"/>
    <w:rsid w:val="4ADA413D"/>
    <w:rsid w:val="4BB774E4"/>
    <w:rsid w:val="4C811ECE"/>
    <w:rsid w:val="4C8E75EA"/>
    <w:rsid w:val="4CD64AED"/>
    <w:rsid w:val="4DEA6AA2"/>
    <w:rsid w:val="4DF74D1B"/>
    <w:rsid w:val="4EF460F6"/>
    <w:rsid w:val="4FBE01E7"/>
    <w:rsid w:val="505E5526"/>
    <w:rsid w:val="50C025FA"/>
    <w:rsid w:val="51CA3B38"/>
    <w:rsid w:val="53425821"/>
    <w:rsid w:val="543D7D43"/>
    <w:rsid w:val="54413194"/>
    <w:rsid w:val="554E608A"/>
    <w:rsid w:val="56D36709"/>
    <w:rsid w:val="56EB5013"/>
    <w:rsid w:val="57A557E8"/>
    <w:rsid w:val="57DD4F82"/>
    <w:rsid w:val="58A91308"/>
    <w:rsid w:val="59337A15"/>
    <w:rsid w:val="5A865DA5"/>
    <w:rsid w:val="5B13515F"/>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4F52764"/>
    <w:rsid w:val="66DC6D4D"/>
    <w:rsid w:val="67F37C49"/>
    <w:rsid w:val="68B735CD"/>
    <w:rsid w:val="696279DD"/>
    <w:rsid w:val="6A400653"/>
    <w:rsid w:val="6A7F45BF"/>
    <w:rsid w:val="6B5A68F5"/>
    <w:rsid w:val="6BBF5D79"/>
    <w:rsid w:val="6BC9041D"/>
    <w:rsid w:val="6DAB7F02"/>
    <w:rsid w:val="719E17CE"/>
    <w:rsid w:val="71CD20B4"/>
    <w:rsid w:val="72567DE8"/>
    <w:rsid w:val="72C16AF2"/>
    <w:rsid w:val="72FA6ED8"/>
    <w:rsid w:val="73A76E7D"/>
    <w:rsid w:val="745110F1"/>
    <w:rsid w:val="74A23383"/>
    <w:rsid w:val="75730384"/>
    <w:rsid w:val="78401AE9"/>
    <w:rsid w:val="7B4E5EDA"/>
    <w:rsid w:val="7BEB3862"/>
    <w:rsid w:val="7C7B7C1A"/>
    <w:rsid w:val="7D210FAE"/>
    <w:rsid w:val="7DE95B7F"/>
    <w:rsid w:val="7DF64DA9"/>
    <w:rsid w:val="7E151C77"/>
    <w:rsid w:val="7E7D2067"/>
    <w:rsid w:val="FFE710E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4"/>
    <w:semiHidden/>
    <w:unhideWhenUsed/>
    <w:qFormat/>
    <w:uiPriority w:val="99"/>
    <w:rPr>
      <w:rFonts w:ascii="宋体"/>
      <w:sz w:val="18"/>
      <w:szCs w:val="18"/>
    </w:rPr>
  </w:style>
  <w:style w:type="paragraph" w:styleId="7">
    <w:name w:val="Body Text"/>
    <w:basedOn w:val="1"/>
    <w:next w:val="1"/>
    <w:link w:val="36"/>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40"/>
    <w:qFormat/>
    <w:uiPriority w:val="99"/>
    <w:pPr>
      <w:spacing w:after="120" w:line="480" w:lineRule="auto"/>
      <w:ind w:left="420" w:leftChars="200"/>
    </w:pPr>
    <w:rPr>
      <w:kern w:val="0"/>
      <w:sz w:val="24"/>
    </w:rPr>
  </w:style>
  <w:style w:type="paragraph" w:styleId="10">
    <w:name w:val="Plain Text"/>
    <w:basedOn w:val="1"/>
    <w:link w:val="29"/>
    <w:qFormat/>
    <w:uiPriority w:val="0"/>
    <w:rPr>
      <w:rFonts w:ascii="宋体" w:hAnsi="Courier New"/>
      <w:kern w:val="0"/>
      <w:szCs w:val="20"/>
    </w:rPr>
  </w:style>
  <w:style w:type="paragraph" w:styleId="11">
    <w:name w:val="Date"/>
    <w:basedOn w:val="1"/>
    <w:next w:val="1"/>
    <w:link w:val="26"/>
    <w:semiHidden/>
    <w:unhideWhenUsed/>
    <w:qFormat/>
    <w:uiPriority w:val="99"/>
    <w:pPr>
      <w:ind w:left="100" w:leftChars="2500"/>
    </w:pPr>
  </w:style>
  <w:style w:type="paragraph" w:styleId="12">
    <w:name w:val="footer"/>
    <w:basedOn w:val="1"/>
    <w:link w:val="23"/>
    <w:unhideWhenUsed/>
    <w:qFormat/>
    <w:uiPriority w:val="99"/>
    <w:pPr>
      <w:tabs>
        <w:tab w:val="center" w:pos="4153"/>
        <w:tab w:val="right" w:pos="8306"/>
      </w:tabs>
      <w:snapToGrid w:val="0"/>
      <w:jc w:val="left"/>
    </w:pPr>
    <w:rPr>
      <w:sz w:val="18"/>
      <w:szCs w:val="18"/>
    </w:rPr>
  </w:style>
  <w:style w:type="paragraph" w:styleId="13">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rPr>
      <w:sz w:val="24"/>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customStyle="1" w:styleId="22">
    <w:name w:val="页眉 字符"/>
    <w:basedOn w:val="19"/>
    <w:link w:val="13"/>
    <w:qFormat/>
    <w:uiPriority w:val="0"/>
    <w:rPr>
      <w:rFonts w:ascii="Calibri" w:hAnsi="Calibri" w:eastAsia="宋体" w:cs="Times New Roman"/>
      <w:sz w:val="18"/>
      <w:szCs w:val="18"/>
    </w:rPr>
  </w:style>
  <w:style w:type="character" w:customStyle="1" w:styleId="23">
    <w:name w:val="页脚 字符"/>
    <w:basedOn w:val="19"/>
    <w:link w:val="12"/>
    <w:qFormat/>
    <w:uiPriority w:val="99"/>
    <w:rPr>
      <w:rFonts w:ascii="Calibri" w:hAnsi="Calibri" w:eastAsia="宋体" w:cs="Times New Roman"/>
      <w:sz w:val="18"/>
      <w:szCs w:val="18"/>
    </w:rPr>
  </w:style>
  <w:style w:type="character" w:customStyle="1" w:styleId="24">
    <w:name w:val="文档结构图 字符"/>
    <w:basedOn w:val="19"/>
    <w:link w:val="6"/>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字符"/>
    <w:basedOn w:val="19"/>
    <w:link w:val="11"/>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字符"/>
    <w:basedOn w:val="19"/>
    <w:link w:val="2"/>
    <w:qFormat/>
    <w:uiPriority w:val="0"/>
    <w:rPr>
      <w:rFonts w:ascii="Cambria" w:hAnsi="Cambria" w:eastAsia="华文中宋" w:cs="Times New Roman"/>
      <w:b/>
      <w:bCs/>
      <w:sz w:val="44"/>
      <w:szCs w:val="28"/>
    </w:rPr>
  </w:style>
  <w:style w:type="character" w:customStyle="1" w:styleId="29">
    <w:name w:val="纯文本 字符"/>
    <w:link w:val="10"/>
    <w:qFormat/>
    <w:locked/>
    <w:uiPriority w:val="0"/>
    <w:rPr>
      <w:rFonts w:ascii="宋体" w:hAnsi="Courier New"/>
      <w:sz w:val="21"/>
    </w:rPr>
  </w:style>
  <w:style w:type="character" w:customStyle="1" w:styleId="30">
    <w:name w:val="纯文本 Char"/>
    <w:basedOn w:val="19"/>
    <w:semiHidden/>
    <w:qFormat/>
    <w:uiPriority w:val="99"/>
    <w:rPr>
      <w:rFonts w:ascii="宋体" w:hAnsi="Courier New" w:cs="Courier New"/>
      <w:kern w:val="2"/>
      <w:sz w:val="21"/>
      <w:szCs w:val="21"/>
    </w:rPr>
  </w:style>
  <w:style w:type="character" w:customStyle="1" w:styleId="31">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6">
    <w:name w:val="正文文本 字符"/>
    <w:basedOn w:val="19"/>
    <w:link w:val="7"/>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字符"/>
    <w:link w:val="9"/>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4">
    <w:name w:val=" Char1 Char Char Char Char Char Char Char"/>
    <w:basedOn w:val="1"/>
    <w:qFormat/>
    <w:uiPriority w:val="0"/>
    <w:rPr>
      <w:rFonts w:ascii="Tahoma" w:hAnsi="Tahoma"/>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5538</Words>
  <Characters>5701</Characters>
  <Lines>31</Lines>
  <Paragraphs>9</Paragraphs>
  <TotalTime>29</TotalTime>
  <ScaleCrop>false</ScaleCrop>
  <LinksUpToDate>false</LinksUpToDate>
  <CharactersWithSpaces>6215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2025-01-19T11:35:00Z</dcterms:created>
  <dc:creator>china</dc:creator>
  <cp:lastModifiedBy>李岚</cp:lastModifiedBy>
  <cp:lastPrinted>2020-08-24T10:17:00Z</cp:lastPrinted>
  <dcterms:modified xsi:type="dcterms:W3CDTF">2026-02-04T13:43:54Z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BB1908506D3C417398E782218AE95CC7_13</vt:lpwstr>
  </property>
  <property fmtid="{D5CDD505-2E9C-101B-9397-08002B2CF9AE}" pid="4" name="KSOTemplateDocerSaveRecord">
    <vt:lpwstr>eyJoZGlkIjoiZDZhMzY2MmI4ZjAyZjNlOGNmYjg5YjY3MzNlOGYxYjUiLCJ1c2VySWQiOiIxNjcxOTQyNjQyIn0=</vt:lpwstr>
  </property>
</Properties>
</file>