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2"/>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lang w:val="en-US" w:eastAsia="zh-CN"/>
        </w:rPr>
        <w:t>体育馆文化装饰</w:t>
      </w:r>
      <w:r>
        <w:rPr>
          <w:rFonts w:hint="eastAsia" w:ascii="黑体" w:hAnsi="黑体" w:eastAsia="黑体"/>
          <w:kern w:val="0"/>
          <w:sz w:val="32"/>
          <w:szCs w:val="32"/>
        </w:rPr>
        <w:t>项目</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rPr>
        <w:t>一</w:t>
      </w:r>
      <w:r>
        <w:rPr>
          <w:rFonts w:ascii="黑体" w:hAnsi="黑体" w:eastAsia="黑体"/>
          <w:sz w:val="32"/>
          <w:szCs w:val="32"/>
        </w:rPr>
        <w:t>月</w:t>
      </w:r>
    </w:p>
    <w:p w14:paraId="3FD890A2">
      <w:pPr>
        <w:pStyle w:val="17"/>
      </w:pPr>
    </w:p>
    <w:p w14:paraId="40E4DFFA">
      <w:pPr>
        <w:pStyle w:val="17"/>
        <w:rPr>
          <w:szCs w:val="22"/>
        </w:rPr>
      </w:pPr>
    </w:p>
    <w:p w14:paraId="35A1CC54">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cs="宋体"/>
          <w:b/>
          <w:bCs/>
          <w:color w:val="000000"/>
          <w:spacing w:val="-20"/>
          <w:kern w:val="36"/>
          <w:sz w:val="36"/>
          <w:szCs w:val="36"/>
          <w:u w:val="none"/>
        </w:rPr>
      </w:pPr>
      <w:r>
        <w:rPr>
          <w:rFonts w:hint="eastAsia" w:ascii="黑体" w:hAnsi="黑体" w:eastAsia="黑体"/>
          <w:b/>
          <w:sz w:val="36"/>
          <w:szCs w:val="36"/>
          <w:u w:val="none"/>
          <w:lang w:val="en-US" w:eastAsia="zh-CN"/>
        </w:rPr>
        <w:t>体育馆文化装饰</w:t>
      </w:r>
      <w:r>
        <w:rPr>
          <w:rFonts w:hint="eastAsia" w:ascii="黑体" w:hAnsi="黑体" w:eastAsia="黑体"/>
          <w:b/>
          <w:sz w:val="36"/>
          <w:szCs w:val="36"/>
          <w:u w:val="none"/>
        </w:rPr>
        <w:t>项目询比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w:t>
      </w:r>
      <w:r>
        <w:rPr>
          <w:rFonts w:ascii="仿宋" w:hAnsi="仿宋" w:eastAsia="仿宋"/>
          <w:sz w:val="24"/>
          <w:szCs w:val="24"/>
          <w:u w:val="none"/>
        </w:rPr>
        <w:t>技术学院</w:t>
      </w:r>
      <w:r>
        <w:rPr>
          <w:rFonts w:hint="eastAsia" w:ascii="仿宋" w:hAnsi="仿宋" w:eastAsia="仿宋"/>
          <w:sz w:val="24"/>
          <w:szCs w:val="24"/>
          <w:u w:val="none"/>
          <w:lang w:val="en-US" w:eastAsia="zh-CN"/>
        </w:rPr>
        <w:t>体育馆文化装饰</w:t>
      </w:r>
      <w:r>
        <w:rPr>
          <w:rFonts w:hint="eastAsia" w:ascii="仿宋" w:hAnsi="仿宋" w:eastAsia="仿宋"/>
          <w:sz w:val="24"/>
          <w:szCs w:val="24"/>
          <w:u w:val="none"/>
        </w:rPr>
        <w:t>项目需进行</w:t>
      </w:r>
      <w:r>
        <w:rPr>
          <w:rFonts w:hint="eastAsia" w:ascii="仿宋" w:hAnsi="仿宋" w:eastAsia="仿宋"/>
          <w:sz w:val="24"/>
          <w:szCs w:val="24"/>
        </w:rPr>
        <w:t>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17794_WPSOffice_Level2"/>
      <w:bookmarkStart w:id="2" w:name="_Toc3564"/>
      <w:bookmarkStart w:id="3" w:name="_Toc26475"/>
      <w:bookmarkStart w:id="4" w:name="_Toc4659"/>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lang w:val="en-US" w:eastAsia="zh-CN"/>
        </w:rPr>
        <w:t>体育馆文化装饰</w:t>
      </w:r>
      <w:r>
        <w:rPr>
          <w:rFonts w:hint="eastAsia" w:ascii="仿宋" w:hAnsi="仿宋" w:eastAsia="仿宋"/>
          <w:sz w:val="24"/>
          <w:szCs w:val="24"/>
          <w:u w:val="none"/>
        </w:rPr>
        <w:t>项目</w:t>
      </w:r>
    </w:p>
    <w:p w14:paraId="27EF00C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2.项目概况: 学校文化建设是学校可持续发展的动力，是学校综合办学水平的重要体现，也是学校个性魅力与办学特色的体现，新时代大学体育馆作为承载体育活动以及文化活动的重要场所，对于提供舒适的体验和浓厚的体育文化环境至关重要，也是综合性文化学习交流场所；为迎接升本国评，提升馆内文化氛围环境，补短板、强弱项，特申请增添体育馆文化装饰，充分利用现有条件设施及增加相关文化装饰相结合的方式进行改造，建设一个有特色、文化设施更加齐全、浓厚的体育馆，也为建设职业本科大学做好支撑服务工作。</w:t>
      </w:r>
    </w:p>
    <w:p w14:paraId="5BF0E805">
      <w:pPr>
        <w:pStyle w:val="17"/>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3.服务内容：</w:t>
      </w:r>
      <w:r>
        <w:rPr>
          <w:rFonts w:hint="eastAsia" w:ascii="仿宋" w:hAnsi="仿宋" w:eastAsia="仿宋"/>
          <w:sz w:val="24"/>
          <w:szCs w:val="24"/>
          <w:lang w:val="en-US" w:eastAsia="zh-CN"/>
        </w:rPr>
        <w:t>为</w:t>
      </w:r>
      <w:r>
        <w:rPr>
          <w:rFonts w:hint="eastAsia" w:ascii="仿宋" w:hAnsi="仿宋" w:eastAsia="仿宋"/>
          <w:sz w:val="24"/>
          <w:szCs w:val="24"/>
          <w:lang w:eastAsia="zh-CN"/>
        </w:rPr>
        <w:t>体育馆提供文化装饰整体服务，包括设计方案（含3D效果图、文字说明与设计理念）与施工安装，涵盖馆内外的标识、荣誉展示、文化墙、展柜、照明等文化氛围营造物件的制作与布设。</w:t>
      </w:r>
      <w:r>
        <w:rPr>
          <w:rFonts w:hint="eastAsia" w:ascii="仿宋" w:hAnsi="仿宋" w:eastAsia="仿宋"/>
          <w:sz w:val="24"/>
          <w:szCs w:val="24"/>
        </w:rPr>
        <w:t>具体内容</w:t>
      </w:r>
      <w:r>
        <w:rPr>
          <w:rFonts w:hint="eastAsia" w:ascii="仿宋" w:hAnsi="仿宋" w:eastAsia="仿宋"/>
          <w:sz w:val="24"/>
          <w:szCs w:val="24"/>
          <w:lang w:val="en-US" w:eastAsia="zh-CN"/>
        </w:rPr>
        <w:t>如下：</w:t>
      </w:r>
    </w:p>
    <w:tbl>
      <w:tblPr>
        <w:tblStyle w:val="18"/>
        <w:tblW w:w="90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9"/>
        <w:gridCol w:w="1991"/>
        <w:gridCol w:w="726"/>
        <w:gridCol w:w="786"/>
        <w:gridCol w:w="1104"/>
        <w:gridCol w:w="1165"/>
        <w:gridCol w:w="2539"/>
      </w:tblGrid>
      <w:tr w14:paraId="4B05E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9040" w:type="dxa"/>
            <w:gridSpan w:val="7"/>
            <w:tcBorders>
              <w:top w:val="single" w:color="000000" w:sz="4" w:space="0"/>
              <w:left w:val="single" w:color="000000" w:sz="4" w:space="0"/>
              <w:bottom w:val="nil"/>
              <w:right w:val="single" w:color="000000" w:sz="4" w:space="0"/>
            </w:tcBorders>
            <w:noWrap w:val="0"/>
            <w:vAlign w:val="center"/>
          </w:tcPr>
          <w:p w14:paraId="2474EFC5">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采购货物清单</w:t>
            </w:r>
          </w:p>
        </w:tc>
      </w:tr>
      <w:tr w14:paraId="2BFCB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729" w:type="dxa"/>
            <w:tcBorders>
              <w:top w:val="single" w:color="000000" w:sz="4" w:space="0"/>
              <w:left w:val="single" w:color="000000" w:sz="4" w:space="0"/>
              <w:bottom w:val="single" w:color="000000" w:sz="4" w:space="0"/>
              <w:right w:val="single" w:color="000000" w:sz="4" w:space="0"/>
            </w:tcBorders>
            <w:noWrap w:val="0"/>
            <w:vAlign w:val="center"/>
          </w:tcPr>
          <w:p w14:paraId="4FD0119B">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序号</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7C1BA8DD">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项目名称</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190EF1F5">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数量</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6BC983AF">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单位</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8BD6290">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单价</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2DAA86CB">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小计</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689E4A62">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备注</w:t>
            </w:r>
          </w:p>
        </w:tc>
      </w:tr>
      <w:tr w14:paraId="42B32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729" w:type="dxa"/>
            <w:tcBorders>
              <w:top w:val="nil"/>
              <w:left w:val="single" w:color="000000" w:sz="4" w:space="0"/>
              <w:bottom w:val="single" w:color="000000" w:sz="4" w:space="0"/>
              <w:right w:val="single" w:color="000000" w:sz="4" w:space="0"/>
            </w:tcBorders>
            <w:noWrap w:val="0"/>
            <w:vAlign w:val="center"/>
          </w:tcPr>
          <w:p w14:paraId="7F583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nil"/>
              <w:left w:val="single" w:color="000000" w:sz="4" w:space="0"/>
              <w:bottom w:val="single" w:color="000000" w:sz="4" w:space="0"/>
              <w:right w:val="single" w:color="000000" w:sz="4" w:space="0"/>
            </w:tcBorders>
            <w:noWrap/>
            <w:vAlign w:val="center"/>
          </w:tcPr>
          <w:p w14:paraId="6ED47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外围体育标识</w:t>
            </w:r>
          </w:p>
        </w:tc>
        <w:tc>
          <w:tcPr>
            <w:tcW w:w="726" w:type="dxa"/>
            <w:tcBorders>
              <w:top w:val="nil"/>
              <w:left w:val="single" w:color="000000" w:sz="4" w:space="0"/>
              <w:bottom w:val="single" w:color="000000" w:sz="4" w:space="0"/>
              <w:right w:val="single" w:color="000000" w:sz="4" w:space="0"/>
            </w:tcBorders>
            <w:noWrap w:val="0"/>
            <w:vAlign w:val="center"/>
          </w:tcPr>
          <w:p w14:paraId="646E1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86" w:type="dxa"/>
            <w:tcBorders>
              <w:top w:val="nil"/>
              <w:left w:val="single" w:color="000000" w:sz="4" w:space="0"/>
              <w:bottom w:val="single" w:color="000000" w:sz="4" w:space="0"/>
              <w:right w:val="single" w:color="000000" w:sz="4" w:space="0"/>
            </w:tcBorders>
            <w:noWrap w:val="0"/>
            <w:vAlign w:val="center"/>
          </w:tcPr>
          <w:p w14:paraId="69582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104" w:type="dxa"/>
            <w:tcBorders>
              <w:top w:val="nil"/>
              <w:left w:val="single" w:color="000000" w:sz="4" w:space="0"/>
              <w:bottom w:val="single" w:color="000000" w:sz="4" w:space="0"/>
              <w:right w:val="single" w:color="000000" w:sz="4" w:space="0"/>
            </w:tcBorders>
            <w:noWrap w:val="0"/>
            <w:vAlign w:val="center"/>
          </w:tcPr>
          <w:p w14:paraId="471462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1420</w:t>
            </w:r>
          </w:p>
        </w:tc>
        <w:tc>
          <w:tcPr>
            <w:tcW w:w="1165" w:type="dxa"/>
            <w:tcBorders>
              <w:top w:val="nil"/>
              <w:left w:val="single" w:color="000000" w:sz="4" w:space="0"/>
              <w:bottom w:val="single" w:color="000000" w:sz="4" w:space="0"/>
              <w:right w:val="single" w:color="000000" w:sz="4" w:space="0"/>
            </w:tcBorders>
            <w:noWrap w:val="0"/>
            <w:vAlign w:val="center"/>
          </w:tcPr>
          <w:p w14:paraId="46847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11360</w:t>
            </w:r>
          </w:p>
        </w:tc>
        <w:tc>
          <w:tcPr>
            <w:tcW w:w="2539" w:type="dxa"/>
            <w:tcBorders>
              <w:top w:val="nil"/>
              <w:left w:val="single" w:color="000000" w:sz="4" w:space="0"/>
              <w:bottom w:val="single" w:color="000000" w:sz="4" w:space="0"/>
              <w:right w:val="single" w:color="000000" w:sz="4" w:space="0"/>
            </w:tcBorders>
            <w:noWrap w:val="0"/>
            <w:vAlign w:val="center"/>
          </w:tcPr>
          <w:p w14:paraId="5068B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体育馆二层外墙运动标识牌，字体采用不锈钢烤漆电镀工艺，字体高度约1.5米左右一个文字，材料防腐蚀、防生锈等</w:t>
            </w:r>
          </w:p>
        </w:tc>
      </w:tr>
      <w:tr w14:paraId="053C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29" w:type="dxa"/>
            <w:vMerge w:val="restart"/>
            <w:tcBorders>
              <w:top w:val="single" w:color="000000" w:sz="4" w:space="0"/>
              <w:left w:val="single" w:color="000000" w:sz="4" w:space="0"/>
              <w:right w:val="single" w:color="000000" w:sz="4" w:space="0"/>
            </w:tcBorders>
            <w:noWrap w:val="0"/>
            <w:vAlign w:val="center"/>
          </w:tcPr>
          <w:p w14:paraId="56DB23B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w:t>
            </w:r>
          </w:p>
        </w:tc>
        <w:tc>
          <w:tcPr>
            <w:tcW w:w="19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DABB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过道左侧荣誉展示</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026B8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126F84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3C0E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54BF4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17E7A5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可折叠画架+画面定制，画架采用铁艺喷漆工艺，尺寸根据设</w:t>
            </w:r>
            <w:bookmarkStart w:id="11" w:name="_GoBack"/>
            <w:bookmarkEnd w:id="11"/>
            <w:r>
              <w:rPr>
                <w:rFonts w:hint="eastAsia" w:ascii="宋体" w:hAnsi="宋体" w:eastAsia="宋体" w:cs="宋体"/>
                <w:i w:val="0"/>
                <w:iCs w:val="0"/>
                <w:color w:val="000000"/>
                <w:kern w:val="0"/>
                <w:sz w:val="24"/>
                <w:szCs w:val="24"/>
                <w:u w:val="none"/>
                <w:lang w:val="en-US" w:eastAsia="zh-CN" w:bidi="ar"/>
              </w:rPr>
              <w:t>计方案来定制，高度不低于2.4米，画面采用高清画布喷印+边框制作</w:t>
            </w:r>
          </w:p>
        </w:tc>
      </w:tr>
      <w:tr w14:paraId="26F28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29" w:type="dxa"/>
            <w:vMerge w:val="continue"/>
            <w:tcBorders>
              <w:left w:val="single" w:color="000000" w:sz="4" w:space="0"/>
              <w:right w:val="single" w:color="000000" w:sz="4" w:space="0"/>
            </w:tcBorders>
            <w:noWrap w:val="0"/>
            <w:vAlign w:val="center"/>
          </w:tcPr>
          <w:p w14:paraId="6A6966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B4EB5">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0FBA78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1AA1E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A4776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1E54F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1A424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定制玻璃加安装，5mm厚度透明玻璃</w:t>
            </w:r>
          </w:p>
        </w:tc>
      </w:tr>
      <w:tr w14:paraId="6402E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29" w:type="dxa"/>
            <w:vMerge w:val="continue"/>
            <w:tcBorders>
              <w:left w:val="single" w:color="000000" w:sz="4" w:space="0"/>
              <w:bottom w:val="single" w:color="000000" w:sz="4" w:space="0"/>
              <w:right w:val="single" w:color="000000" w:sz="4" w:space="0"/>
            </w:tcBorders>
            <w:noWrap w:val="0"/>
            <w:vAlign w:val="center"/>
          </w:tcPr>
          <w:p w14:paraId="54B1862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57A1D">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3B971D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3BEDB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盏</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D484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514124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7632F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灯光照明；灯光亮度45w，可自由伸缩灯杆长度，长度约60cm</w:t>
            </w:r>
          </w:p>
        </w:tc>
      </w:tr>
      <w:tr w14:paraId="3F5C6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729" w:type="dxa"/>
            <w:vMerge w:val="restart"/>
            <w:tcBorders>
              <w:top w:val="single" w:color="000000" w:sz="4" w:space="0"/>
              <w:left w:val="single" w:color="000000" w:sz="4" w:space="0"/>
              <w:right w:val="single" w:color="000000" w:sz="4" w:space="0"/>
            </w:tcBorders>
            <w:noWrap w:val="0"/>
            <w:vAlign w:val="center"/>
          </w:tcPr>
          <w:p w14:paraId="41A58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9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523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右侧展台背景搭建</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70D39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3820EF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4F9B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63F61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5F95FE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木工背景异型造型制作+广告制作；工艺采用木板+阻燃板相结合的方式现场定制，高度2.4米左右，木板拼接处美缝处理，表面增加高清加厚广告布喷印</w:t>
            </w:r>
          </w:p>
        </w:tc>
      </w:tr>
      <w:tr w14:paraId="73EF9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29" w:type="dxa"/>
            <w:vMerge w:val="continue"/>
            <w:tcBorders>
              <w:left w:val="single" w:color="000000" w:sz="4" w:space="0"/>
              <w:right w:val="single" w:color="000000" w:sz="4" w:space="0"/>
            </w:tcBorders>
            <w:noWrap w:val="0"/>
            <w:vAlign w:val="center"/>
          </w:tcPr>
          <w:p w14:paraId="683BB7C5">
            <w:pPr>
              <w:jc w:val="center"/>
              <w:rPr>
                <w:rFonts w:hint="eastAsia" w:ascii="宋体" w:hAnsi="宋体" w:eastAsia="宋体" w:cs="宋体"/>
                <w:i w:val="0"/>
                <w:iCs w:val="0"/>
                <w:color w:val="000000"/>
                <w:sz w:val="24"/>
                <w:szCs w:val="24"/>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CA8D20">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3E8333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3AB7D4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3C95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3F17C8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6475</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2BAAD7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2cm厚度双层PVC雕刻+UV打印</w:t>
            </w:r>
          </w:p>
        </w:tc>
      </w:tr>
      <w:tr w14:paraId="2A95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29" w:type="dxa"/>
            <w:vMerge w:val="continue"/>
            <w:tcBorders>
              <w:left w:val="single" w:color="000000" w:sz="4" w:space="0"/>
              <w:right w:val="single" w:color="000000" w:sz="4" w:space="0"/>
            </w:tcBorders>
            <w:noWrap w:val="0"/>
            <w:vAlign w:val="center"/>
          </w:tcPr>
          <w:p w14:paraId="0AFDB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4E30D">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3D5385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09435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EE71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6800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0289F8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2BEBFF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荣誉背景木工定制造型，采用4cm厚度实木板造型+机器缝边处理；用于展示奖杯牌匾证书等</w:t>
            </w:r>
          </w:p>
        </w:tc>
      </w:tr>
      <w:tr w14:paraId="69F4B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29" w:type="dxa"/>
            <w:vMerge w:val="continue"/>
            <w:tcBorders>
              <w:left w:val="single" w:color="000000" w:sz="4" w:space="0"/>
              <w:bottom w:val="single" w:color="000000" w:sz="4" w:space="0"/>
              <w:right w:val="single" w:color="000000" w:sz="4" w:space="0"/>
            </w:tcBorders>
            <w:noWrap w:val="0"/>
            <w:vAlign w:val="center"/>
          </w:tcPr>
          <w:p w14:paraId="03540A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B6CF2">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106221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0A33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盏</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4B462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165CD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3E493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灯光照明；灯光亮度45w，可自由伸缩灯杆长度，长度约60cm</w:t>
            </w:r>
          </w:p>
        </w:tc>
      </w:tr>
      <w:tr w14:paraId="64C16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729" w:type="dxa"/>
            <w:tcBorders>
              <w:top w:val="single" w:color="000000" w:sz="4" w:space="0"/>
              <w:left w:val="single" w:color="000000" w:sz="4" w:space="0"/>
              <w:bottom w:val="single" w:color="000000" w:sz="4" w:space="0"/>
              <w:right w:val="single" w:color="000000" w:sz="4" w:space="0"/>
            </w:tcBorders>
            <w:noWrap w:val="0"/>
            <w:vAlign w:val="center"/>
          </w:tcPr>
          <w:p w14:paraId="428D0E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61F98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中间隔挡搭建</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17F4A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05713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E6725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4B8378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4364C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6米双层背景立体桁架搭建+双面广告制作</w:t>
            </w:r>
          </w:p>
        </w:tc>
      </w:tr>
      <w:tr w14:paraId="3AED9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729" w:type="dxa"/>
            <w:vMerge w:val="restart"/>
            <w:tcBorders>
              <w:top w:val="single" w:color="000000" w:sz="4" w:space="0"/>
              <w:left w:val="single" w:color="000000" w:sz="4" w:space="0"/>
              <w:right w:val="single" w:color="000000" w:sz="4" w:space="0"/>
            </w:tcBorders>
            <w:noWrap w:val="0"/>
            <w:vAlign w:val="center"/>
          </w:tcPr>
          <w:p w14:paraId="43AF3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9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3FE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体育馆顶部标识</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3A9644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42903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258AE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66AADD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44A7B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体育馆顶层标识牌，采用不锈钢烤漆电镀工艺，字体尺寸大小不低于2米一个文字，材料防腐蚀、防生锈等</w:t>
            </w:r>
          </w:p>
        </w:tc>
      </w:tr>
      <w:tr w14:paraId="56CB9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29" w:type="dxa"/>
            <w:vMerge w:val="continue"/>
            <w:tcBorders>
              <w:left w:val="single" w:color="000000" w:sz="4" w:space="0"/>
              <w:right w:val="single" w:color="000000" w:sz="4" w:space="0"/>
            </w:tcBorders>
            <w:noWrap w:val="0"/>
            <w:vAlign w:val="center"/>
          </w:tcPr>
          <w:p w14:paraId="499C41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DED2C">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7CBC98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64F24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B660B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3364F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1A6667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背架制作，采用4.0镀锌管现场焊接</w:t>
            </w:r>
          </w:p>
        </w:tc>
      </w:tr>
      <w:tr w14:paraId="4534C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29" w:type="dxa"/>
            <w:vMerge w:val="continue"/>
            <w:tcBorders>
              <w:left w:val="single" w:color="000000" w:sz="4" w:space="0"/>
              <w:bottom w:val="single" w:color="000000" w:sz="4" w:space="0"/>
              <w:right w:val="single" w:color="000000" w:sz="4" w:space="0"/>
            </w:tcBorders>
            <w:noWrap w:val="0"/>
            <w:vAlign w:val="center"/>
          </w:tcPr>
          <w:p w14:paraId="217A00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67BBF">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295A8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5FBC3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DB73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7298D9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61D93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高空安装+人工</w:t>
            </w:r>
          </w:p>
        </w:tc>
      </w:tr>
      <w:tr w14:paraId="5078B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729" w:type="dxa"/>
            <w:tcBorders>
              <w:top w:val="single" w:color="000000" w:sz="4" w:space="0"/>
              <w:left w:val="single" w:color="000000" w:sz="4" w:space="0"/>
              <w:bottom w:val="single" w:color="000000" w:sz="4" w:space="0"/>
              <w:right w:val="single" w:color="000000" w:sz="4" w:space="0"/>
            </w:tcBorders>
            <w:noWrap w:val="0"/>
            <w:vAlign w:val="center"/>
          </w:tcPr>
          <w:p w14:paraId="28C10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10674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奥运五环</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332C0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5ED647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F0ECF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7CB38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2E388F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奥运五环标识牌制作安装，采用不锈钢烤漆电镀工艺，尺寸高度约1.5米，宽度约3.5米</w:t>
            </w:r>
          </w:p>
        </w:tc>
      </w:tr>
      <w:tr w14:paraId="77ED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729" w:type="dxa"/>
            <w:tcBorders>
              <w:top w:val="single" w:color="000000" w:sz="4" w:space="0"/>
              <w:left w:val="single" w:color="000000" w:sz="4" w:space="0"/>
              <w:bottom w:val="single" w:color="000000" w:sz="4" w:space="0"/>
              <w:right w:val="single" w:color="000000" w:sz="4" w:space="0"/>
            </w:tcBorders>
            <w:noWrap w:val="0"/>
            <w:vAlign w:val="center"/>
          </w:tcPr>
          <w:p w14:paraId="677E4AF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7</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1C64AB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区域图</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54F1A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6E38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3CE1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1390F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027D4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体育馆区域平面图不锈钢架子+画面制作，尺寸约2.4x1.8米高</w:t>
            </w:r>
          </w:p>
        </w:tc>
      </w:tr>
      <w:tr w14:paraId="78C1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729" w:type="dxa"/>
            <w:tcBorders>
              <w:top w:val="single" w:color="000000" w:sz="4" w:space="0"/>
              <w:left w:val="single" w:color="000000" w:sz="4" w:space="0"/>
              <w:bottom w:val="single" w:color="000000" w:sz="4" w:space="0"/>
              <w:right w:val="single" w:color="000000" w:sz="4" w:space="0"/>
            </w:tcBorders>
            <w:noWrap w:val="0"/>
            <w:vAlign w:val="center"/>
          </w:tcPr>
          <w:p w14:paraId="0CF9B35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8</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61D95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楼道文化墙</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250A8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06C209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3F2C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6330A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1BF93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楼道墙面文化墙设计制作，采用2cm厚度PVC雕刻+亚克力背喷+双层主题文字制作</w:t>
            </w:r>
          </w:p>
        </w:tc>
      </w:tr>
      <w:tr w14:paraId="50600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jc w:val="center"/>
        </w:trPr>
        <w:tc>
          <w:tcPr>
            <w:tcW w:w="729" w:type="dxa"/>
            <w:tcBorders>
              <w:top w:val="single" w:color="000000" w:sz="4" w:space="0"/>
              <w:left w:val="single" w:color="000000" w:sz="4" w:space="0"/>
              <w:bottom w:val="single" w:color="000000" w:sz="4" w:space="0"/>
              <w:right w:val="single" w:color="000000" w:sz="4" w:space="0"/>
            </w:tcBorders>
            <w:noWrap w:val="0"/>
            <w:vAlign w:val="center"/>
          </w:tcPr>
          <w:p w14:paraId="0851422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6129D4D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设计服务</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44455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55CC19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1DDBE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w:t>
            </w:r>
          </w:p>
        </w:tc>
        <w:tc>
          <w:tcPr>
            <w:tcW w:w="1165" w:type="dxa"/>
            <w:tcBorders>
              <w:top w:val="single" w:color="000000" w:sz="4" w:space="0"/>
              <w:left w:val="single" w:color="000000" w:sz="4" w:space="0"/>
              <w:bottom w:val="single" w:color="000000" w:sz="4" w:space="0"/>
              <w:right w:val="single" w:color="000000" w:sz="4" w:space="0"/>
            </w:tcBorders>
            <w:noWrap w:val="0"/>
            <w:vAlign w:val="center"/>
          </w:tcPr>
          <w:p w14:paraId="0450F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w:t>
            </w:r>
          </w:p>
        </w:tc>
        <w:tc>
          <w:tcPr>
            <w:tcW w:w="2539" w:type="dxa"/>
            <w:tcBorders>
              <w:top w:val="single" w:color="000000" w:sz="4" w:space="0"/>
              <w:left w:val="single" w:color="000000" w:sz="4" w:space="0"/>
              <w:bottom w:val="single" w:color="000000" w:sz="4" w:space="0"/>
              <w:right w:val="single" w:color="000000" w:sz="4" w:space="0"/>
            </w:tcBorders>
            <w:noWrap w:val="0"/>
            <w:vAlign w:val="center"/>
          </w:tcPr>
          <w:p w14:paraId="7787D9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3d效果图设计+平面排版</w:t>
            </w:r>
          </w:p>
        </w:tc>
      </w:tr>
      <w:tr w14:paraId="3FA87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12D2309">
            <w:pPr>
              <w:jc w:val="center"/>
              <w:rPr>
                <w:rFonts w:hint="eastAsia" w:ascii="宋体" w:hAnsi="宋体" w:eastAsia="宋体" w:cs="宋体"/>
                <w:i w:val="0"/>
                <w:iCs w:val="0"/>
                <w:color w:val="000000"/>
                <w:sz w:val="24"/>
                <w:szCs w:val="24"/>
                <w:u w:val="none"/>
              </w:rPr>
            </w:pP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F85CE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费用合计89165元</w:t>
            </w:r>
          </w:p>
        </w:tc>
      </w:tr>
    </w:tbl>
    <w:p w14:paraId="4D58B4CE">
      <w:pPr>
        <w:rPr>
          <w:rFonts w:hint="eastAsia"/>
          <w:lang w:val="en-US" w:eastAsia="zh-CN"/>
        </w:rPr>
      </w:pPr>
    </w:p>
    <w:p w14:paraId="71947C1A">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8.9165</w:t>
      </w:r>
      <w:r>
        <w:rPr>
          <w:rFonts w:ascii="仿宋" w:hAnsi="仿宋" w:eastAsia="仿宋"/>
          <w:sz w:val="24"/>
          <w:szCs w:val="24"/>
          <w:u w:val="none"/>
        </w:rPr>
        <w:t>万元</w:t>
      </w:r>
    </w:p>
    <w:p w14:paraId="453272DD">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71B48163">
      <w:pPr>
        <w:snapToGrid w:val="0"/>
        <w:spacing w:line="360" w:lineRule="auto"/>
        <w:ind w:firstLine="480" w:firstLineChars="200"/>
        <w:jc w:val="left"/>
        <w:rPr>
          <w:rFonts w:hint="eastAsia" w:ascii="仿宋" w:hAnsi="仿宋" w:eastAsia="仿宋" w:cstheme="minorEastAsia"/>
          <w:sz w:val="24"/>
          <w:szCs w:val="24"/>
        </w:rPr>
      </w:pPr>
      <w:bookmarkStart w:id="5" w:name="_Toc58335831"/>
      <w:r>
        <w:rPr>
          <w:rFonts w:hint="eastAsia" w:ascii="仿宋" w:hAnsi="仿宋" w:eastAsia="仿宋" w:cstheme="minorEastAsia"/>
          <w:sz w:val="24"/>
          <w:szCs w:val="24"/>
        </w:rPr>
        <w:t>1、基本资格条件：供应商必须是在中华人民共和国境内注册登记的法人、其他组织或者自然人，且应当符合下列规定，即：</w:t>
      </w:r>
    </w:p>
    <w:p w14:paraId="0BFF92E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（1）法人营业执照副本复印件；</w:t>
      </w:r>
    </w:p>
    <w:p w14:paraId="7804B8ED">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（2）法人提交法定代表人身份证明或者授权人提交法定代表人授权委托书及双方身份证复印件；</w:t>
      </w:r>
    </w:p>
    <w:p w14:paraId="2B0B7F32">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（3）提供具有良好的商业信誉和健全的财务会计制度的书面承诺函；</w:t>
      </w:r>
    </w:p>
    <w:p w14:paraId="461750C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（4）提供具有履行合同所必需的设备和专业技术能力的书面承诺函；</w:t>
      </w:r>
    </w:p>
    <w:p w14:paraId="1884484D">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（5）提供依法缴纳税收和社会保障资金的书面承诺函；</w:t>
      </w:r>
    </w:p>
    <w:p w14:paraId="32619C83">
      <w:pPr>
        <w:snapToGrid w:val="0"/>
        <w:spacing w:line="360" w:lineRule="auto"/>
        <w:ind w:firstLine="480" w:firstLineChars="200"/>
        <w:jc w:val="left"/>
        <w:rPr>
          <w:rFonts w:hint="eastAsia" w:ascii="仿宋" w:hAnsi="仿宋" w:eastAsia="仿宋" w:cstheme="minorEastAsia"/>
          <w:sz w:val="24"/>
          <w:szCs w:val="24"/>
          <w:lang w:eastAsia="zh-CN"/>
        </w:rPr>
      </w:pPr>
      <w:r>
        <w:rPr>
          <w:rFonts w:hint="eastAsia" w:ascii="仿宋" w:hAnsi="仿宋" w:eastAsia="仿宋" w:cstheme="minorEastAsia"/>
          <w:sz w:val="24"/>
          <w:szCs w:val="24"/>
          <w:lang w:eastAsia="zh-CN"/>
        </w:rPr>
        <w:t>（</w:t>
      </w:r>
      <w:r>
        <w:rPr>
          <w:rFonts w:hint="eastAsia" w:ascii="仿宋" w:hAnsi="仿宋" w:eastAsia="仿宋" w:cstheme="minorEastAsia"/>
          <w:sz w:val="24"/>
          <w:szCs w:val="24"/>
          <w:lang w:val="en-US" w:eastAsia="zh-CN"/>
        </w:rPr>
        <w:t>6</w:t>
      </w:r>
      <w:r>
        <w:rPr>
          <w:rFonts w:hint="eastAsia" w:ascii="仿宋" w:hAnsi="仿宋" w:eastAsia="仿宋" w:cstheme="minorEastAsia"/>
          <w:sz w:val="24"/>
          <w:szCs w:val="24"/>
          <w:lang w:eastAsia="zh-CN"/>
        </w:rPr>
        <w:t>）参加本次政府采购活动前 3 年内没有重大违法记录的书面声明；</w:t>
      </w:r>
    </w:p>
    <w:p w14:paraId="7D448AFE">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rPr>
        <w:t>2、特定资格条件：</w:t>
      </w:r>
      <w:r>
        <w:rPr>
          <w:rFonts w:hint="eastAsia" w:ascii="仿宋" w:hAnsi="仿宋" w:eastAsia="仿宋" w:cstheme="minorEastAsia"/>
          <w:sz w:val="24"/>
          <w:szCs w:val="24"/>
          <w:lang w:val="en-US" w:eastAsia="zh-CN"/>
        </w:rPr>
        <w:t>无</w:t>
      </w:r>
    </w:p>
    <w:p w14:paraId="773A98C1">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054E6273">
      <w:pPr>
        <w:pStyle w:val="1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1．首次响应文件的提交截止时间：202</w:t>
      </w:r>
      <w:r>
        <w:rPr>
          <w:rFonts w:hint="eastAsia" w:ascii="仿宋" w:hAnsi="仿宋" w:eastAsia="仿宋"/>
          <w:sz w:val="24"/>
          <w:szCs w:val="24"/>
          <w:lang w:val="en-US" w:eastAsia="zh-CN"/>
        </w:rPr>
        <w:t>6</w:t>
      </w:r>
      <w:r>
        <w:rPr>
          <w:rFonts w:hint="eastAsia" w:ascii="仿宋" w:hAnsi="仿宋" w:eastAsia="仿宋"/>
          <w:sz w:val="24"/>
          <w:szCs w:val="24"/>
        </w:rPr>
        <w:t>年</w:t>
      </w:r>
      <w:r>
        <w:rPr>
          <w:rFonts w:hint="eastAsia" w:ascii="仿宋" w:hAnsi="仿宋" w:eastAsia="仿宋"/>
          <w:sz w:val="24"/>
          <w:szCs w:val="24"/>
          <w:u w:val="none"/>
        </w:rPr>
        <w:t>1月</w:t>
      </w:r>
      <w:r>
        <w:rPr>
          <w:rFonts w:hint="eastAsia" w:ascii="仿宋" w:hAnsi="仿宋" w:eastAsia="仿宋"/>
          <w:sz w:val="24"/>
          <w:szCs w:val="24"/>
          <w:u w:val="none"/>
          <w:lang w:val="en-US" w:eastAsia="zh-CN"/>
        </w:rPr>
        <w:t>27</w:t>
      </w:r>
      <w:r>
        <w:rPr>
          <w:rFonts w:hint="eastAsia" w:ascii="仿宋" w:hAnsi="仿宋" w:eastAsia="仿宋"/>
          <w:sz w:val="24"/>
          <w:szCs w:val="24"/>
          <w:u w:val="none"/>
        </w:rPr>
        <w:t>日</w:t>
      </w:r>
      <w:r>
        <w:rPr>
          <w:rFonts w:hint="eastAsia" w:ascii="仿宋" w:hAnsi="仿宋" w:eastAsia="仿宋"/>
          <w:sz w:val="24"/>
          <w:szCs w:val="24"/>
          <w:u w:val="none"/>
          <w:lang w:val="en-US" w:eastAsia="zh-CN"/>
        </w:rPr>
        <w:t>9</w:t>
      </w:r>
      <w:r>
        <w:rPr>
          <w:rFonts w:hint="eastAsia" w:ascii="仿宋" w:hAnsi="仿宋" w:eastAsia="仿宋"/>
          <w:sz w:val="24"/>
          <w:szCs w:val="24"/>
          <w:u w:val="none"/>
        </w:rPr>
        <w:t>时</w:t>
      </w:r>
    </w:p>
    <w:p w14:paraId="5FCFB0A5">
      <w:pPr>
        <w:pStyle w:val="1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年1月</w:t>
      </w:r>
      <w:r>
        <w:rPr>
          <w:rFonts w:hint="eastAsia" w:ascii="仿宋" w:hAnsi="仿宋" w:eastAsia="仿宋"/>
          <w:sz w:val="24"/>
          <w:szCs w:val="24"/>
          <w:u w:val="none"/>
          <w:lang w:val="en-US" w:eastAsia="zh-CN"/>
        </w:rPr>
        <w:t>27</w:t>
      </w:r>
      <w:r>
        <w:rPr>
          <w:rFonts w:hint="eastAsia" w:ascii="仿宋" w:hAnsi="仿宋" w:eastAsia="仿宋"/>
          <w:sz w:val="24"/>
          <w:szCs w:val="24"/>
          <w:u w:val="none"/>
        </w:rPr>
        <w:t>日</w:t>
      </w:r>
      <w:r>
        <w:rPr>
          <w:rFonts w:hint="eastAsia" w:ascii="仿宋" w:hAnsi="仿宋" w:eastAsia="仿宋"/>
          <w:sz w:val="24"/>
          <w:szCs w:val="24"/>
          <w:u w:val="none"/>
          <w:lang w:val="en-US" w:eastAsia="zh-CN"/>
        </w:rPr>
        <w:t>9</w:t>
      </w:r>
      <w:r>
        <w:rPr>
          <w:rFonts w:hint="eastAsia" w:ascii="仿宋" w:hAnsi="仿宋" w:eastAsia="仿宋"/>
          <w:sz w:val="24"/>
          <w:szCs w:val="24"/>
          <w:u w:val="none"/>
        </w:rPr>
        <w:t>时</w:t>
      </w:r>
    </w:p>
    <w:p w14:paraId="63DB6ACB">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rPr>
        <w:t>：</w:t>
      </w:r>
      <w:r>
        <w:rPr>
          <w:rFonts w:hint="eastAsia" w:ascii="仿宋" w:hAnsi="仿宋" w:eastAsia="仿宋" w:cstheme="minorEastAsia"/>
          <w:sz w:val="24"/>
          <w:szCs w:val="24"/>
          <w:u w:val="none"/>
          <w:lang w:val="en-US" w:eastAsia="zh-CN"/>
        </w:rPr>
        <w:t>蒋智能</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电 话：</w:t>
      </w:r>
      <w:bookmarkStart w:id="9" w:name="_Hlk186731053"/>
      <w:r>
        <w:rPr>
          <w:rFonts w:hint="eastAsia" w:ascii="仿宋" w:hAnsi="仿宋" w:eastAsia="仿宋" w:cstheme="minorEastAsia"/>
          <w:sz w:val="24"/>
          <w:szCs w:val="24"/>
          <w:u w:val="none"/>
          <w:lang w:val="en-US" w:eastAsia="zh-CN"/>
        </w:rPr>
        <w:t>0731-</w:t>
      </w:r>
      <w:bookmarkEnd w:id="9"/>
      <w:r>
        <w:rPr>
          <w:rFonts w:hint="eastAsia" w:ascii="仿宋" w:hAnsi="仿宋" w:eastAsia="仿宋" w:cstheme="minorEastAsia"/>
          <w:sz w:val="24"/>
          <w:szCs w:val="24"/>
          <w:u w:val="none"/>
          <w:lang w:val="en-US" w:eastAsia="zh-CN"/>
        </w:rPr>
        <w:t>22783866</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7"/>
      </w:pPr>
    </w:p>
    <w:p w14:paraId="36D09C7E"/>
    <w:p w14:paraId="499CC4F2"/>
    <w:p w14:paraId="7CE7D325"/>
    <w:p w14:paraId="611302C1">
      <w:pPr>
        <w:pStyle w:val="1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lang w:val="en-US" w:eastAsia="zh-CN" w:bidi="ar-SA"/>
        </w:rPr>
        <w:t>体育馆文化装饰项目</w:t>
      </w:r>
    </w:p>
    <w:p w14:paraId="38F21A64">
      <w:pPr>
        <w:keepNext w:val="0"/>
        <w:keepLines w:val="0"/>
        <w:pageBreakBefore w:val="0"/>
        <w:widowControl w:val="0"/>
        <w:kinsoku/>
        <w:wordWrap/>
        <w:overflowPunct/>
        <w:topLinePunct w:val="0"/>
        <w:autoSpaceDE/>
        <w:autoSpaceDN/>
        <w:bidi w:val="0"/>
        <w:spacing w:before="156" w:beforeLines="50" w:line="360" w:lineRule="auto"/>
        <w:ind w:firstLine="720" w:firstLineChars="300"/>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bidi="ar-SA"/>
        </w:rPr>
        <w:t>合同签订后15个日历天。</w:t>
      </w:r>
    </w:p>
    <w:p w14:paraId="1FEB2D6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03577C77">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为体育馆提供文化装饰整体服务，包括设计方案（含3D效果图、文字说明与设计理念）与施工安装，涵盖馆内外的标识、荣誉展示、文化墙、展柜、照明等文化氛围营造物件的制作与布设。</w:t>
      </w:r>
    </w:p>
    <w:tbl>
      <w:tblPr>
        <w:tblStyle w:val="18"/>
        <w:tblW w:w="90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53"/>
        <w:gridCol w:w="3423"/>
        <w:gridCol w:w="4366"/>
      </w:tblGrid>
      <w:tr w14:paraId="24616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1253" w:type="dxa"/>
            <w:tcBorders>
              <w:top w:val="single" w:color="000000" w:sz="4" w:space="0"/>
              <w:left w:val="single" w:color="000000" w:sz="4" w:space="0"/>
              <w:bottom w:val="single" w:color="000000" w:sz="4" w:space="0"/>
              <w:right w:val="single" w:color="000000" w:sz="4" w:space="0"/>
            </w:tcBorders>
            <w:noWrap w:val="0"/>
            <w:vAlign w:val="top"/>
          </w:tcPr>
          <w:p w14:paraId="02BAAE3A">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序号</w:t>
            </w:r>
          </w:p>
        </w:tc>
        <w:tc>
          <w:tcPr>
            <w:tcW w:w="3423" w:type="dxa"/>
            <w:tcBorders>
              <w:top w:val="single" w:color="000000" w:sz="4" w:space="0"/>
              <w:left w:val="single" w:color="000000" w:sz="4" w:space="0"/>
              <w:bottom w:val="single" w:color="000000" w:sz="4" w:space="0"/>
              <w:right w:val="single" w:color="000000" w:sz="4" w:space="0"/>
            </w:tcBorders>
            <w:noWrap w:val="0"/>
            <w:vAlign w:val="top"/>
          </w:tcPr>
          <w:p w14:paraId="6926865F">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项目名称</w:t>
            </w:r>
          </w:p>
        </w:tc>
        <w:tc>
          <w:tcPr>
            <w:tcW w:w="4366" w:type="dxa"/>
            <w:tcBorders>
              <w:top w:val="single" w:color="000000" w:sz="4" w:space="0"/>
              <w:left w:val="single" w:color="000000" w:sz="4" w:space="0"/>
              <w:bottom w:val="single" w:color="000000" w:sz="4" w:space="0"/>
              <w:right w:val="single" w:color="000000" w:sz="4" w:space="0"/>
            </w:tcBorders>
            <w:noWrap w:val="0"/>
            <w:vAlign w:val="top"/>
          </w:tcPr>
          <w:p w14:paraId="535A8291">
            <w:pPr>
              <w:spacing w:line="312" w:lineRule="auto"/>
              <w:jc w:val="center"/>
              <w:rPr>
                <w:rFonts w:hint="eastAsia" w:ascii="仿宋" w:hAnsi="仿宋" w:eastAsia="仿宋" w:cs="Times New Roman"/>
                <w:b/>
                <w:sz w:val="24"/>
                <w:szCs w:val="24"/>
                <w:lang w:val="en-US" w:eastAsia="zh-CN" w:bidi="ar"/>
              </w:rPr>
            </w:pPr>
            <w:r>
              <w:rPr>
                <w:rFonts w:hint="eastAsia" w:ascii="仿宋" w:hAnsi="仿宋" w:eastAsia="仿宋" w:cs="Times New Roman"/>
                <w:b/>
                <w:sz w:val="24"/>
                <w:szCs w:val="24"/>
                <w:lang w:val="en-US" w:eastAsia="zh-CN" w:bidi="ar"/>
              </w:rPr>
              <w:t>技术规格、参数</w:t>
            </w:r>
          </w:p>
        </w:tc>
      </w:tr>
      <w:tr w14:paraId="79B0A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1253" w:type="dxa"/>
            <w:tcBorders>
              <w:top w:val="nil"/>
              <w:left w:val="single" w:color="000000" w:sz="4" w:space="0"/>
              <w:bottom w:val="single" w:color="000000" w:sz="4" w:space="0"/>
              <w:right w:val="single" w:color="000000" w:sz="4" w:space="0"/>
            </w:tcBorders>
            <w:noWrap w:val="0"/>
            <w:vAlign w:val="center"/>
          </w:tcPr>
          <w:p w14:paraId="1F34FD74">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w:t>
            </w:r>
          </w:p>
        </w:tc>
        <w:tc>
          <w:tcPr>
            <w:tcW w:w="3423" w:type="dxa"/>
            <w:tcBorders>
              <w:top w:val="nil"/>
              <w:left w:val="single" w:color="000000" w:sz="4" w:space="0"/>
              <w:bottom w:val="single" w:color="000000" w:sz="4" w:space="0"/>
              <w:right w:val="single" w:color="000000" w:sz="4" w:space="0"/>
            </w:tcBorders>
            <w:noWrap/>
            <w:vAlign w:val="center"/>
          </w:tcPr>
          <w:p w14:paraId="46BDF04D">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外围体育标识</w:t>
            </w:r>
          </w:p>
        </w:tc>
        <w:tc>
          <w:tcPr>
            <w:tcW w:w="4366" w:type="dxa"/>
            <w:tcBorders>
              <w:top w:val="nil"/>
              <w:left w:val="single" w:color="000000" w:sz="4" w:space="0"/>
              <w:bottom w:val="single" w:color="000000" w:sz="4" w:space="0"/>
              <w:right w:val="single" w:color="000000" w:sz="4" w:space="0"/>
            </w:tcBorders>
            <w:noWrap w:val="0"/>
            <w:vAlign w:val="center"/>
          </w:tcPr>
          <w:p w14:paraId="5380EF77">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体育馆二层外墙运动标识牌，字体采用不锈钢烤漆电镀工艺，字体高度约1.5米左右一个文字，材料防腐蚀、防生锈等；</w:t>
            </w:r>
          </w:p>
        </w:tc>
      </w:tr>
      <w:tr w14:paraId="52504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253" w:type="dxa"/>
            <w:vMerge w:val="restart"/>
            <w:tcBorders>
              <w:top w:val="single" w:color="000000" w:sz="4" w:space="0"/>
              <w:left w:val="single" w:color="000000" w:sz="4" w:space="0"/>
              <w:right w:val="single" w:color="000000" w:sz="4" w:space="0"/>
            </w:tcBorders>
            <w:noWrap w:val="0"/>
            <w:vAlign w:val="center"/>
          </w:tcPr>
          <w:p w14:paraId="37E9CBD2">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w:t>
            </w:r>
          </w:p>
        </w:tc>
        <w:tc>
          <w:tcPr>
            <w:tcW w:w="34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1319CD7">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过道左侧荣誉展示</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887F7B6">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可折叠画架+画面定制，画架采用铁艺喷漆工艺，尺寸根据设计方案来定制，高度不低于2.4米，画面采用高清画布喷印+边框制作；</w:t>
            </w:r>
          </w:p>
        </w:tc>
      </w:tr>
      <w:tr w14:paraId="4F05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253" w:type="dxa"/>
            <w:vMerge w:val="continue"/>
            <w:tcBorders>
              <w:left w:val="single" w:color="000000" w:sz="4" w:space="0"/>
              <w:right w:val="single" w:color="000000" w:sz="4" w:space="0"/>
            </w:tcBorders>
            <w:noWrap w:val="0"/>
            <w:vAlign w:val="center"/>
          </w:tcPr>
          <w:p w14:paraId="21042831">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B8301">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C41329A">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定制玻璃加安装，5mm厚度透明玻璃；</w:t>
            </w:r>
          </w:p>
        </w:tc>
      </w:tr>
      <w:tr w14:paraId="4136C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253" w:type="dxa"/>
            <w:vMerge w:val="continue"/>
            <w:tcBorders>
              <w:left w:val="single" w:color="000000" w:sz="4" w:space="0"/>
              <w:bottom w:val="single" w:color="000000" w:sz="4" w:space="0"/>
              <w:right w:val="single" w:color="000000" w:sz="4" w:space="0"/>
            </w:tcBorders>
            <w:noWrap w:val="0"/>
            <w:vAlign w:val="center"/>
          </w:tcPr>
          <w:p w14:paraId="5899E530">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4D4F8">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6A8146D">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灯光照明；灯光亮度45w，可自由伸缩灯杆长度，长度约60cm；</w:t>
            </w:r>
          </w:p>
        </w:tc>
      </w:tr>
      <w:tr w14:paraId="615A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1253" w:type="dxa"/>
            <w:vMerge w:val="restart"/>
            <w:tcBorders>
              <w:top w:val="single" w:color="000000" w:sz="4" w:space="0"/>
              <w:left w:val="single" w:color="000000" w:sz="4" w:space="0"/>
              <w:right w:val="single" w:color="000000" w:sz="4" w:space="0"/>
            </w:tcBorders>
            <w:noWrap w:val="0"/>
            <w:vAlign w:val="center"/>
          </w:tcPr>
          <w:p w14:paraId="3A5B9362">
            <w:pPr>
              <w:snapToGrid w:val="0"/>
              <w:spacing w:before="156" w:beforeLines="50" w:line="360" w:lineRule="auto"/>
              <w:ind w:firstLine="480" w:firstLineChars="200"/>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w:t>
            </w:r>
          </w:p>
        </w:tc>
        <w:tc>
          <w:tcPr>
            <w:tcW w:w="34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C92185">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右侧展台背景搭建</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D407FBF">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木工背景异型造型制作+广告制作；工艺采用木板+阻燃板相结合的方式现场定制，高度2.4米左右，木板拼接处美缝处理，表面增加高清加厚广告布喷印；</w:t>
            </w:r>
          </w:p>
        </w:tc>
      </w:tr>
      <w:tr w14:paraId="4F04F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253" w:type="dxa"/>
            <w:vMerge w:val="continue"/>
            <w:tcBorders>
              <w:left w:val="single" w:color="000000" w:sz="4" w:space="0"/>
              <w:right w:val="single" w:color="000000" w:sz="4" w:space="0"/>
            </w:tcBorders>
            <w:noWrap w:val="0"/>
            <w:vAlign w:val="center"/>
          </w:tcPr>
          <w:p w14:paraId="5BA69BBC">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87415">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84F4E88">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2cm厚度双层PVC雕刻+UV打印</w:t>
            </w:r>
          </w:p>
        </w:tc>
      </w:tr>
      <w:tr w14:paraId="73C2A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253" w:type="dxa"/>
            <w:vMerge w:val="continue"/>
            <w:tcBorders>
              <w:left w:val="single" w:color="000000" w:sz="4" w:space="0"/>
              <w:right w:val="single" w:color="000000" w:sz="4" w:space="0"/>
            </w:tcBorders>
            <w:noWrap w:val="0"/>
            <w:vAlign w:val="center"/>
          </w:tcPr>
          <w:p w14:paraId="252E6597">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9994F">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86F33A8">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荣誉背景木工定制造型，采用4cm厚度实木板造型+机器缝边处理；用于展示奖杯牌匾证书等；</w:t>
            </w:r>
          </w:p>
        </w:tc>
      </w:tr>
      <w:tr w14:paraId="214B8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253" w:type="dxa"/>
            <w:vMerge w:val="continue"/>
            <w:tcBorders>
              <w:left w:val="single" w:color="000000" w:sz="4" w:space="0"/>
              <w:bottom w:val="single" w:color="000000" w:sz="4" w:space="0"/>
              <w:right w:val="single" w:color="000000" w:sz="4" w:space="0"/>
            </w:tcBorders>
            <w:noWrap w:val="0"/>
            <w:vAlign w:val="center"/>
          </w:tcPr>
          <w:p w14:paraId="69414943">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487EE">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2DD2670">
            <w:pPr>
              <w:snapToGrid w:val="0"/>
              <w:spacing w:before="156" w:beforeLines="50" w:line="360" w:lineRule="auto"/>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灯光照明；灯光亮度45w，可自由伸缩灯杆长度，长度约60cm；</w:t>
            </w:r>
          </w:p>
        </w:tc>
      </w:tr>
      <w:tr w14:paraId="589C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1253" w:type="dxa"/>
            <w:tcBorders>
              <w:top w:val="single" w:color="000000" w:sz="4" w:space="0"/>
              <w:left w:val="single" w:color="000000" w:sz="4" w:space="0"/>
              <w:bottom w:val="single" w:color="000000" w:sz="4" w:space="0"/>
              <w:right w:val="single" w:color="000000" w:sz="4" w:space="0"/>
            </w:tcBorders>
            <w:noWrap w:val="0"/>
            <w:vAlign w:val="center"/>
          </w:tcPr>
          <w:p w14:paraId="76D7F83C">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4</w:t>
            </w:r>
          </w:p>
        </w:tc>
        <w:tc>
          <w:tcPr>
            <w:tcW w:w="3423" w:type="dxa"/>
            <w:tcBorders>
              <w:top w:val="single" w:color="000000" w:sz="4" w:space="0"/>
              <w:left w:val="single" w:color="000000" w:sz="4" w:space="0"/>
              <w:bottom w:val="single" w:color="000000" w:sz="4" w:space="0"/>
              <w:right w:val="single" w:color="000000" w:sz="4" w:space="0"/>
            </w:tcBorders>
            <w:noWrap w:val="0"/>
            <w:vAlign w:val="center"/>
          </w:tcPr>
          <w:p w14:paraId="43C761B1">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中间隔挡搭建</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C2C2675">
            <w:pPr>
              <w:snapToGrid w:val="0"/>
              <w:spacing w:before="156" w:beforeLines="50" w:line="360" w:lineRule="auto"/>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6米双层背景立体桁架搭建+双面广告制作</w:t>
            </w:r>
          </w:p>
        </w:tc>
      </w:tr>
      <w:tr w14:paraId="3C958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1253" w:type="dxa"/>
            <w:vMerge w:val="restart"/>
            <w:tcBorders>
              <w:top w:val="single" w:color="000000" w:sz="4" w:space="0"/>
              <w:left w:val="single" w:color="000000" w:sz="4" w:space="0"/>
              <w:right w:val="single" w:color="000000" w:sz="4" w:space="0"/>
            </w:tcBorders>
            <w:noWrap w:val="0"/>
            <w:vAlign w:val="center"/>
          </w:tcPr>
          <w:p w14:paraId="65D63498">
            <w:pPr>
              <w:snapToGrid w:val="0"/>
              <w:spacing w:before="156" w:beforeLines="50" w:line="360" w:lineRule="auto"/>
              <w:ind w:firstLine="480" w:firstLineChars="200"/>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5</w:t>
            </w:r>
          </w:p>
        </w:tc>
        <w:tc>
          <w:tcPr>
            <w:tcW w:w="34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FC0966">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体育馆顶部标识</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4B07F51">
            <w:pPr>
              <w:snapToGrid w:val="0"/>
              <w:spacing w:before="156" w:beforeLines="50" w:line="360" w:lineRule="auto"/>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体育馆顶层标识牌，采用不锈钢烤漆电镀工艺，字体尺寸大小不低于2米一个文字，材料防腐蚀、防生锈等；</w:t>
            </w:r>
          </w:p>
        </w:tc>
      </w:tr>
      <w:tr w14:paraId="0ECF5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253" w:type="dxa"/>
            <w:vMerge w:val="continue"/>
            <w:tcBorders>
              <w:left w:val="single" w:color="000000" w:sz="4" w:space="0"/>
              <w:bottom w:val="single" w:color="000000" w:sz="4" w:space="0"/>
              <w:right w:val="single" w:color="000000" w:sz="4" w:space="0"/>
            </w:tcBorders>
            <w:noWrap w:val="0"/>
            <w:vAlign w:val="center"/>
          </w:tcPr>
          <w:p w14:paraId="1EFB802F">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A03CD6">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E44E345">
            <w:pPr>
              <w:snapToGrid w:val="0"/>
              <w:spacing w:before="156" w:beforeLines="50" w:line="360" w:lineRule="auto"/>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背架制作，采用4.0镀锌管现场焊接</w:t>
            </w:r>
          </w:p>
        </w:tc>
      </w:tr>
      <w:tr w14:paraId="252AD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1253" w:type="dxa"/>
            <w:tcBorders>
              <w:top w:val="single" w:color="000000" w:sz="4" w:space="0"/>
              <w:left w:val="single" w:color="000000" w:sz="4" w:space="0"/>
              <w:bottom w:val="single" w:color="000000" w:sz="4" w:space="0"/>
              <w:right w:val="single" w:color="000000" w:sz="4" w:space="0"/>
            </w:tcBorders>
            <w:noWrap w:val="0"/>
            <w:vAlign w:val="center"/>
          </w:tcPr>
          <w:p w14:paraId="629F35E3">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6</w:t>
            </w:r>
          </w:p>
        </w:tc>
        <w:tc>
          <w:tcPr>
            <w:tcW w:w="3423" w:type="dxa"/>
            <w:tcBorders>
              <w:top w:val="single" w:color="000000" w:sz="4" w:space="0"/>
              <w:left w:val="single" w:color="000000" w:sz="4" w:space="0"/>
              <w:bottom w:val="single" w:color="000000" w:sz="4" w:space="0"/>
              <w:right w:val="single" w:color="000000" w:sz="4" w:space="0"/>
            </w:tcBorders>
            <w:noWrap w:val="0"/>
            <w:vAlign w:val="center"/>
          </w:tcPr>
          <w:p w14:paraId="3AA7D4A7">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奥运五环</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244EB42">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奥运五环标识牌制作安装，采用不锈钢烤漆电镀工艺，尺寸高度约1.5米，宽度约3.5米</w:t>
            </w:r>
          </w:p>
        </w:tc>
      </w:tr>
      <w:tr w14:paraId="7DB84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1253" w:type="dxa"/>
            <w:tcBorders>
              <w:top w:val="single" w:color="000000" w:sz="4" w:space="0"/>
              <w:left w:val="single" w:color="000000" w:sz="4" w:space="0"/>
              <w:bottom w:val="single" w:color="000000" w:sz="4" w:space="0"/>
              <w:right w:val="single" w:color="000000" w:sz="4" w:space="0"/>
            </w:tcBorders>
            <w:noWrap w:val="0"/>
            <w:vAlign w:val="center"/>
          </w:tcPr>
          <w:p w14:paraId="293C0817">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7</w:t>
            </w:r>
          </w:p>
        </w:tc>
        <w:tc>
          <w:tcPr>
            <w:tcW w:w="3423" w:type="dxa"/>
            <w:tcBorders>
              <w:top w:val="single" w:color="000000" w:sz="4" w:space="0"/>
              <w:left w:val="single" w:color="000000" w:sz="4" w:space="0"/>
              <w:bottom w:val="single" w:color="000000" w:sz="4" w:space="0"/>
              <w:right w:val="single" w:color="000000" w:sz="4" w:space="0"/>
            </w:tcBorders>
            <w:noWrap w:val="0"/>
            <w:vAlign w:val="center"/>
          </w:tcPr>
          <w:p w14:paraId="14C4AD62">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区域图</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3F2AB2E">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体育馆区域平面图不锈钢架子+画面制作，尺寸约2.4x1.8米高</w:t>
            </w:r>
          </w:p>
        </w:tc>
      </w:tr>
      <w:tr w14:paraId="29786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1253" w:type="dxa"/>
            <w:tcBorders>
              <w:top w:val="single" w:color="000000" w:sz="4" w:space="0"/>
              <w:left w:val="single" w:color="000000" w:sz="4" w:space="0"/>
              <w:bottom w:val="single" w:color="000000" w:sz="4" w:space="0"/>
              <w:right w:val="single" w:color="000000" w:sz="4" w:space="0"/>
            </w:tcBorders>
            <w:noWrap w:val="0"/>
            <w:vAlign w:val="center"/>
          </w:tcPr>
          <w:p w14:paraId="3B20F069">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8</w:t>
            </w:r>
          </w:p>
        </w:tc>
        <w:tc>
          <w:tcPr>
            <w:tcW w:w="3423" w:type="dxa"/>
            <w:tcBorders>
              <w:top w:val="single" w:color="000000" w:sz="4" w:space="0"/>
              <w:left w:val="single" w:color="000000" w:sz="4" w:space="0"/>
              <w:bottom w:val="single" w:color="000000" w:sz="4" w:space="0"/>
              <w:right w:val="single" w:color="000000" w:sz="4" w:space="0"/>
            </w:tcBorders>
            <w:noWrap w:val="0"/>
            <w:vAlign w:val="center"/>
          </w:tcPr>
          <w:p w14:paraId="6945B51D">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楼道文化墙</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4AA13BB">
            <w:pPr>
              <w:snapToGrid w:val="0"/>
              <w:spacing w:before="156" w:beforeLines="50" w:line="360" w:lineRule="auto"/>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楼道墙面文化墙设计制作，采用2cm厚度PVC雕刻+亚克力背喷+双层主题文字制作</w:t>
            </w:r>
          </w:p>
        </w:tc>
      </w:tr>
      <w:tr w14:paraId="719E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 w:hRule="atLeast"/>
        </w:trPr>
        <w:tc>
          <w:tcPr>
            <w:tcW w:w="1253" w:type="dxa"/>
            <w:tcBorders>
              <w:top w:val="single" w:color="000000" w:sz="4" w:space="0"/>
              <w:left w:val="single" w:color="000000" w:sz="4" w:space="0"/>
              <w:bottom w:val="single" w:color="000000" w:sz="4" w:space="0"/>
              <w:right w:val="single" w:color="000000" w:sz="4" w:space="0"/>
            </w:tcBorders>
            <w:noWrap w:val="0"/>
            <w:vAlign w:val="center"/>
          </w:tcPr>
          <w:p w14:paraId="0905243E">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9</w:t>
            </w:r>
          </w:p>
        </w:tc>
        <w:tc>
          <w:tcPr>
            <w:tcW w:w="3423" w:type="dxa"/>
            <w:tcBorders>
              <w:top w:val="single" w:color="000000" w:sz="4" w:space="0"/>
              <w:left w:val="single" w:color="000000" w:sz="4" w:space="0"/>
              <w:bottom w:val="single" w:color="000000" w:sz="4" w:space="0"/>
              <w:right w:val="single" w:color="000000" w:sz="4" w:space="0"/>
            </w:tcBorders>
            <w:noWrap w:val="0"/>
            <w:vAlign w:val="center"/>
          </w:tcPr>
          <w:p w14:paraId="1B8714A2">
            <w:pPr>
              <w:snapToGrid w:val="0"/>
              <w:spacing w:before="156" w:beforeLines="50" w:line="360" w:lineRule="auto"/>
              <w:ind w:firstLine="480" w:firstLineChars="200"/>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设计服务</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FD0A699">
            <w:pPr>
              <w:snapToGrid w:val="0"/>
              <w:spacing w:before="156" w:beforeLines="50" w:line="360" w:lineRule="auto"/>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3d效果图设计+平面排版</w:t>
            </w:r>
          </w:p>
        </w:tc>
      </w:tr>
    </w:tbl>
    <w:p w14:paraId="51E37F30">
      <w:pPr>
        <w:snapToGrid w:val="0"/>
        <w:spacing w:before="156" w:beforeLines="50" w:line="360" w:lineRule="auto"/>
        <w:jc w:val="left"/>
        <w:rPr>
          <w:rFonts w:hint="eastAsia" w:ascii="仿宋" w:hAnsi="仿宋" w:eastAsia="仿宋" w:cs="仿宋"/>
          <w:color w:val="333333"/>
          <w:kern w:val="0"/>
          <w:sz w:val="24"/>
          <w:szCs w:val="24"/>
          <w:lang w:val="en-US" w:eastAsia="zh-CN" w:bidi="ar-SA"/>
        </w:rPr>
      </w:pPr>
    </w:p>
    <w:p w14:paraId="14727BA9">
      <w:pPr>
        <w:numPr>
          <w:ilvl w:val="0"/>
          <w:numId w:val="0"/>
        </w:numPr>
        <w:snapToGrid w:val="0"/>
        <w:spacing w:before="156" w:beforeLines="50" w:line="360" w:lineRule="auto"/>
        <w:ind w:firstLine="482" w:firstLineChars="200"/>
        <w:jc w:val="left"/>
      </w:pPr>
      <w:r>
        <w:rPr>
          <w:rFonts w:hint="eastAsia" w:ascii="仿宋" w:hAnsi="仿宋" w:eastAsia="仿宋" w:cstheme="minorEastAsia"/>
          <w:b/>
          <w:kern w:val="2"/>
          <w:sz w:val="24"/>
          <w:szCs w:val="24"/>
          <w:lang w:val="en-US" w:eastAsia="zh-CN" w:bidi="ar-SA"/>
        </w:rPr>
        <w:t>三、</w:t>
      </w:r>
      <w:r>
        <w:rPr>
          <w:rFonts w:hint="eastAsia" w:ascii="仿宋" w:hAnsi="仿宋" w:eastAsia="仿宋" w:cstheme="minorEastAsia"/>
          <w:b/>
          <w:sz w:val="24"/>
          <w:szCs w:val="24"/>
        </w:rPr>
        <w:t>服务质量要求：</w:t>
      </w:r>
    </w:p>
    <w:p w14:paraId="7105DBA7">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1、设计质量</w:t>
      </w:r>
      <w:r>
        <w:rPr>
          <w:rFonts w:hint="default" w:ascii="仿宋" w:hAnsi="仿宋" w:eastAsia="仿宋" w:cs="仿宋"/>
          <w:color w:val="333333"/>
          <w:kern w:val="0"/>
          <w:sz w:val="24"/>
          <w:szCs w:val="24"/>
          <w:lang w:val="en-US" w:eastAsia="zh-CN" w:bidi="ar-SA"/>
        </w:rPr>
        <w:t>：供应商需提供高标准的总体设计方案，包括3D效果图、文字说明、设计理念及材质选择，方案需结合体育馆要求，实现体育精神与铁道专业文化的深度融合。</w:t>
      </w:r>
    </w:p>
    <w:p w14:paraId="02AFDFF2">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w:t>
      </w:r>
      <w:r>
        <w:rPr>
          <w:rFonts w:hint="default" w:ascii="仿宋" w:hAnsi="仿宋" w:eastAsia="仿宋" w:cs="仿宋"/>
          <w:color w:val="333333"/>
          <w:kern w:val="0"/>
          <w:sz w:val="24"/>
          <w:szCs w:val="24"/>
          <w:lang w:val="en-US" w:eastAsia="zh-CN" w:bidi="ar-SA"/>
        </w:rPr>
        <w:t>产品质量：所有货物的材质、规格、工艺必须严格符合采购清单中列出的参数要求。</w:t>
      </w:r>
    </w:p>
    <w:p w14:paraId="54C540B7">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w:t>
      </w:r>
      <w:r>
        <w:rPr>
          <w:rFonts w:hint="default" w:ascii="仿宋" w:hAnsi="仿宋" w:eastAsia="仿宋" w:cs="仿宋"/>
          <w:color w:val="333333"/>
          <w:kern w:val="0"/>
          <w:sz w:val="24"/>
          <w:szCs w:val="24"/>
          <w:lang w:val="en-US" w:eastAsia="zh-CN" w:bidi="ar-SA"/>
        </w:rPr>
        <w:t>安装与施工质量：安装位置、数量、品牌型号需与合同清单完全一致。安装工艺需达标，最终装饰效果需美观、协调，符合设计风格要求。所有货物（如照明）需能正常使用，达到预定功能。</w:t>
      </w:r>
    </w:p>
    <w:p w14:paraId="651F9743">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4、</w:t>
      </w:r>
      <w:r>
        <w:rPr>
          <w:rFonts w:hint="default" w:ascii="仿宋" w:hAnsi="仿宋" w:eastAsia="仿宋" w:cs="仿宋"/>
          <w:color w:val="333333"/>
          <w:kern w:val="0"/>
          <w:sz w:val="24"/>
          <w:szCs w:val="24"/>
          <w:lang w:val="en-US" w:eastAsia="zh-CN" w:bidi="ar-SA"/>
        </w:rPr>
        <w:t>验收与质量保证：必须通过包含现场核查、功能测试、质量抽检（含可能第三方检测）、观感验收的完整验收流程。供应商需对项目提供一年质保期。若验收不合格，供应商需负责整改并承担相关检测费用。</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695C7653">
      <w:pPr>
        <w:snapToGrid w:val="0"/>
        <w:spacing w:before="156" w:beforeLines="50" w:line="360" w:lineRule="auto"/>
        <w:ind w:firstLine="480" w:firstLineChars="200"/>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w:t>
      </w:r>
      <w:r>
        <w:rPr>
          <w:rFonts w:hint="default" w:ascii="仿宋" w:hAnsi="仿宋" w:eastAsia="仿宋" w:cs="仿宋"/>
          <w:color w:val="333333"/>
          <w:kern w:val="0"/>
          <w:sz w:val="24"/>
          <w:szCs w:val="24"/>
          <w:lang w:val="en-US" w:eastAsia="zh-CN" w:bidi="ar-SA"/>
        </w:rPr>
        <w:t>现场核查：对照采购合同清单，核对货物的品牌、型号、数量、安装位置等是否与约定一致；</w:t>
      </w:r>
    </w:p>
    <w:p w14:paraId="7AAC3ED4">
      <w:pPr>
        <w:snapToGrid w:val="0"/>
        <w:spacing w:before="156" w:beforeLines="50" w:line="360" w:lineRule="auto"/>
        <w:ind w:firstLine="480" w:firstLineChars="200"/>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w:t>
      </w:r>
      <w:r>
        <w:rPr>
          <w:rFonts w:hint="default" w:ascii="仿宋" w:hAnsi="仿宋" w:eastAsia="仿宋" w:cs="仿宋"/>
          <w:color w:val="333333"/>
          <w:kern w:val="0"/>
          <w:sz w:val="24"/>
          <w:szCs w:val="24"/>
          <w:lang w:val="en-US" w:eastAsia="zh-CN" w:bidi="ar-SA"/>
        </w:rPr>
        <w:t>功能测试：对各类货物的功能进行现场试用和测试，验证是否达到约定要求；</w:t>
      </w:r>
    </w:p>
    <w:p w14:paraId="38D79AD7">
      <w:pPr>
        <w:snapToGrid w:val="0"/>
        <w:spacing w:before="156" w:beforeLines="50" w:line="360" w:lineRule="auto"/>
        <w:ind w:firstLine="480" w:firstLineChars="200"/>
        <w:jc w:val="lef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w:t>
      </w:r>
      <w:r>
        <w:rPr>
          <w:rFonts w:hint="default" w:ascii="仿宋" w:hAnsi="仿宋" w:eastAsia="仿宋" w:cs="仿宋"/>
          <w:color w:val="333333"/>
          <w:kern w:val="0"/>
          <w:sz w:val="24"/>
          <w:szCs w:val="24"/>
          <w:lang w:val="en-US" w:eastAsia="zh-CN" w:bidi="ar-SA"/>
        </w:rPr>
        <w:t>质量抽检：对装饰材料、安装工艺等进行抽样检查，必要时委托第三方专业机构进行质量检测或环保检测，检测费用由供应商承担，检测不合格时需重新整改并承担后续检测费用；</w:t>
      </w:r>
    </w:p>
    <w:p w14:paraId="06E8B434">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仿宋"/>
          <w:color w:val="333333"/>
          <w:kern w:val="0"/>
          <w:sz w:val="24"/>
          <w:szCs w:val="24"/>
          <w:lang w:val="en-US" w:eastAsia="zh-CN" w:bidi="ar-SA"/>
        </w:rPr>
        <w:t>4、</w:t>
      </w:r>
      <w:r>
        <w:rPr>
          <w:rFonts w:hint="default" w:ascii="仿宋" w:hAnsi="仿宋" w:eastAsia="仿宋" w:cs="仿宋"/>
          <w:color w:val="333333"/>
          <w:kern w:val="0"/>
          <w:sz w:val="24"/>
          <w:szCs w:val="24"/>
          <w:lang w:val="en-US" w:eastAsia="zh-CN" w:bidi="ar-SA"/>
        </w:rPr>
        <w:t>观感验收：检查装饰效果的美观度、协调性，是否符合设计风格要求。</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lang w:val="en-US" w:eastAsia="zh-CN"/>
        </w:rPr>
        <w:t>8.9165</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ascii="仿宋" w:hAnsi="仿宋" w:eastAsia="仿宋" w:cstheme="minorEastAsia"/>
          <w:sz w:val="24"/>
          <w:szCs w:val="24"/>
        </w:rPr>
        <w:t>支付合同总金额的</w:t>
      </w:r>
      <w:r>
        <w:rPr>
          <w:rFonts w:hint="eastAsia" w:ascii="仿宋" w:hAnsi="仿宋" w:eastAsia="仿宋" w:cstheme="minorEastAsia"/>
          <w:sz w:val="24"/>
          <w:szCs w:val="24"/>
        </w:rPr>
        <w:t>100</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7AF08D06">
      <w:pPr>
        <w:pStyle w:val="17"/>
        <w:ind w:left="0" w:leftChars="0" w:firstLine="0"/>
        <w:jc w:val="center"/>
        <w:rPr>
          <w:rFonts w:hint="eastAsia" w:ascii="仿宋" w:hAnsi="仿宋" w:eastAsia="仿宋"/>
          <w:b/>
          <w:sz w:val="36"/>
          <w:szCs w:val="36"/>
        </w:rPr>
      </w:pPr>
    </w:p>
    <w:p w14:paraId="4828B472">
      <w:pPr>
        <w:pStyle w:val="17"/>
        <w:ind w:left="0" w:leftChars="0" w:firstLine="0"/>
        <w:jc w:val="center"/>
        <w:rPr>
          <w:rFonts w:hint="eastAsia" w:ascii="仿宋" w:hAnsi="仿宋" w:eastAsia="仿宋"/>
          <w:b/>
          <w:sz w:val="36"/>
          <w:szCs w:val="36"/>
        </w:rPr>
      </w:pPr>
    </w:p>
    <w:p w14:paraId="367E7DBE">
      <w:pPr>
        <w:pStyle w:val="17"/>
        <w:ind w:left="0" w:leftChars="0" w:firstLine="0"/>
        <w:jc w:val="center"/>
        <w:rPr>
          <w:rFonts w:hint="eastAsia" w:ascii="仿宋" w:hAnsi="仿宋" w:eastAsia="仿宋"/>
          <w:b/>
          <w:sz w:val="36"/>
          <w:szCs w:val="36"/>
        </w:rPr>
      </w:pPr>
    </w:p>
    <w:p w14:paraId="223FEA38">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A57729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E638DFF">
      <w:pPr>
        <w:spacing w:line="360" w:lineRule="auto"/>
        <w:ind w:firstLine="480" w:firstLineChars="200"/>
        <w:rPr>
          <w:rFonts w:hint="eastAsia" w:ascii="仿宋" w:hAnsi="仿宋" w:eastAsia="仿宋"/>
          <w:sz w:val="24"/>
          <w:szCs w:val="24"/>
        </w:rPr>
      </w:pPr>
    </w:p>
    <w:p w14:paraId="4A1FB2F2">
      <w:pPr>
        <w:spacing w:line="360" w:lineRule="auto"/>
        <w:ind w:firstLine="480" w:firstLineChars="200"/>
        <w:rPr>
          <w:rFonts w:hint="eastAsia" w:ascii="仿宋" w:hAnsi="仿宋" w:eastAsia="仿宋"/>
          <w:sz w:val="24"/>
          <w:szCs w:val="24"/>
        </w:rPr>
      </w:pPr>
    </w:p>
    <w:p w14:paraId="056FE710">
      <w:pPr>
        <w:pStyle w:val="17"/>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8581" w:type="dxa"/>
        <w:jc w:val="center"/>
        <w:tblLayout w:type="fixed"/>
        <w:tblCellMar>
          <w:top w:w="0" w:type="dxa"/>
          <w:left w:w="108" w:type="dxa"/>
          <w:bottom w:w="0" w:type="dxa"/>
          <w:right w:w="108" w:type="dxa"/>
        </w:tblCellMar>
      </w:tblPr>
      <w:tblGrid>
        <w:gridCol w:w="849"/>
        <w:gridCol w:w="1345"/>
        <w:gridCol w:w="680"/>
        <w:gridCol w:w="5707"/>
      </w:tblGrid>
      <w:tr w14:paraId="10E40D3B">
        <w:tblPrEx>
          <w:tblCellMar>
            <w:top w:w="0" w:type="dxa"/>
            <w:left w:w="108" w:type="dxa"/>
            <w:bottom w:w="0" w:type="dxa"/>
            <w:right w:w="108" w:type="dxa"/>
          </w:tblCellMar>
        </w:tblPrEx>
        <w:trPr>
          <w:trHeight w:val="660" w:hRule="atLeast"/>
          <w:jc w:val="center"/>
        </w:trPr>
        <w:tc>
          <w:tcPr>
            <w:tcW w:w="849" w:type="dxa"/>
            <w:tcBorders>
              <w:top w:val="single" w:color="auto" w:sz="4" w:space="0"/>
              <w:left w:val="single" w:color="auto" w:sz="4" w:space="0"/>
              <w:bottom w:val="single" w:color="auto" w:sz="4" w:space="0"/>
              <w:right w:val="single" w:color="auto" w:sz="4" w:space="0"/>
            </w:tcBorders>
            <w:noWrap w:val="0"/>
            <w:vAlign w:val="center"/>
          </w:tcPr>
          <w:p w14:paraId="574222E6">
            <w:pPr>
              <w:widowControl/>
              <w:jc w:val="center"/>
              <w:rPr>
                <w:rFonts w:hint="eastAsia" w:ascii="仿宋" w:hAnsi="仿宋" w:eastAsia="仿宋" w:cs="仿宋"/>
                <w:b/>
                <w:color w:val="auto"/>
                <w:kern w:val="0"/>
                <w:sz w:val="24"/>
                <w:szCs w:val="24"/>
                <w:highlight w:val="none"/>
              </w:rPr>
            </w:pPr>
            <w:bookmarkStart w:id="10" w:name="_Hlk144297932"/>
            <w:r>
              <w:rPr>
                <w:rFonts w:hint="eastAsia" w:ascii="仿宋" w:hAnsi="仿宋" w:eastAsia="仿宋" w:cs="仿宋"/>
                <w:b/>
                <w:color w:val="auto"/>
                <w:kern w:val="0"/>
                <w:sz w:val="24"/>
                <w:szCs w:val="24"/>
                <w:highlight w:val="none"/>
              </w:rPr>
              <w:t>序号</w:t>
            </w:r>
          </w:p>
        </w:tc>
        <w:tc>
          <w:tcPr>
            <w:tcW w:w="1345" w:type="dxa"/>
            <w:tcBorders>
              <w:top w:val="single" w:color="auto" w:sz="4" w:space="0"/>
              <w:left w:val="nil"/>
              <w:bottom w:val="single" w:color="auto" w:sz="4" w:space="0"/>
              <w:right w:val="single" w:color="auto" w:sz="4" w:space="0"/>
            </w:tcBorders>
            <w:noWrap w:val="0"/>
            <w:vAlign w:val="center"/>
          </w:tcPr>
          <w:p w14:paraId="338B9D70">
            <w:pPr>
              <w:widowControl/>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评审因素</w:t>
            </w:r>
          </w:p>
        </w:tc>
        <w:tc>
          <w:tcPr>
            <w:tcW w:w="680" w:type="dxa"/>
            <w:tcBorders>
              <w:top w:val="single" w:color="auto" w:sz="4" w:space="0"/>
              <w:left w:val="nil"/>
              <w:bottom w:val="single" w:color="auto" w:sz="4" w:space="0"/>
              <w:right w:val="single" w:color="auto" w:sz="4" w:space="0"/>
            </w:tcBorders>
            <w:noWrap w:val="0"/>
            <w:vAlign w:val="center"/>
          </w:tcPr>
          <w:p w14:paraId="019F090D">
            <w:pPr>
              <w:widowControl/>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分值</w:t>
            </w:r>
          </w:p>
        </w:tc>
        <w:tc>
          <w:tcPr>
            <w:tcW w:w="5707" w:type="dxa"/>
            <w:tcBorders>
              <w:top w:val="single" w:color="auto" w:sz="4" w:space="0"/>
              <w:left w:val="nil"/>
              <w:bottom w:val="single" w:color="auto" w:sz="4" w:space="0"/>
              <w:right w:val="single" w:color="auto" w:sz="4" w:space="0"/>
            </w:tcBorders>
            <w:noWrap w:val="0"/>
            <w:vAlign w:val="center"/>
          </w:tcPr>
          <w:p w14:paraId="78A88588">
            <w:pPr>
              <w:widowControl/>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评分标准</w:t>
            </w:r>
          </w:p>
        </w:tc>
      </w:tr>
      <w:tr w14:paraId="36E6BAC9">
        <w:tblPrEx>
          <w:tblCellMar>
            <w:top w:w="0" w:type="dxa"/>
            <w:left w:w="108" w:type="dxa"/>
            <w:bottom w:w="0" w:type="dxa"/>
            <w:right w:w="108" w:type="dxa"/>
          </w:tblCellMar>
        </w:tblPrEx>
        <w:trPr>
          <w:trHeight w:val="660" w:hRule="atLeast"/>
          <w:jc w:val="center"/>
        </w:trPr>
        <w:tc>
          <w:tcPr>
            <w:tcW w:w="849" w:type="dxa"/>
            <w:tcBorders>
              <w:top w:val="single" w:color="auto" w:sz="4" w:space="0"/>
              <w:left w:val="single" w:color="auto" w:sz="4" w:space="0"/>
              <w:bottom w:val="single" w:color="auto" w:sz="4" w:space="0"/>
              <w:right w:val="single" w:color="auto" w:sz="4" w:space="0"/>
            </w:tcBorders>
            <w:noWrap w:val="0"/>
            <w:vAlign w:val="center"/>
          </w:tcPr>
          <w:p w14:paraId="2CF3EBC6">
            <w:pPr>
              <w:widowControl/>
              <w:adjustRightInd w:val="0"/>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w:t>
            </w:r>
          </w:p>
        </w:tc>
        <w:tc>
          <w:tcPr>
            <w:tcW w:w="1345" w:type="dxa"/>
            <w:tcBorders>
              <w:top w:val="single" w:color="auto" w:sz="4" w:space="0"/>
              <w:left w:val="single" w:color="auto" w:sz="4" w:space="0"/>
              <w:bottom w:val="single" w:color="auto" w:sz="4" w:space="0"/>
              <w:right w:val="single" w:color="auto" w:sz="4" w:space="0"/>
            </w:tcBorders>
            <w:noWrap w:val="0"/>
            <w:vAlign w:val="center"/>
          </w:tcPr>
          <w:p w14:paraId="4120D79B">
            <w:pPr>
              <w:widowControl/>
              <w:adjustRightInd w:val="0"/>
              <w:snapToGrid w:val="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投标报价</w:t>
            </w:r>
          </w:p>
        </w:tc>
        <w:tc>
          <w:tcPr>
            <w:tcW w:w="680" w:type="dxa"/>
            <w:tcBorders>
              <w:top w:val="single" w:color="auto" w:sz="4" w:space="0"/>
              <w:left w:val="single" w:color="auto" w:sz="4" w:space="0"/>
              <w:bottom w:val="single" w:color="auto" w:sz="4" w:space="0"/>
              <w:right w:val="single" w:color="auto" w:sz="4" w:space="0"/>
            </w:tcBorders>
            <w:noWrap w:val="0"/>
            <w:vAlign w:val="center"/>
          </w:tcPr>
          <w:p w14:paraId="3CA1BE1B">
            <w:pPr>
              <w:widowControl/>
              <w:adjustRightInd w:val="0"/>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30</w:t>
            </w:r>
          </w:p>
        </w:tc>
        <w:tc>
          <w:tcPr>
            <w:tcW w:w="5707" w:type="dxa"/>
            <w:tcBorders>
              <w:top w:val="single" w:color="auto" w:sz="4" w:space="0"/>
              <w:left w:val="single" w:color="auto" w:sz="4" w:space="0"/>
              <w:bottom w:val="single" w:color="auto" w:sz="4" w:space="0"/>
              <w:right w:val="single" w:color="auto" w:sz="4" w:space="0"/>
            </w:tcBorders>
            <w:noWrap w:val="0"/>
            <w:vAlign w:val="center"/>
          </w:tcPr>
          <w:p w14:paraId="076CA98B">
            <w:pPr>
              <w:widowControl/>
              <w:adjustRightInd w:val="0"/>
              <w:snapToGrid w:val="0"/>
              <w:jc w:val="left"/>
              <w:rPr>
                <w:rFonts w:hint="eastAsia" w:ascii="仿宋" w:hAnsi="仿宋" w:eastAsia="仿宋" w:cs="仿宋"/>
                <w:color w:val="auto"/>
                <w:kern w:val="0"/>
                <w:sz w:val="24"/>
                <w:szCs w:val="24"/>
                <w:highlight w:val="none"/>
              </w:rPr>
            </w:pPr>
            <w:r>
              <w:rPr>
                <w:rFonts w:hint="eastAsia" w:ascii="仿宋" w:hAnsi="仿宋" w:eastAsia="仿宋" w:cs="宋体"/>
                <w:sz w:val="24"/>
                <w:szCs w:val="24"/>
                <w:highlight w:val="none"/>
              </w:rPr>
              <w:t>以经评委会一致认定满足招标文件要求且投标价格最低的投标报价为评标基准价，其价格得分计30分。其他投标人的价格得分统一按公式计算：报价得分=（评标基准价/投标报价）×价格权重。</w:t>
            </w:r>
          </w:p>
        </w:tc>
      </w:tr>
      <w:tr w14:paraId="006D4824">
        <w:tblPrEx>
          <w:tblCellMar>
            <w:top w:w="0" w:type="dxa"/>
            <w:left w:w="108" w:type="dxa"/>
            <w:bottom w:w="0" w:type="dxa"/>
            <w:right w:w="108" w:type="dxa"/>
          </w:tblCellMar>
        </w:tblPrEx>
        <w:trPr>
          <w:trHeight w:val="660" w:hRule="atLeast"/>
          <w:jc w:val="center"/>
        </w:trPr>
        <w:tc>
          <w:tcPr>
            <w:tcW w:w="849" w:type="dxa"/>
            <w:tcBorders>
              <w:top w:val="single" w:color="auto" w:sz="4" w:space="0"/>
              <w:left w:val="single" w:color="auto" w:sz="4" w:space="0"/>
              <w:bottom w:val="single" w:color="auto" w:sz="4" w:space="0"/>
              <w:right w:val="single" w:color="auto" w:sz="4" w:space="0"/>
            </w:tcBorders>
            <w:noWrap w:val="0"/>
            <w:vAlign w:val="center"/>
          </w:tcPr>
          <w:p w14:paraId="5633F156">
            <w:pPr>
              <w:widowControl/>
              <w:adjustRightInd w:val="0"/>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p>
        </w:tc>
        <w:tc>
          <w:tcPr>
            <w:tcW w:w="1345" w:type="dxa"/>
            <w:tcBorders>
              <w:top w:val="single" w:color="auto" w:sz="4" w:space="0"/>
              <w:left w:val="single" w:color="auto" w:sz="4" w:space="0"/>
              <w:bottom w:val="single" w:color="auto" w:sz="4" w:space="0"/>
              <w:right w:val="single" w:color="auto" w:sz="4" w:space="0"/>
            </w:tcBorders>
            <w:noWrap w:val="0"/>
            <w:vAlign w:val="center"/>
          </w:tcPr>
          <w:p w14:paraId="1CD4432F">
            <w:pPr>
              <w:widowControl/>
              <w:adjustRightInd w:val="0"/>
              <w:snapToGrid w:val="0"/>
              <w:jc w:val="left"/>
              <w:rPr>
                <w:rFonts w:hint="eastAsia" w:ascii="仿宋" w:hAnsi="仿宋" w:eastAsia="仿宋" w:cs="仿宋"/>
                <w:color w:val="auto"/>
                <w:kern w:val="0"/>
                <w:sz w:val="24"/>
                <w:szCs w:val="24"/>
                <w:highlight w:val="none"/>
              </w:rPr>
            </w:pPr>
            <w:r>
              <w:rPr>
                <w:rFonts w:hint="eastAsia" w:ascii="仿宋" w:hAnsi="仿宋" w:eastAsia="仿宋" w:cs="宋体"/>
                <w:color w:val="000000" w:themeColor="text1"/>
                <w:kern w:val="0"/>
                <w:sz w:val="24"/>
                <w:szCs w:val="24"/>
                <w:highlight w:val="none"/>
                <w14:textFill>
                  <w14:solidFill>
                    <w14:schemeClr w14:val="tx1"/>
                  </w14:solidFill>
                </w14:textFill>
              </w:rPr>
              <w:t>项目整体实施方案</w:t>
            </w:r>
          </w:p>
        </w:tc>
        <w:tc>
          <w:tcPr>
            <w:tcW w:w="680" w:type="dxa"/>
            <w:tcBorders>
              <w:top w:val="single" w:color="auto" w:sz="4" w:space="0"/>
              <w:left w:val="single" w:color="auto" w:sz="4" w:space="0"/>
              <w:bottom w:val="single" w:color="auto" w:sz="4" w:space="0"/>
              <w:right w:val="single" w:color="auto" w:sz="4" w:space="0"/>
            </w:tcBorders>
            <w:noWrap w:val="0"/>
            <w:vAlign w:val="center"/>
          </w:tcPr>
          <w:p w14:paraId="472C9444">
            <w:pPr>
              <w:widowControl/>
              <w:adjustRightInd w:val="0"/>
              <w:snapToGrid w:val="0"/>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w:t>
            </w:r>
          </w:p>
        </w:tc>
        <w:tc>
          <w:tcPr>
            <w:tcW w:w="5707" w:type="dxa"/>
            <w:tcBorders>
              <w:top w:val="single" w:color="auto" w:sz="4" w:space="0"/>
              <w:left w:val="single" w:color="auto" w:sz="4" w:space="0"/>
              <w:bottom w:val="single" w:color="auto" w:sz="4" w:space="0"/>
              <w:right w:val="single" w:color="auto" w:sz="4" w:space="0"/>
            </w:tcBorders>
            <w:noWrap w:val="0"/>
            <w:vAlign w:val="center"/>
          </w:tcPr>
          <w:p w14:paraId="05FCB522">
            <w:pPr>
              <w:adjustRightInd w:val="0"/>
              <w:snapToGrid w:val="0"/>
              <w:spacing w:line="276" w:lineRule="auto"/>
              <w:rPr>
                <w:rFonts w:ascii="仿宋" w:hAnsi="仿宋" w:eastAsia="仿宋" w:cs="宋体"/>
                <w:sz w:val="24"/>
                <w:szCs w:val="24"/>
                <w:highlight w:val="none"/>
              </w:rPr>
            </w:pPr>
            <w:r>
              <w:rPr>
                <w:rFonts w:hint="eastAsia" w:ascii="仿宋" w:hAnsi="仿宋" w:eastAsia="仿宋" w:cs="宋体"/>
                <w:sz w:val="24"/>
                <w:szCs w:val="24"/>
                <w:highlight w:val="none"/>
              </w:rPr>
              <w:t>供应商根据本项目实施特点及技术要求，结合学院情况制定实施方案</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rPr>
              <w:t>方案至少包括：①</w:t>
            </w:r>
            <w:r>
              <w:rPr>
                <w:rFonts w:hint="eastAsia" w:ascii="仿宋" w:hAnsi="仿宋" w:eastAsia="仿宋" w:cs="仿宋"/>
                <w:color w:val="auto"/>
                <w:kern w:val="0"/>
                <w:sz w:val="24"/>
                <w:szCs w:val="24"/>
                <w:highlight w:val="none"/>
              </w:rPr>
              <w:t>服务方案</w:t>
            </w:r>
            <w:r>
              <w:rPr>
                <w:rFonts w:hint="eastAsia" w:ascii="仿宋" w:hAnsi="仿宋" w:eastAsia="仿宋" w:cs="宋体"/>
                <w:sz w:val="24"/>
                <w:szCs w:val="24"/>
                <w:highlight w:val="none"/>
              </w:rPr>
              <w:t>；②</w:t>
            </w:r>
            <w:r>
              <w:rPr>
                <w:rFonts w:hint="eastAsia" w:ascii="仿宋" w:hAnsi="仿宋" w:eastAsia="仿宋" w:cs="仿宋"/>
                <w:color w:val="auto"/>
                <w:kern w:val="0"/>
                <w:sz w:val="24"/>
                <w:szCs w:val="24"/>
                <w:highlight w:val="none"/>
              </w:rPr>
              <w:t>工作进度安排</w:t>
            </w:r>
            <w:r>
              <w:rPr>
                <w:rFonts w:hint="eastAsia" w:ascii="仿宋" w:hAnsi="仿宋" w:eastAsia="仿宋" w:cs="宋体"/>
                <w:sz w:val="24"/>
                <w:szCs w:val="24"/>
                <w:highlight w:val="none"/>
              </w:rPr>
              <w:t>；③</w:t>
            </w:r>
            <w:r>
              <w:rPr>
                <w:rFonts w:hint="eastAsia" w:ascii="仿宋" w:hAnsi="仿宋" w:eastAsia="仿宋" w:cs="仿宋"/>
                <w:color w:val="auto"/>
                <w:kern w:val="0"/>
                <w:sz w:val="24"/>
                <w:szCs w:val="24"/>
                <w:highlight w:val="none"/>
              </w:rPr>
              <w:t>实施措施</w:t>
            </w:r>
            <w:r>
              <w:rPr>
                <w:rFonts w:hint="eastAsia" w:ascii="仿宋" w:hAnsi="仿宋" w:eastAsia="仿宋" w:cs="宋体"/>
                <w:sz w:val="24"/>
                <w:szCs w:val="24"/>
                <w:highlight w:val="none"/>
              </w:rPr>
              <w:t>；④</w:t>
            </w:r>
            <w:r>
              <w:rPr>
                <w:rFonts w:hint="eastAsia" w:ascii="仿宋" w:hAnsi="仿宋" w:eastAsia="仿宋" w:cs="仿宋"/>
                <w:color w:val="auto"/>
                <w:kern w:val="0"/>
                <w:sz w:val="24"/>
                <w:szCs w:val="24"/>
                <w:highlight w:val="none"/>
              </w:rPr>
              <w:t>人员投入</w:t>
            </w:r>
            <w:r>
              <w:rPr>
                <w:rFonts w:hint="eastAsia" w:ascii="仿宋" w:hAnsi="仿宋" w:eastAsia="仿宋" w:cs="宋体"/>
                <w:sz w:val="24"/>
                <w:szCs w:val="24"/>
                <w:highlight w:val="none"/>
              </w:rPr>
              <w:t>；⑤安全保障措施。</w:t>
            </w:r>
          </w:p>
          <w:p w14:paraId="7CC6F0A6">
            <w:pPr>
              <w:adjustRightInd w:val="0"/>
              <w:snapToGrid w:val="0"/>
              <w:spacing w:line="276" w:lineRule="auto"/>
              <w:rPr>
                <w:rFonts w:ascii="仿宋" w:hAnsi="仿宋" w:eastAsia="仿宋" w:cs="宋体"/>
                <w:sz w:val="24"/>
                <w:szCs w:val="24"/>
                <w:highlight w:val="none"/>
              </w:rPr>
            </w:pPr>
            <w:r>
              <w:rPr>
                <w:rFonts w:hint="eastAsia" w:ascii="仿宋" w:hAnsi="仿宋" w:eastAsia="仿宋" w:cs="宋体"/>
                <w:sz w:val="24"/>
                <w:szCs w:val="24"/>
                <w:highlight w:val="none"/>
              </w:rPr>
              <w:t>评审小组根据方案的完整性、合理性及操作性等进行评价，以上①~⑤条方案内容全面、科学合理的每条得</w:t>
            </w:r>
            <w:r>
              <w:rPr>
                <w:rFonts w:hint="eastAsia" w:ascii="仿宋" w:hAnsi="仿宋" w:eastAsia="仿宋" w:cs="宋体"/>
                <w:sz w:val="24"/>
                <w:szCs w:val="24"/>
                <w:highlight w:val="none"/>
                <w:lang w:val="en-US" w:eastAsia="zh-CN"/>
              </w:rPr>
              <w:t>5</w:t>
            </w:r>
            <w:r>
              <w:rPr>
                <w:rFonts w:hint="eastAsia" w:ascii="仿宋" w:hAnsi="仿宋" w:eastAsia="仿宋" w:cs="宋体"/>
                <w:sz w:val="24"/>
                <w:szCs w:val="24"/>
                <w:highlight w:val="none"/>
              </w:rPr>
              <w:t>分，方案较完整、能满足基本保障要求的每条得</w:t>
            </w:r>
            <w:r>
              <w:rPr>
                <w:rFonts w:hint="eastAsia" w:ascii="仿宋" w:hAnsi="仿宋" w:eastAsia="仿宋" w:cs="宋体"/>
                <w:sz w:val="24"/>
                <w:szCs w:val="24"/>
                <w:highlight w:val="none"/>
                <w:lang w:val="en-US" w:eastAsia="zh-CN"/>
              </w:rPr>
              <w:t>3</w:t>
            </w:r>
            <w:r>
              <w:rPr>
                <w:rFonts w:hint="eastAsia" w:ascii="仿宋" w:hAnsi="仿宋" w:eastAsia="仿宋" w:cs="宋体"/>
                <w:sz w:val="24"/>
                <w:szCs w:val="24"/>
                <w:highlight w:val="none"/>
              </w:rPr>
              <w:t>分，方案有缺失、操作性一般的得1分</w:t>
            </w:r>
            <w:r>
              <w:rPr>
                <w:rFonts w:hint="eastAsia" w:ascii="仿宋" w:hAnsi="仿宋" w:eastAsia="仿宋" w:cs="宋体"/>
                <w:sz w:val="24"/>
                <w:szCs w:val="24"/>
                <w:highlight w:val="none"/>
                <w:lang w:val="en-US" w:eastAsia="zh-CN"/>
              </w:rPr>
              <w:t>,</w:t>
            </w:r>
            <w:r>
              <w:rPr>
                <w:rFonts w:hint="eastAsia" w:ascii="仿宋" w:hAnsi="仿宋" w:eastAsia="仿宋" w:cs="宋体"/>
                <w:sz w:val="24"/>
                <w:szCs w:val="24"/>
                <w:highlight w:val="none"/>
              </w:rPr>
              <w:t>其它的不得分。</w:t>
            </w:r>
          </w:p>
          <w:p w14:paraId="4E6BFCBC">
            <w:pPr>
              <w:widowControl/>
              <w:adjustRightInd w:val="0"/>
              <w:snapToGrid w:val="0"/>
              <w:jc w:val="left"/>
              <w:rPr>
                <w:rFonts w:hint="eastAsia" w:ascii="仿宋" w:hAnsi="仿宋" w:eastAsia="仿宋" w:cs="仿宋"/>
                <w:color w:val="auto"/>
                <w:kern w:val="0"/>
                <w:sz w:val="24"/>
                <w:szCs w:val="24"/>
                <w:highlight w:val="none"/>
              </w:rPr>
            </w:pPr>
            <w:r>
              <w:rPr>
                <w:rFonts w:hint="eastAsia" w:ascii="仿宋" w:hAnsi="仿宋" w:eastAsia="仿宋" w:cs="宋体"/>
                <w:b/>
                <w:bCs/>
                <w:color w:val="000000" w:themeColor="text1"/>
                <w:kern w:val="0"/>
                <w:sz w:val="24"/>
                <w:szCs w:val="24"/>
                <w:highlight w:val="none"/>
                <w14:textFill>
                  <w14:solidFill>
                    <w14:schemeClr w14:val="tx1"/>
                  </w14:solidFill>
                </w14:textFill>
              </w:rPr>
              <w:t>【评审依据】：响应文件中提供项目整体实施方案，未提供不得分。</w:t>
            </w:r>
          </w:p>
        </w:tc>
      </w:tr>
      <w:tr w14:paraId="703A517C">
        <w:tblPrEx>
          <w:tblCellMar>
            <w:top w:w="0" w:type="dxa"/>
            <w:left w:w="108" w:type="dxa"/>
            <w:bottom w:w="0" w:type="dxa"/>
            <w:right w:w="108" w:type="dxa"/>
          </w:tblCellMar>
        </w:tblPrEx>
        <w:trPr>
          <w:trHeight w:val="660" w:hRule="atLeast"/>
          <w:jc w:val="center"/>
        </w:trPr>
        <w:tc>
          <w:tcPr>
            <w:tcW w:w="849" w:type="dxa"/>
            <w:tcBorders>
              <w:top w:val="single" w:color="auto" w:sz="4" w:space="0"/>
              <w:left w:val="single" w:color="auto" w:sz="4" w:space="0"/>
              <w:bottom w:val="single" w:color="auto" w:sz="4" w:space="0"/>
              <w:right w:val="single" w:color="auto" w:sz="4" w:space="0"/>
            </w:tcBorders>
            <w:noWrap w:val="0"/>
            <w:vAlign w:val="center"/>
          </w:tcPr>
          <w:p w14:paraId="2A585AE0">
            <w:pPr>
              <w:widowControl/>
              <w:adjustRightInd w:val="0"/>
              <w:snapToGrid w:val="0"/>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p>
        </w:tc>
        <w:tc>
          <w:tcPr>
            <w:tcW w:w="13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AD8FAF">
            <w:pPr>
              <w:widowControl/>
              <w:adjustRightInd w:val="0"/>
              <w:snapToGrid w:val="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sz w:val="24"/>
                <w:szCs w:val="24"/>
                <w:highlight w:val="none"/>
                <w:lang w:val="en-US" w:eastAsia="zh-CN"/>
              </w:rPr>
              <w:t>项目效果</w:t>
            </w:r>
            <w:r>
              <w:rPr>
                <w:rFonts w:hint="eastAsia" w:ascii="仿宋" w:hAnsi="仿宋" w:eastAsia="仿宋" w:cs="仿宋"/>
                <w:sz w:val="24"/>
                <w:szCs w:val="24"/>
                <w:highlight w:val="none"/>
              </w:rPr>
              <w:t>设计方案</w:t>
            </w:r>
          </w:p>
        </w:tc>
        <w:tc>
          <w:tcPr>
            <w:tcW w:w="6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B234E4">
            <w:pPr>
              <w:widowControl/>
              <w:adjustRightInd w:val="0"/>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w:t>
            </w:r>
          </w:p>
        </w:tc>
        <w:tc>
          <w:tcPr>
            <w:tcW w:w="57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856DB3">
            <w:pPr>
              <w:pStyle w:val="15"/>
              <w:keepNext w:val="0"/>
              <w:keepLines w:val="0"/>
              <w:widowControl/>
              <w:suppressLineNumbers w:val="0"/>
              <w:spacing w:before="0" w:beforeAutospacing="0" w:after="0" w:afterAutospacing="0"/>
              <w:ind w:left="0" w:right="0"/>
              <w:jc w:val="both"/>
              <w:rPr>
                <w:color w:val="000000" w:themeColor="text1"/>
                <w:highlight w:val="none"/>
                <w14:textFill>
                  <w14:solidFill>
                    <w14:schemeClr w14:val="tx1"/>
                  </w14:solidFill>
                </w14:textFill>
              </w:rPr>
            </w:pPr>
            <w:r>
              <w:rPr>
                <w:rFonts w:hint="eastAsia" w:ascii="仿宋" w:hAnsi="仿宋" w:eastAsia="仿宋" w:cs="仿宋"/>
                <w:kern w:val="0"/>
                <w:sz w:val="24"/>
                <w:szCs w:val="24"/>
                <w:highlight w:val="none"/>
              </w:rPr>
              <w:t>根据</w:t>
            </w:r>
            <w:r>
              <w:rPr>
                <w:rFonts w:hint="eastAsia" w:ascii="仿宋" w:hAnsi="仿宋" w:eastAsia="仿宋" w:cs="仿宋"/>
                <w:kern w:val="0"/>
                <w:sz w:val="24"/>
                <w:szCs w:val="24"/>
                <w:highlight w:val="none"/>
                <w:lang w:val="en-US" w:eastAsia="zh-CN"/>
              </w:rPr>
              <w:t>供应商</w:t>
            </w:r>
            <w:r>
              <w:rPr>
                <w:rFonts w:hint="eastAsia" w:ascii="仿宋" w:hAnsi="仿宋" w:eastAsia="仿宋" w:cs="仿宋"/>
                <w:kern w:val="0"/>
                <w:sz w:val="24"/>
                <w:szCs w:val="24"/>
                <w:highlight w:val="none"/>
              </w:rPr>
              <w:t>针对本项目需求提供的设计方案</w:t>
            </w:r>
            <w:r>
              <w:rPr>
                <w:rFonts w:hint="eastAsia" w:ascii="仿宋" w:hAnsi="仿宋" w:eastAsia="仿宋" w:cs="仿宋"/>
                <w:kern w:val="0"/>
                <w:sz w:val="24"/>
                <w:szCs w:val="24"/>
                <w:highlight w:val="none"/>
                <w:lang w:val="en-US" w:eastAsia="zh-CN"/>
              </w:rPr>
              <w:t>,</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包括</w:t>
            </w:r>
            <w:r>
              <w:rPr>
                <w:rFonts w:hint="eastAsia" w:ascii="仿宋" w:hAnsi="仿宋" w:eastAsia="仿宋" w:cs="仿宋"/>
                <w:kern w:val="0"/>
                <w:sz w:val="24"/>
                <w:szCs w:val="24"/>
                <w:highlight w:val="none"/>
                <w:lang w:val="en-US" w:eastAsia="zh-CN"/>
              </w:rPr>
              <w:t>平面设计方案</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3d创意效果渲染设计方案</w:t>
            </w:r>
            <w:r>
              <w:rPr>
                <w:rFonts w:hint="eastAsia" w:ascii="仿宋" w:hAnsi="仿宋" w:eastAsia="仿宋" w:cs="仿宋"/>
                <w:kern w:val="0"/>
                <w:sz w:val="24"/>
                <w:szCs w:val="24"/>
                <w:highlight w:val="none"/>
              </w:rPr>
              <w:t>等内容进行综合评</w:t>
            </w:r>
            <w:r>
              <w:rPr>
                <w:rFonts w:hint="eastAsia" w:ascii="仿宋" w:hAnsi="仿宋" w:eastAsia="仿宋" w:cs="仿宋"/>
                <w:kern w:val="0"/>
                <w:sz w:val="24"/>
                <w:szCs w:val="24"/>
                <w:highlight w:val="none"/>
                <w:lang w:val="en-US" w:eastAsia="zh-CN"/>
              </w:rPr>
              <w:t>分</w:t>
            </w:r>
            <w:r>
              <w:rPr>
                <w:rFonts w:hint="eastAsia" w:ascii="仿宋" w:hAnsi="仿宋" w:eastAsia="仿宋" w:cs="仿宋"/>
                <w:kern w:val="0"/>
                <w:sz w:val="24"/>
                <w:szCs w:val="24"/>
                <w:highlight w:val="none"/>
              </w:rPr>
              <w:t>，</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方案</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内容</w:t>
            </w:r>
            <w:r>
              <w:rPr>
                <w:rFonts w:hint="eastAsia" w:ascii="仿宋" w:hAnsi="仿宋" w:eastAsia="仿宋" w:cs="仿宋"/>
                <w:kern w:val="0"/>
                <w:sz w:val="24"/>
                <w:szCs w:val="24"/>
                <w:highlight w:val="none"/>
              </w:rPr>
              <w:t>明晰合理、</w:t>
            </w:r>
            <w:r>
              <w:rPr>
                <w:rFonts w:hint="eastAsia" w:ascii="仿宋" w:hAnsi="仿宋" w:eastAsia="仿宋" w:cs="仿宋"/>
                <w:kern w:val="0"/>
                <w:sz w:val="24"/>
                <w:szCs w:val="24"/>
                <w:highlight w:val="none"/>
                <w:lang w:val="en-US" w:eastAsia="zh-CN"/>
              </w:rPr>
              <w:t>可实施度高</w:t>
            </w:r>
            <w:r>
              <w:rPr>
                <w:rFonts w:hint="eastAsia" w:ascii="仿宋" w:hAnsi="仿宋" w:eastAsia="仿宋" w:cs="仿宋"/>
                <w:kern w:val="0"/>
                <w:sz w:val="24"/>
                <w:szCs w:val="24"/>
                <w:highlight w:val="none"/>
              </w:rPr>
              <w:t>、实用</w:t>
            </w:r>
            <w:r>
              <w:rPr>
                <w:rFonts w:hint="eastAsia" w:ascii="仿宋" w:hAnsi="仿宋" w:eastAsia="仿宋" w:cs="仿宋"/>
                <w:kern w:val="0"/>
                <w:sz w:val="24"/>
                <w:szCs w:val="24"/>
                <w:highlight w:val="none"/>
                <w:lang w:val="en-US" w:eastAsia="zh-CN"/>
              </w:rPr>
              <w:t>性强等</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能完全</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符合学校要求</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的计</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2</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0分</w:t>
            </w:r>
            <w:r>
              <w:rPr>
                <w:rFonts w:hint="eastAsia" w:ascii="仿宋" w:hAnsi="仿宋" w:eastAsia="仿宋" w:cs="仿宋"/>
                <w:b w:val="0"/>
                <w:bCs w:val="0"/>
                <w:i w:val="0"/>
                <w:iCs w:val="0"/>
                <w:color w:val="000000" w:themeColor="text1"/>
                <w:spacing w:val="0"/>
                <w:w w:val="100"/>
                <w:sz w:val="24"/>
                <w:szCs w:val="24"/>
                <w:highlight w:val="none"/>
                <w:vertAlign w:val="baseline"/>
                <w:lang w:eastAsia="zh-CN"/>
                <w14:textFill>
                  <w14:solidFill>
                    <w14:schemeClr w14:val="tx1"/>
                  </w14:solidFill>
                </w14:textFill>
              </w:rPr>
              <w:t>；</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方案</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基本符合的</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计</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10</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分；</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方案不合理且不满足学校需求</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的不计分。</w:t>
            </w:r>
          </w:p>
          <w:p w14:paraId="203D845D">
            <w:pPr>
              <w:jc w:val="left"/>
              <w:rPr>
                <w:rFonts w:hint="eastAsia" w:ascii="仿宋" w:hAnsi="仿宋" w:eastAsia="仿宋" w:cs="仿宋"/>
                <w:sz w:val="24"/>
                <w:szCs w:val="24"/>
                <w:highlight w:val="none"/>
                <w:lang w:val="en-US" w:eastAsia="zh-CN"/>
              </w:rPr>
            </w:pPr>
            <w:r>
              <w:rPr>
                <w:rFonts w:hint="eastAsia" w:ascii="仿宋" w:hAnsi="仿宋" w:eastAsia="仿宋" w:cs="宋体"/>
                <w:b/>
                <w:bCs/>
                <w:sz w:val="24"/>
                <w:szCs w:val="24"/>
                <w:highlight w:val="none"/>
              </w:rPr>
              <w:t>本项满分20分。未提供不得分。</w:t>
            </w:r>
          </w:p>
        </w:tc>
      </w:tr>
      <w:tr w14:paraId="175AE651">
        <w:tblPrEx>
          <w:tblCellMar>
            <w:top w:w="0" w:type="dxa"/>
            <w:left w:w="108" w:type="dxa"/>
            <w:bottom w:w="0" w:type="dxa"/>
            <w:right w:w="108" w:type="dxa"/>
          </w:tblCellMar>
        </w:tblPrEx>
        <w:trPr>
          <w:trHeight w:val="1382" w:hRule="atLeast"/>
          <w:jc w:val="center"/>
        </w:trPr>
        <w:tc>
          <w:tcPr>
            <w:tcW w:w="849" w:type="dxa"/>
            <w:tcBorders>
              <w:top w:val="nil"/>
              <w:left w:val="single" w:color="auto" w:sz="4" w:space="0"/>
              <w:bottom w:val="single" w:color="auto" w:sz="4" w:space="0"/>
              <w:right w:val="single" w:color="auto" w:sz="4" w:space="0"/>
            </w:tcBorders>
            <w:noWrap w:val="0"/>
            <w:vAlign w:val="center"/>
          </w:tcPr>
          <w:p w14:paraId="47869E95">
            <w:pPr>
              <w:widowControl/>
              <w:adjustRightInd w:val="0"/>
              <w:snapToGrid w:val="0"/>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4</w:t>
            </w:r>
          </w:p>
        </w:tc>
        <w:tc>
          <w:tcPr>
            <w:tcW w:w="1345" w:type="dxa"/>
            <w:tcBorders>
              <w:top w:val="nil"/>
              <w:left w:val="nil"/>
              <w:bottom w:val="single" w:color="auto" w:sz="4" w:space="0"/>
              <w:right w:val="single" w:color="auto" w:sz="4" w:space="0"/>
            </w:tcBorders>
            <w:noWrap w:val="0"/>
            <w:vAlign w:val="center"/>
          </w:tcPr>
          <w:p w14:paraId="057505A4">
            <w:pPr>
              <w:widowControl/>
              <w:adjustRightInd w:val="0"/>
              <w:snapToGrid w:val="0"/>
              <w:jc w:val="left"/>
              <w:rPr>
                <w:rFonts w:hint="eastAsia" w:ascii="仿宋" w:hAnsi="仿宋" w:eastAsia="仿宋" w:cs="仿宋"/>
                <w:color w:val="auto"/>
                <w:kern w:val="0"/>
                <w:sz w:val="24"/>
                <w:szCs w:val="24"/>
                <w:highlight w:val="none"/>
              </w:rPr>
            </w:pPr>
            <w:r>
              <w:rPr>
                <w:rFonts w:hint="eastAsia" w:ascii="仿宋" w:hAnsi="仿宋" w:eastAsia="仿宋" w:cs="宋体"/>
                <w:sz w:val="24"/>
                <w:szCs w:val="24"/>
                <w:highlight w:val="none"/>
              </w:rPr>
              <w:t>公司业绩</w:t>
            </w:r>
          </w:p>
        </w:tc>
        <w:tc>
          <w:tcPr>
            <w:tcW w:w="680" w:type="dxa"/>
            <w:tcBorders>
              <w:top w:val="nil"/>
              <w:left w:val="nil"/>
              <w:bottom w:val="single" w:color="auto" w:sz="4" w:space="0"/>
              <w:right w:val="single" w:color="auto" w:sz="4" w:space="0"/>
            </w:tcBorders>
            <w:noWrap w:val="0"/>
            <w:vAlign w:val="center"/>
          </w:tcPr>
          <w:p w14:paraId="4C50E5F0">
            <w:pPr>
              <w:widowControl/>
              <w:adjustRightInd w:val="0"/>
              <w:snapToGrid w:val="0"/>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5707" w:type="dxa"/>
            <w:tcBorders>
              <w:top w:val="nil"/>
              <w:left w:val="nil"/>
              <w:bottom w:val="single" w:color="auto" w:sz="4" w:space="0"/>
              <w:right w:val="single" w:color="auto" w:sz="4" w:space="0"/>
            </w:tcBorders>
            <w:noWrap w:val="0"/>
            <w:vAlign w:val="center"/>
          </w:tcPr>
          <w:p w14:paraId="63B5D462">
            <w:pPr>
              <w:rPr>
                <w:rFonts w:hint="eastAsia" w:ascii="仿宋" w:hAnsi="仿宋" w:eastAsia="仿宋" w:cs="宋体"/>
                <w:color w:val="000000" w:themeColor="text1"/>
                <w:sz w:val="24"/>
                <w:szCs w:val="24"/>
                <w:highlight w:val="none"/>
                <w14:textFill>
                  <w14:solidFill>
                    <w14:schemeClr w14:val="tx1"/>
                  </w14:solidFill>
                </w14:textFill>
              </w:rPr>
            </w:pPr>
            <w:r>
              <w:rPr>
                <w:rFonts w:hint="eastAsia" w:ascii="仿宋" w:hAnsi="仿宋" w:eastAsia="仿宋" w:cs="宋体"/>
                <w:color w:val="000000" w:themeColor="text1"/>
                <w:sz w:val="24"/>
                <w:szCs w:val="24"/>
                <w:highlight w:val="none"/>
                <w14:textFill>
                  <w14:solidFill>
                    <w14:schemeClr w14:val="tx1"/>
                  </w14:solidFill>
                </w14:textFill>
              </w:rPr>
              <w:t>供应商提供自202</w:t>
            </w:r>
            <w:r>
              <w:rPr>
                <w:rFonts w:hint="eastAsia" w:ascii="仿宋" w:hAnsi="仿宋" w:eastAsia="仿宋" w:cs="宋体"/>
                <w:color w:val="000000" w:themeColor="text1"/>
                <w:sz w:val="24"/>
                <w:szCs w:val="24"/>
                <w:highlight w:val="none"/>
                <w:lang w:val="en-US" w:eastAsia="zh-CN"/>
                <w14:textFill>
                  <w14:solidFill>
                    <w14:schemeClr w14:val="tx1"/>
                  </w14:solidFill>
                </w14:textFill>
              </w:rPr>
              <w:t>2</w:t>
            </w:r>
            <w:r>
              <w:rPr>
                <w:rFonts w:hint="eastAsia" w:ascii="仿宋" w:hAnsi="仿宋" w:eastAsia="仿宋" w:cs="宋体"/>
                <w:color w:val="000000" w:themeColor="text1"/>
                <w:sz w:val="24"/>
                <w:szCs w:val="24"/>
                <w:highlight w:val="none"/>
                <w14:textFill>
                  <w14:solidFill>
                    <w14:schemeClr w14:val="tx1"/>
                  </w14:solidFill>
                </w14:textFill>
              </w:rPr>
              <w:t>年1月至本项目响应文件递交截止时间（以合同签订日期为准）承担过类似的项目业绩，每提供1个得</w:t>
            </w:r>
            <w:r>
              <w:rPr>
                <w:rFonts w:hint="eastAsia" w:ascii="仿宋" w:hAnsi="仿宋" w:eastAsia="仿宋" w:cs="宋体"/>
                <w:color w:val="000000" w:themeColor="text1"/>
                <w:sz w:val="24"/>
                <w:szCs w:val="24"/>
                <w:highlight w:val="none"/>
                <w:lang w:val="en-US" w:eastAsia="zh-CN"/>
                <w14:textFill>
                  <w14:solidFill>
                    <w14:schemeClr w14:val="tx1"/>
                  </w14:solidFill>
                </w14:textFill>
              </w:rPr>
              <w:t>5</w:t>
            </w:r>
            <w:r>
              <w:rPr>
                <w:rFonts w:hint="eastAsia" w:ascii="仿宋" w:hAnsi="仿宋" w:eastAsia="仿宋" w:cs="宋体"/>
                <w:color w:val="000000" w:themeColor="text1"/>
                <w:sz w:val="24"/>
                <w:szCs w:val="24"/>
                <w:highlight w:val="none"/>
                <w14:textFill>
                  <w14:solidFill>
                    <w14:schemeClr w14:val="tx1"/>
                  </w14:solidFill>
                </w14:textFill>
              </w:rPr>
              <w:t>分，最高</w:t>
            </w:r>
            <w:r>
              <w:rPr>
                <w:rFonts w:hint="eastAsia" w:ascii="仿宋" w:hAnsi="仿宋" w:eastAsia="仿宋" w:cs="宋体"/>
                <w:color w:val="000000" w:themeColor="text1"/>
                <w:sz w:val="24"/>
                <w:szCs w:val="24"/>
                <w:highlight w:val="none"/>
                <w:lang w:val="en-US" w:eastAsia="zh-CN"/>
                <w14:textFill>
                  <w14:solidFill>
                    <w14:schemeClr w14:val="tx1"/>
                  </w14:solidFill>
                </w14:textFill>
              </w:rPr>
              <w:t>15</w:t>
            </w:r>
            <w:r>
              <w:rPr>
                <w:rFonts w:hint="eastAsia" w:ascii="仿宋" w:hAnsi="仿宋" w:eastAsia="仿宋" w:cs="宋体"/>
                <w:color w:val="000000" w:themeColor="text1"/>
                <w:sz w:val="24"/>
                <w:szCs w:val="24"/>
                <w:highlight w:val="none"/>
                <w14:textFill>
                  <w14:solidFill>
                    <w14:schemeClr w14:val="tx1"/>
                  </w14:solidFill>
                </w14:textFill>
              </w:rPr>
              <w:t>分。</w:t>
            </w:r>
          </w:p>
          <w:p w14:paraId="4E3601D4">
            <w:pPr>
              <w:jc w:val="left"/>
              <w:rPr>
                <w:rFonts w:hint="eastAsia" w:ascii="仿宋" w:hAnsi="仿宋" w:eastAsia="仿宋" w:cs="宋体"/>
                <w:color w:val="000000" w:themeColor="text1"/>
                <w:sz w:val="24"/>
                <w:szCs w:val="24"/>
                <w:highlight w:val="none"/>
                <w14:textFill>
                  <w14:solidFill>
                    <w14:schemeClr w14:val="tx1"/>
                  </w14:solidFill>
                </w14:textFill>
              </w:rPr>
            </w:pPr>
            <w:r>
              <w:rPr>
                <w:rFonts w:hint="eastAsia" w:ascii="仿宋" w:hAnsi="仿宋" w:eastAsia="仿宋" w:cs="宋体"/>
                <w:b/>
                <w:bCs/>
                <w:color w:val="000000" w:themeColor="text1"/>
                <w:sz w:val="24"/>
                <w:szCs w:val="24"/>
                <w:highlight w:val="none"/>
                <w14:textFill>
                  <w14:solidFill>
                    <w14:schemeClr w14:val="tx1"/>
                  </w14:solidFill>
                </w14:textFill>
              </w:rPr>
              <w:t>本项满分</w:t>
            </w:r>
            <w:r>
              <w:rPr>
                <w:rFonts w:hint="eastAsia" w:ascii="仿宋" w:hAnsi="仿宋" w:eastAsia="仿宋" w:cs="宋体"/>
                <w:b/>
                <w:bCs/>
                <w:color w:val="000000" w:themeColor="text1"/>
                <w:sz w:val="24"/>
                <w:szCs w:val="24"/>
                <w:highlight w:val="none"/>
                <w:lang w:val="en-US" w:eastAsia="zh-CN"/>
                <w14:textFill>
                  <w14:solidFill>
                    <w14:schemeClr w14:val="tx1"/>
                  </w14:solidFill>
                </w14:textFill>
              </w:rPr>
              <w:t>15</w:t>
            </w:r>
            <w:r>
              <w:rPr>
                <w:rFonts w:hint="eastAsia" w:ascii="仿宋" w:hAnsi="仿宋" w:eastAsia="仿宋" w:cs="宋体"/>
                <w:b/>
                <w:bCs/>
                <w:color w:val="000000" w:themeColor="text1"/>
                <w:sz w:val="24"/>
                <w:szCs w:val="24"/>
                <w:highlight w:val="none"/>
                <w14:textFill>
                  <w14:solidFill>
                    <w14:schemeClr w14:val="tx1"/>
                  </w14:solidFill>
                </w14:textFill>
              </w:rPr>
              <w:t>分。</w:t>
            </w:r>
          </w:p>
          <w:p w14:paraId="3A64236C">
            <w:pPr>
              <w:widowControl/>
              <w:numPr>
                <w:ilvl w:val="0"/>
                <w:numId w:val="0"/>
              </w:numPr>
              <w:adjustRightInd w:val="0"/>
              <w:snapToGrid w:val="0"/>
              <w:jc w:val="left"/>
              <w:rPr>
                <w:rFonts w:hint="eastAsia" w:ascii="仿宋" w:hAnsi="仿宋" w:eastAsia="仿宋" w:cs="仿宋"/>
                <w:color w:val="auto"/>
                <w:kern w:val="0"/>
                <w:sz w:val="24"/>
                <w:szCs w:val="24"/>
                <w:highlight w:val="none"/>
              </w:rPr>
            </w:pPr>
            <w:r>
              <w:rPr>
                <w:rFonts w:hint="eastAsia" w:ascii="仿宋" w:hAnsi="仿宋" w:eastAsia="仿宋" w:cs="宋体"/>
                <w:b/>
                <w:bCs/>
                <w:color w:val="000000" w:themeColor="text1"/>
                <w:sz w:val="24"/>
                <w:szCs w:val="24"/>
                <w:highlight w:val="none"/>
                <w14:textFill>
                  <w14:solidFill>
                    <w14:schemeClr w14:val="tx1"/>
                  </w14:solidFill>
                </w14:textFill>
              </w:rPr>
              <w:t>【评审依据】：响应文件中提供合同复印件并加盖供应商公章。（合同复印件需提供合同首页、标的或内容所在页、签字盖章页）同一单位不重复计分。</w:t>
            </w:r>
          </w:p>
        </w:tc>
      </w:tr>
      <w:tr w14:paraId="225F7B22">
        <w:tblPrEx>
          <w:tblCellMar>
            <w:top w:w="0" w:type="dxa"/>
            <w:left w:w="108" w:type="dxa"/>
            <w:bottom w:w="0" w:type="dxa"/>
            <w:right w:w="108" w:type="dxa"/>
          </w:tblCellMar>
        </w:tblPrEx>
        <w:trPr>
          <w:trHeight w:val="660" w:hRule="atLeast"/>
          <w:jc w:val="center"/>
        </w:trPr>
        <w:tc>
          <w:tcPr>
            <w:tcW w:w="849" w:type="dxa"/>
            <w:tcBorders>
              <w:top w:val="nil"/>
              <w:left w:val="single" w:color="auto" w:sz="4" w:space="0"/>
              <w:bottom w:val="single" w:color="auto" w:sz="4" w:space="0"/>
              <w:right w:val="single" w:color="auto" w:sz="4" w:space="0"/>
            </w:tcBorders>
            <w:noWrap w:val="0"/>
            <w:vAlign w:val="center"/>
          </w:tcPr>
          <w:p w14:paraId="1DADEFC8">
            <w:pPr>
              <w:widowControl/>
              <w:adjustRightInd w:val="0"/>
              <w:snapToGrid w:val="0"/>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w:t>
            </w:r>
          </w:p>
        </w:tc>
        <w:tc>
          <w:tcPr>
            <w:tcW w:w="1345" w:type="dxa"/>
            <w:tcBorders>
              <w:top w:val="nil"/>
              <w:left w:val="nil"/>
              <w:bottom w:val="single" w:color="auto" w:sz="4" w:space="0"/>
              <w:right w:val="single" w:color="auto" w:sz="4" w:space="0"/>
            </w:tcBorders>
            <w:noWrap w:val="0"/>
            <w:vAlign w:val="center"/>
          </w:tcPr>
          <w:p w14:paraId="484870B5">
            <w:pPr>
              <w:widowControl/>
              <w:adjustRightInd w:val="0"/>
              <w:snapToGrid w:val="0"/>
              <w:jc w:val="left"/>
              <w:rPr>
                <w:rFonts w:hint="eastAsia" w:ascii="仿宋" w:hAnsi="仿宋" w:eastAsia="仿宋" w:cs="仿宋"/>
                <w:color w:val="auto"/>
                <w:kern w:val="0"/>
                <w:sz w:val="24"/>
                <w:szCs w:val="24"/>
                <w:highlight w:val="none"/>
              </w:rPr>
            </w:pPr>
            <w:r>
              <w:rPr>
                <w:rFonts w:hint="eastAsia" w:ascii="仿宋" w:hAnsi="仿宋" w:eastAsia="仿宋" w:cs="宋体"/>
                <w:kern w:val="2"/>
                <w:sz w:val="24"/>
                <w:szCs w:val="24"/>
                <w:highlight w:val="none"/>
                <w:lang w:val="en-US" w:eastAsia="zh-CN" w:bidi="ar-SA"/>
              </w:rPr>
              <w:t>售后服务</w:t>
            </w:r>
          </w:p>
        </w:tc>
        <w:tc>
          <w:tcPr>
            <w:tcW w:w="680" w:type="dxa"/>
            <w:tcBorders>
              <w:top w:val="nil"/>
              <w:left w:val="nil"/>
              <w:bottom w:val="single" w:color="auto" w:sz="4" w:space="0"/>
              <w:right w:val="single" w:color="auto" w:sz="4" w:space="0"/>
            </w:tcBorders>
            <w:noWrap w:val="0"/>
            <w:vAlign w:val="center"/>
          </w:tcPr>
          <w:p w14:paraId="3A2A6EAB">
            <w:pPr>
              <w:widowControl/>
              <w:adjustRightInd w:val="0"/>
              <w:snapToGrid w:val="0"/>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5707" w:type="dxa"/>
            <w:tcBorders>
              <w:top w:val="nil"/>
              <w:left w:val="nil"/>
              <w:bottom w:val="single" w:color="auto" w:sz="4" w:space="0"/>
              <w:right w:val="single" w:color="auto" w:sz="4" w:space="0"/>
            </w:tcBorders>
            <w:noWrap w:val="0"/>
            <w:vAlign w:val="center"/>
          </w:tcPr>
          <w:p w14:paraId="7A48A1EF">
            <w:pPr>
              <w:pStyle w:val="15"/>
              <w:keepNext w:val="0"/>
              <w:keepLines w:val="0"/>
              <w:widowControl/>
              <w:suppressLineNumbers w:val="0"/>
              <w:spacing w:before="0" w:beforeAutospacing="0" w:after="0" w:afterAutospacing="0"/>
              <w:ind w:left="0" w:right="0"/>
              <w:jc w:val="both"/>
              <w:rPr>
                <w:color w:val="000000" w:themeColor="text1"/>
                <w:highlight w:val="none"/>
                <w14:textFill>
                  <w14:solidFill>
                    <w14:schemeClr w14:val="tx1"/>
                  </w14:solidFill>
                </w14:textFill>
              </w:rPr>
            </w:pP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根据供应商针对本项目拟定的售后服务方案，包括售后</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团队</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人员联系方式、售后响应时间、</w:t>
            </w:r>
            <w:r>
              <w:rPr>
                <w:rFonts w:hint="eastAsia" w:ascii="仿宋" w:hAnsi="仿宋" w:eastAsia="仿宋" w:cs="仿宋"/>
                <w:color w:val="auto"/>
                <w:kern w:val="0"/>
                <w:sz w:val="24"/>
                <w:szCs w:val="24"/>
                <w:highlight w:val="none"/>
                <w:lang w:val="en-US" w:eastAsia="zh-CN"/>
              </w:rPr>
              <w:t>维护保养措施、</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退换货方式等方案进行评分，方案内容详细科学、能完全响应售后要求的计</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1</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0分；方案基本完整、响应及时的计</w:t>
            </w:r>
            <w:r>
              <w:rPr>
                <w:rFonts w:hint="eastAsia" w:ascii="仿宋" w:hAnsi="仿宋" w:eastAsia="仿宋" w:cs="仿宋"/>
                <w:b w:val="0"/>
                <w:bCs w:val="0"/>
                <w:i w:val="0"/>
                <w:iCs w:val="0"/>
                <w:color w:val="000000" w:themeColor="text1"/>
                <w:spacing w:val="0"/>
                <w:w w:val="100"/>
                <w:sz w:val="24"/>
                <w:szCs w:val="24"/>
                <w:highlight w:val="none"/>
                <w:vertAlign w:val="baseline"/>
                <w:lang w:val="en-US" w:eastAsia="zh-CN"/>
                <w14:textFill>
                  <w14:solidFill>
                    <w14:schemeClr w14:val="tx1"/>
                  </w14:solidFill>
                </w14:textFill>
              </w:rPr>
              <w:t>5</w:t>
            </w:r>
            <w:r>
              <w:rPr>
                <w:rFonts w:hint="eastAsia" w:ascii="仿宋" w:hAnsi="仿宋" w:eastAsia="仿宋" w:cs="仿宋"/>
                <w:b w:val="0"/>
                <w:bCs w:val="0"/>
                <w:i w:val="0"/>
                <w:iCs w:val="0"/>
                <w:color w:val="000000" w:themeColor="text1"/>
                <w:spacing w:val="0"/>
                <w:w w:val="100"/>
                <w:sz w:val="24"/>
                <w:szCs w:val="24"/>
                <w:highlight w:val="none"/>
                <w:vertAlign w:val="baseline"/>
                <w14:textFill>
                  <w14:solidFill>
                    <w14:schemeClr w14:val="tx1"/>
                  </w14:solidFill>
                </w14:textFill>
              </w:rPr>
              <w:t>分；响应不及时或没提供售后服务方案的不计分。</w:t>
            </w:r>
          </w:p>
          <w:p w14:paraId="04C41FE5">
            <w:pPr>
              <w:widowControl/>
              <w:numPr>
                <w:ilvl w:val="0"/>
                <w:numId w:val="0"/>
              </w:numPr>
              <w:adjustRightInd w:val="0"/>
              <w:snapToGrid w:val="0"/>
              <w:jc w:val="left"/>
              <w:rPr>
                <w:rFonts w:hint="eastAsia" w:ascii="仿宋" w:hAnsi="仿宋" w:eastAsia="仿宋" w:cs="仿宋"/>
                <w:color w:val="auto"/>
                <w:kern w:val="0"/>
                <w:sz w:val="24"/>
                <w:szCs w:val="24"/>
                <w:highlight w:val="none"/>
              </w:rPr>
            </w:pPr>
            <w:r>
              <w:rPr>
                <w:rFonts w:hint="eastAsia" w:ascii="仿宋" w:hAnsi="仿宋" w:eastAsia="仿宋" w:cs="仿宋"/>
                <w:b/>
                <w:bCs/>
                <w:i w:val="0"/>
                <w:iCs w:val="0"/>
                <w:color w:val="000000" w:themeColor="text1"/>
                <w:spacing w:val="0"/>
                <w:w w:val="100"/>
                <w:sz w:val="24"/>
                <w:szCs w:val="24"/>
                <w:highlight w:val="none"/>
                <w:vertAlign w:val="baseline"/>
                <w14:textFill>
                  <w14:solidFill>
                    <w14:schemeClr w14:val="tx1"/>
                  </w14:solidFill>
                </w14:textFill>
              </w:rPr>
              <w:t>本项满分</w:t>
            </w:r>
            <w:r>
              <w:rPr>
                <w:rFonts w:hint="eastAsia" w:ascii="仿宋" w:hAnsi="仿宋" w:eastAsia="仿宋" w:cs="仿宋"/>
                <w:b/>
                <w:bCs/>
                <w:i w:val="0"/>
                <w:iCs w:val="0"/>
                <w:color w:val="000000" w:themeColor="text1"/>
                <w:spacing w:val="0"/>
                <w:w w:val="100"/>
                <w:sz w:val="24"/>
                <w:szCs w:val="24"/>
                <w:highlight w:val="none"/>
                <w:vertAlign w:val="baseline"/>
                <w:lang w:val="en-US" w:eastAsia="zh-CN"/>
                <w14:textFill>
                  <w14:solidFill>
                    <w14:schemeClr w14:val="tx1"/>
                  </w14:solidFill>
                </w14:textFill>
              </w:rPr>
              <w:t>10</w:t>
            </w:r>
            <w:r>
              <w:rPr>
                <w:rFonts w:hint="eastAsia" w:ascii="仿宋" w:hAnsi="仿宋" w:eastAsia="仿宋" w:cs="仿宋"/>
                <w:b/>
                <w:bCs/>
                <w:i w:val="0"/>
                <w:iCs w:val="0"/>
                <w:color w:val="000000" w:themeColor="text1"/>
                <w:spacing w:val="0"/>
                <w:w w:val="100"/>
                <w:sz w:val="24"/>
                <w:szCs w:val="24"/>
                <w:highlight w:val="none"/>
                <w:vertAlign w:val="baseline"/>
                <w14:textFill>
                  <w14:solidFill>
                    <w14:schemeClr w14:val="tx1"/>
                  </w14:solidFill>
                </w14:textFill>
              </w:rPr>
              <w:t>分。</w:t>
            </w:r>
          </w:p>
        </w:tc>
      </w:tr>
      <w:bookmarkEnd w:id="10"/>
    </w:tbl>
    <w:p w14:paraId="3F6DB943">
      <w:pPr>
        <w:rPr>
          <w:rFonts w:hint="eastAsia" w:eastAsia="宋体"/>
          <w:lang w:eastAsia="zh-CN"/>
        </w:rPr>
      </w:pPr>
    </w:p>
    <w:p w14:paraId="7ED75657">
      <w:pPr>
        <w:rPr>
          <w:rFonts w:hint="eastAsia"/>
        </w:rPr>
      </w:pPr>
    </w:p>
    <w:p w14:paraId="450018AE"/>
    <w:p w14:paraId="5077E8EB">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7"/>
        <w:ind w:left="0" w:leftChars="0" w:firstLine="0"/>
      </w:pPr>
    </w:p>
    <w:p w14:paraId="05D83AFF">
      <w:pPr>
        <w:pStyle w:val="17"/>
        <w:ind w:left="0" w:leftChars="0" w:firstLine="0"/>
        <w:jc w:val="center"/>
        <w:rPr>
          <w:rFonts w:hint="eastAsia" w:ascii="宋体" w:hAnsi="宋体" w:eastAsia="仿宋" w:cs="宋体"/>
          <w:b/>
          <w:color w:val="333333"/>
          <w:kern w:val="0"/>
          <w:sz w:val="36"/>
          <w:szCs w:val="36"/>
        </w:rPr>
      </w:pPr>
    </w:p>
    <w:p w14:paraId="4DFEE8F5">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1"/>
        <w:adjustRightInd w:val="0"/>
        <w:snapToGrid w:val="0"/>
        <w:spacing w:line="360" w:lineRule="auto"/>
        <w:rPr>
          <w:rFonts w:hint="eastAsia" w:ascii="仿宋_GB2312" w:hAnsi="宋体" w:eastAsia="仿宋_GB2312"/>
          <w:b/>
        </w:rPr>
      </w:pPr>
    </w:p>
    <w:p w14:paraId="495F3925">
      <w:pPr>
        <w:pStyle w:val="11"/>
        <w:adjustRightInd w:val="0"/>
        <w:snapToGrid w:val="0"/>
        <w:spacing w:line="360" w:lineRule="auto"/>
        <w:rPr>
          <w:rFonts w:hint="eastAsia" w:ascii="仿宋_GB2312" w:hAnsi="宋体" w:eastAsia="仿宋_GB2312"/>
          <w:b/>
        </w:rPr>
      </w:pPr>
    </w:p>
    <w:p w14:paraId="002BFB56">
      <w:pPr>
        <w:pStyle w:val="11"/>
        <w:adjustRightInd w:val="0"/>
        <w:snapToGrid w:val="0"/>
        <w:spacing w:line="360" w:lineRule="auto"/>
        <w:rPr>
          <w:rFonts w:hint="eastAsia" w:ascii="仿宋_GB2312" w:hAnsi="宋体" w:eastAsia="仿宋_GB2312"/>
          <w:b/>
        </w:rPr>
      </w:pPr>
    </w:p>
    <w:p w14:paraId="3BA2FD4C">
      <w:pPr>
        <w:pStyle w:val="11"/>
        <w:adjustRightInd w:val="0"/>
        <w:snapToGrid w:val="0"/>
        <w:spacing w:line="360" w:lineRule="auto"/>
        <w:rPr>
          <w:rFonts w:hint="eastAsia" w:ascii="仿宋_GB2312" w:hAnsi="宋体" w:eastAsia="仿宋_GB2312"/>
          <w:b/>
        </w:rPr>
      </w:pPr>
    </w:p>
    <w:p w14:paraId="5C02B142">
      <w:pPr>
        <w:pStyle w:val="11"/>
        <w:adjustRightInd w:val="0"/>
        <w:snapToGrid w:val="0"/>
        <w:spacing w:line="360" w:lineRule="auto"/>
        <w:rPr>
          <w:rFonts w:hint="eastAsia" w:ascii="仿宋_GB2312" w:hAnsi="宋体" w:eastAsia="仿宋_GB2312"/>
          <w:b/>
        </w:rPr>
      </w:pPr>
    </w:p>
    <w:p w14:paraId="625771E2">
      <w:pPr>
        <w:pStyle w:val="11"/>
        <w:adjustRightInd w:val="0"/>
        <w:snapToGrid w:val="0"/>
        <w:spacing w:line="360" w:lineRule="auto"/>
        <w:rPr>
          <w:rFonts w:hint="eastAsia" w:ascii="仿宋_GB2312" w:hAnsi="宋体" w:eastAsia="仿宋_GB2312"/>
          <w:b/>
        </w:rPr>
      </w:pPr>
    </w:p>
    <w:p w14:paraId="4396E67A">
      <w:pPr>
        <w:pStyle w:val="11"/>
        <w:adjustRightInd w:val="0"/>
        <w:snapToGrid w:val="0"/>
        <w:spacing w:line="360" w:lineRule="auto"/>
        <w:rPr>
          <w:rFonts w:hint="eastAsia" w:ascii="仿宋_GB2312" w:hAnsi="宋体" w:eastAsia="仿宋_GB2312"/>
          <w:b/>
        </w:rPr>
      </w:pPr>
    </w:p>
    <w:p w14:paraId="33EE1F5B">
      <w:pPr>
        <w:pStyle w:val="11"/>
        <w:adjustRightInd w:val="0"/>
        <w:snapToGrid w:val="0"/>
        <w:spacing w:line="360" w:lineRule="auto"/>
        <w:rPr>
          <w:rFonts w:hint="eastAsia" w:ascii="仿宋_GB2312" w:hAnsi="宋体" w:eastAsia="仿宋_GB2312"/>
          <w:b/>
        </w:rPr>
      </w:pPr>
    </w:p>
    <w:p w14:paraId="0B93D9E9">
      <w:pPr>
        <w:pStyle w:val="11"/>
        <w:adjustRightInd w:val="0"/>
        <w:snapToGrid w:val="0"/>
        <w:spacing w:line="360" w:lineRule="auto"/>
        <w:rPr>
          <w:rFonts w:hint="eastAsia" w:ascii="仿宋_GB2312" w:hAnsi="宋体" w:eastAsia="仿宋_GB2312"/>
          <w:b/>
        </w:rPr>
      </w:pPr>
    </w:p>
    <w:p w14:paraId="467668B0">
      <w:pPr>
        <w:pStyle w:val="11"/>
        <w:adjustRightInd w:val="0"/>
        <w:snapToGrid w:val="0"/>
        <w:spacing w:line="360" w:lineRule="auto"/>
        <w:rPr>
          <w:rFonts w:hint="eastAsia" w:ascii="仿宋_GB2312" w:hAnsi="宋体" w:eastAsia="仿宋_GB2312"/>
          <w:b/>
        </w:rPr>
      </w:pPr>
    </w:p>
    <w:p w14:paraId="6BA60C6A">
      <w:pPr>
        <w:pStyle w:val="11"/>
        <w:adjustRightInd w:val="0"/>
        <w:snapToGrid w:val="0"/>
        <w:spacing w:line="360" w:lineRule="auto"/>
        <w:rPr>
          <w:rFonts w:hint="eastAsia" w:ascii="仿宋_GB2312" w:hAnsi="宋体" w:eastAsia="仿宋_GB2312"/>
          <w:b/>
        </w:rPr>
      </w:pPr>
    </w:p>
    <w:p w14:paraId="2611FFD7">
      <w:pPr>
        <w:pStyle w:val="11"/>
        <w:adjustRightInd w:val="0"/>
        <w:snapToGrid w:val="0"/>
        <w:spacing w:line="360" w:lineRule="auto"/>
        <w:rPr>
          <w:rFonts w:hint="eastAsia" w:ascii="仿宋_GB2312" w:hAnsi="宋体" w:eastAsia="仿宋_GB2312"/>
          <w:b/>
        </w:rPr>
      </w:pPr>
    </w:p>
    <w:p w14:paraId="65ABA0A3">
      <w:pPr>
        <w:pStyle w:val="11"/>
        <w:adjustRightInd w:val="0"/>
        <w:snapToGrid w:val="0"/>
        <w:spacing w:line="360" w:lineRule="auto"/>
        <w:rPr>
          <w:rFonts w:ascii="仿宋" w:hAnsi="仿宋" w:eastAsia="仿宋"/>
          <w:b/>
          <w:sz w:val="24"/>
          <w:szCs w:val="24"/>
        </w:rPr>
      </w:pPr>
    </w:p>
    <w:p w14:paraId="1DB4E74C">
      <w:pPr>
        <w:pStyle w:val="11"/>
        <w:adjustRightInd w:val="0"/>
        <w:snapToGrid w:val="0"/>
        <w:spacing w:line="360" w:lineRule="auto"/>
        <w:rPr>
          <w:rFonts w:ascii="仿宋" w:hAnsi="仿宋" w:eastAsia="仿宋"/>
          <w:b/>
          <w:sz w:val="24"/>
          <w:szCs w:val="24"/>
        </w:rPr>
      </w:pPr>
    </w:p>
    <w:p w14:paraId="258ABCCA">
      <w:pPr>
        <w:pStyle w:val="11"/>
        <w:adjustRightInd w:val="0"/>
        <w:snapToGrid w:val="0"/>
        <w:spacing w:line="360" w:lineRule="auto"/>
        <w:rPr>
          <w:rFonts w:ascii="仿宋" w:hAnsi="仿宋" w:eastAsia="仿宋"/>
          <w:b/>
          <w:sz w:val="24"/>
          <w:szCs w:val="24"/>
        </w:rPr>
      </w:pPr>
    </w:p>
    <w:p w14:paraId="0D71289F">
      <w:pPr>
        <w:pStyle w:val="11"/>
        <w:adjustRightInd w:val="0"/>
        <w:snapToGrid w:val="0"/>
        <w:spacing w:line="360" w:lineRule="auto"/>
        <w:rPr>
          <w:rFonts w:ascii="仿宋" w:hAnsi="仿宋" w:eastAsia="仿宋"/>
          <w:b/>
          <w:sz w:val="24"/>
          <w:szCs w:val="24"/>
        </w:rPr>
      </w:pPr>
    </w:p>
    <w:p w14:paraId="1339305E">
      <w:pPr>
        <w:pStyle w:val="11"/>
        <w:adjustRightInd w:val="0"/>
        <w:snapToGrid w:val="0"/>
        <w:spacing w:line="360" w:lineRule="auto"/>
        <w:rPr>
          <w:rFonts w:ascii="仿宋" w:hAnsi="仿宋" w:eastAsia="仿宋"/>
          <w:b/>
          <w:sz w:val="24"/>
          <w:szCs w:val="24"/>
        </w:rPr>
      </w:pPr>
    </w:p>
    <w:p w14:paraId="7DA8C30E">
      <w:pPr>
        <w:pStyle w:val="11"/>
        <w:adjustRightInd w:val="0"/>
        <w:snapToGrid w:val="0"/>
        <w:spacing w:line="360" w:lineRule="auto"/>
        <w:rPr>
          <w:rFonts w:ascii="仿宋" w:hAnsi="仿宋" w:eastAsia="仿宋"/>
          <w:b/>
          <w:sz w:val="24"/>
          <w:szCs w:val="24"/>
        </w:rPr>
      </w:pPr>
    </w:p>
    <w:p w14:paraId="047D1DBA">
      <w:pPr>
        <w:pStyle w:val="11"/>
        <w:adjustRightInd w:val="0"/>
        <w:snapToGrid w:val="0"/>
        <w:spacing w:line="360" w:lineRule="auto"/>
        <w:rPr>
          <w:rFonts w:ascii="仿宋" w:hAnsi="仿宋" w:eastAsia="仿宋"/>
          <w:b/>
          <w:sz w:val="24"/>
          <w:szCs w:val="24"/>
        </w:rPr>
      </w:pPr>
    </w:p>
    <w:p w14:paraId="1FF4442E">
      <w:pPr>
        <w:pStyle w:val="11"/>
        <w:adjustRightInd w:val="0"/>
        <w:snapToGrid w:val="0"/>
        <w:spacing w:line="360" w:lineRule="auto"/>
        <w:rPr>
          <w:rFonts w:ascii="仿宋" w:hAnsi="仿宋" w:eastAsia="仿宋"/>
          <w:b/>
          <w:sz w:val="24"/>
          <w:szCs w:val="24"/>
        </w:rPr>
      </w:pPr>
    </w:p>
    <w:p w14:paraId="2D411146">
      <w:pPr>
        <w:pStyle w:val="11"/>
        <w:adjustRightInd w:val="0"/>
        <w:snapToGrid w:val="0"/>
        <w:spacing w:line="360" w:lineRule="auto"/>
        <w:rPr>
          <w:rFonts w:ascii="仿宋" w:hAnsi="仿宋" w:eastAsia="仿宋"/>
          <w:b/>
          <w:sz w:val="24"/>
          <w:szCs w:val="24"/>
        </w:rPr>
      </w:pPr>
    </w:p>
    <w:p w14:paraId="4FF5251B">
      <w:pPr>
        <w:pStyle w:val="11"/>
        <w:adjustRightInd w:val="0"/>
        <w:snapToGrid w:val="0"/>
        <w:spacing w:line="360" w:lineRule="auto"/>
        <w:rPr>
          <w:rFonts w:ascii="仿宋" w:hAnsi="仿宋" w:eastAsia="仿宋"/>
          <w:b/>
          <w:sz w:val="24"/>
          <w:szCs w:val="24"/>
        </w:rPr>
      </w:pPr>
    </w:p>
    <w:p w14:paraId="60EAB430">
      <w:pPr>
        <w:pStyle w:val="11"/>
        <w:adjustRightInd w:val="0"/>
        <w:snapToGrid w:val="0"/>
        <w:spacing w:line="360" w:lineRule="auto"/>
        <w:rPr>
          <w:rFonts w:ascii="仿宋" w:hAnsi="仿宋" w:eastAsia="仿宋"/>
          <w:b/>
          <w:sz w:val="24"/>
          <w:szCs w:val="24"/>
        </w:rPr>
      </w:pPr>
    </w:p>
    <w:p w14:paraId="7CB99591">
      <w:pPr>
        <w:pStyle w:val="11"/>
        <w:adjustRightInd w:val="0"/>
        <w:snapToGrid w:val="0"/>
        <w:spacing w:line="360" w:lineRule="auto"/>
        <w:rPr>
          <w:rFonts w:ascii="仿宋" w:hAnsi="仿宋" w:eastAsia="仿宋"/>
          <w:b/>
          <w:sz w:val="24"/>
          <w:szCs w:val="24"/>
        </w:rPr>
      </w:pP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hint="eastAsia" w:ascii="仿宋" w:hAnsi="仿宋" w:eastAsia="仿宋"/>
          <w:sz w:val="24"/>
          <w:szCs w:val="24"/>
        </w:rPr>
      </w:pP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7"/>
      </w:pPr>
    </w:p>
    <w:p w14:paraId="10CB8852"/>
    <w:p w14:paraId="7F870902"/>
    <w:p w14:paraId="78DBABB8">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7"/>
        <w:rPr>
          <w:rFonts w:hint="eastAsia" w:ascii="仿宋" w:hAnsi="仿宋" w:eastAsia="仿宋"/>
        </w:rPr>
      </w:pPr>
    </w:p>
    <w:p w14:paraId="5550980C">
      <w:pPr>
        <w:pStyle w:val="17"/>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2"/>
      </w:rPr>
    </w:pPr>
    <w:r>
      <w:fldChar w:fldCharType="begin"/>
    </w:r>
    <w:r>
      <w:rPr>
        <w:rStyle w:val="22"/>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23A23F6"/>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2F370D19"/>
    <w:rsid w:val="3163566D"/>
    <w:rsid w:val="31D8203D"/>
    <w:rsid w:val="31FA2FC3"/>
    <w:rsid w:val="3248523C"/>
    <w:rsid w:val="353327D7"/>
    <w:rsid w:val="35A3072E"/>
    <w:rsid w:val="35BA60CE"/>
    <w:rsid w:val="38CA49CD"/>
    <w:rsid w:val="39D54C2E"/>
    <w:rsid w:val="3A0E17C9"/>
    <w:rsid w:val="3A731769"/>
    <w:rsid w:val="3B3140E6"/>
    <w:rsid w:val="3B8763FC"/>
    <w:rsid w:val="3C0E61D6"/>
    <w:rsid w:val="3D912B45"/>
    <w:rsid w:val="3DC92B7D"/>
    <w:rsid w:val="3E7013C9"/>
    <w:rsid w:val="3F2D1069"/>
    <w:rsid w:val="404D79B1"/>
    <w:rsid w:val="40CF23D7"/>
    <w:rsid w:val="411058C0"/>
    <w:rsid w:val="413277CA"/>
    <w:rsid w:val="41A31919"/>
    <w:rsid w:val="42507548"/>
    <w:rsid w:val="43695475"/>
    <w:rsid w:val="43E240D0"/>
    <w:rsid w:val="457F75CA"/>
    <w:rsid w:val="471A6376"/>
    <w:rsid w:val="495E1E55"/>
    <w:rsid w:val="4A6C57DD"/>
    <w:rsid w:val="4A842484"/>
    <w:rsid w:val="4ACE4B79"/>
    <w:rsid w:val="4ADA413D"/>
    <w:rsid w:val="4B2921A0"/>
    <w:rsid w:val="4C811ECE"/>
    <w:rsid w:val="4C8E75EA"/>
    <w:rsid w:val="4CB879E2"/>
    <w:rsid w:val="4CD64AED"/>
    <w:rsid w:val="4DEA6AA2"/>
    <w:rsid w:val="4DF74D1B"/>
    <w:rsid w:val="505E5526"/>
    <w:rsid w:val="50C025FA"/>
    <w:rsid w:val="51CA3B38"/>
    <w:rsid w:val="53425821"/>
    <w:rsid w:val="540D119A"/>
    <w:rsid w:val="543D7D43"/>
    <w:rsid w:val="54413194"/>
    <w:rsid w:val="554E608A"/>
    <w:rsid w:val="56047805"/>
    <w:rsid w:val="56D36709"/>
    <w:rsid w:val="56EB5013"/>
    <w:rsid w:val="57A557E8"/>
    <w:rsid w:val="57DD4F82"/>
    <w:rsid w:val="59337A15"/>
    <w:rsid w:val="5A865DA5"/>
    <w:rsid w:val="5B3B1FAA"/>
    <w:rsid w:val="5BEE021E"/>
    <w:rsid w:val="5BF22FC6"/>
    <w:rsid w:val="5C0B00E5"/>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7C96E79"/>
    <w:rsid w:val="78401AE9"/>
    <w:rsid w:val="7B4E5EDA"/>
    <w:rsid w:val="7BEB3862"/>
    <w:rsid w:val="7C7B7C1A"/>
    <w:rsid w:val="7D210FAE"/>
    <w:rsid w:val="7D2708CA"/>
    <w:rsid w:val="7DE95B7F"/>
    <w:rsid w:val="7DF64DA9"/>
    <w:rsid w:val="7E151C77"/>
    <w:rsid w:val="7E8B3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9"/>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5">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5"/>
    <w:semiHidden/>
    <w:unhideWhenUsed/>
    <w:qFormat/>
    <w:uiPriority w:val="99"/>
    <w:rPr>
      <w:rFonts w:ascii="宋体"/>
      <w:sz w:val="18"/>
      <w:szCs w:val="18"/>
    </w:rPr>
  </w:style>
  <w:style w:type="paragraph" w:styleId="8">
    <w:name w:val="Body Text"/>
    <w:basedOn w:val="1"/>
    <w:next w:val="1"/>
    <w:link w:val="37"/>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41"/>
    <w:qFormat/>
    <w:uiPriority w:val="99"/>
    <w:pPr>
      <w:spacing w:after="120" w:line="480" w:lineRule="auto"/>
      <w:ind w:left="420" w:leftChars="200"/>
    </w:pPr>
    <w:rPr>
      <w:kern w:val="0"/>
      <w:sz w:val="24"/>
    </w:rPr>
  </w:style>
  <w:style w:type="paragraph" w:styleId="11">
    <w:name w:val="Plain Text"/>
    <w:basedOn w:val="1"/>
    <w:link w:val="30"/>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semiHidden/>
    <w:unhideWhenUsed/>
    <w:qFormat/>
    <w:uiPriority w:val="99"/>
    <w:rPr>
      <w:sz w:val="24"/>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9"/>
    <w:next w:val="1"/>
    <w:unhideWhenUsed/>
    <w:qFormat/>
    <w:uiPriority w:val="99"/>
    <w:pPr>
      <w:spacing w:before="100" w:beforeAutospacing="1"/>
      <w:ind w:firstLine="420"/>
    </w:pPr>
    <w:rPr>
      <w:szCs w:val="21"/>
    </w:rPr>
  </w:style>
  <w:style w:type="table" w:styleId="19">
    <w:name w:val="Table Grid"/>
    <w:basedOn w:val="1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page number"/>
    <w:basedOn w:val="20"/>
    <w:qFormat/>
    <w:uiPriority w:val="0"/>
  </w:style>
  <w:style w:type="character" w:customStyle="1" w:styleId="23">
    <w:name w:val="页眉 字符"/>
    <w:basedOn w:val="20"/>
    <w:link w:val="14"/>
    <w:qFormat/>
    <w:uiPriority w:val="0"/>
    <w:rPr>
      <w:rFonts w:ascii="Calibri" w:hAnsi="Calibri" w:eastAsia="宋体" w:cs="Times New Roman"/>
      <w:sz w:val="18"/>
      <w:szCs w:val="18"/>
    </w:rPr>
  </w:style>
  <w:style w:type="character" w:customStyle="1" w:styleId="24">
    <w:name w:val="页脚 字符"/>
    <w:basedOn w:val="20"/>
    <w:link w:val="13"/>
    <w:qFormat/>
    <w:uiPriority w:val="99"/>
    <w:rPr>
      <w:rFonts w:ascii="Calibri" w:hAnsi="Calibri" w:eastAsia="宋体" w:cs="Times New Roman"/>
      <w:sz w:val="18"/>
      <w:szCs w:val="18"/>
    </w:rPr>
  </w:style>
  <w:style w:type="character" w:customStyle="1" w:styleId="25">
    <w:name w:val="文档结构图 字符"/>
    <w:basedOn w:val="20"/>
    <w:link w:val="7"/>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字符"/>
    <w:basedOn w:val="20"/>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标题 1 字符"/>
    <w:basedOn w:val="20"/>
    <w:link w:val="2"/>
    <w:qFormat/>
    <w:uiPriority w:val="0"/>
    <w:rPr>
      <w:rFonts w:ascii="Cambria" w:hAnsi="Cambria" w:eastAsia="华文中宋" w:cs="Times New Roman"/>
      <w:b/>
      <w:bCs/>
      <w:sz w:val="44"/>
      <w:szCs w:val="28"/>
    </w:rPr>
  </w:style>
  <w:style w:type="character" w:customStyle="1" w:styleId="30">
    <w:name w:val="纯文本 字符"/>
    <w:link w:val="11"/>
    <w:qFormat/>
    <w:locked/>
    <w:uiPriority w:val="0"/>
    <w:rPr>
      <w:rFonts w:ascii="宋体" w:hAnsi="Courier New"/>
      <w:sz w:val="21"/>
    </w:rPr>
  </w:style>
  <w:style w:type="character" w:customStyle="1" w:styleId="31">
    <w:name w:val="纯文本 Char"/>
    <w:basedOn w:val="20"/>
    <w:semiHidden/>
    <w:qFormat/>
    <w:uiPriority w:val="99"/>
    <w:rPr>
      <w:rFonts w:ascii="宋体" w:hAnsi="Courier New" w:cs="Courier New"/>
      <w:kern w:val="2"/>
      <w:sz w:val="21"/>
      <w:szCs w:val="21"/>
    </w:rPr>
  </w:style>
  <w:style w:type="character" w:customStyle="1" w:styleId="32">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字符"/>
    <w:basedOn w:val="20"/>
    <w:link w:val="5"/>
    <w:qFormat/>
    <w:uiPriority w:val="9"/>
    <w:rPr>
      <w:rFonts w:asciiTheme="majorHAnsi" w:hAnsiTheme="majorHAnsi" w:eastAsiaTheme="majorEastAsia" w:cstheme="majorBidi"/>
      <w:b/>
      <w:bCs/>
      <w:kern w:val="2"/>
      <w:sz w:val="24"/>
      <w:szCs w:val="24"/>
    </w:rPr>
  </w:style>
  <w:style w:type="character" w:customStyle="1" w:styleId="37">
    <w:name w:val="正文文本 字符"/>
    <w:basedOn w:val="20"/>
    <w:link w:val="8"/>
    <w:qFormat/>
    <w:uiPriority w:val="0"/>
    <w:rPr>
      <w:kern w:val="2"/>
      <w:sz w:val="21"/>
      <w:szCs w:val="24"/>
    </w:rPr>
  </w:style>
  <w:style w:type="paragraph" w:styleId="38">
    <w:name w:val="List Paragraph"/>
    <w:basedOn w:val="1"/>
    <w:qFormat/>
    <w:uiPriority w:val="34"/>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字符"/>
    <w:link w:val="10"/>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4338</Words>
  <Characters>4534</Characters>
  <Lines>31</Lines>
  <Paragraphs>9</Paragraphs>
  <TotalTime>2</TotalTime>
  <ScaleCrop>false</ScaleCrop>
  <LinksUpToDate>false</LinksUpToDate>
  <CharactersWithSpaces>5136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2026-01-21T07:07:54Z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8770A1CD8E9C4B5A94C825C3FB535165_13</vt:lpwstr>
  </property>
  <property fmtid="{D5CDD505-2E9C-101B-9397-08002B2CF9AE}" pid="4" name="KSOTemplateDocerSaveRecord">
    <vt:lpwstr>eyJoZGlkIjoiYTRiYjI2YjMwMjViZGJhMzczYzliNzFmZmYyNGE2NDkiLCJ1c2VySWQiOiI0OTQ3NjU2MzMifQ==</vt:lpwstr>
  </property>
</Properties>
</file>