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ascii="仿宋_GB2312" w:hAnsi="华文中宋" w:eastAsia="仿宋_GB2312"/>
          <w:b/>
          <w:sz w:val="84"/>
          <w:szCs w:val="84"/>
        </w:rPr>
      </w:pPr>
    </w:p>
    <w:p w14:paraId="01FFE299">
      <w:pPr>
        <w:pStyle w:val="11"/>
        <w:jc w:val="center"/>
        <w:rPr>
          <w:rFonts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11"/>
        <w:adjustRightInd w:val="0"/>
        <w:snapToGrid w:val="0"/>
        <w:spacing w:line="360" w:lineRule="auto"/>
        <w:ind w:left="846" w:leftChars="403" w:firstLine="157" w:firstLineChars="49"/>
        <w:rPr>
          <w:rFonts w:ascii="黑体" w:hAnsi="黑体" w:eastAsia="黑体"/>
          <w:b/>
          <w:sz w:val="32"/>
          <w:szCs w:val="32"/>
        </w:rPr>
      </w:pPr>
    </w:p>
    <w:p w14:paraId="1D8F80E4">
      <w:pPr>
        <w:pStyle w:val="11"/>
        <w:adjustRightInd w:val="0"/>
        <w:snapToGrid w:val="0"/>
        <w:spacing w:line="360" w:lineRule="auto"/>
        <w:ind w:left="846" w:leftChars="403" w:firstLine="157" w:firstLineChars="49"/>
        <w:rPr>
          <w:rFonts w:ascii="黑体" w:hAnsi="黑体" w:eastAsia="黑体"/>
          <w:b/>
          <w:sz w:val="32"/>
          <w:szCs w:val="32"/>
        </w:rPr>
      </w:pPr>
    </w:p>
    <w:p w14:paraId="072F8CF6">
      <w:pPr>
        <w:pStyle w:val="11"/>
        <w:adjustRightInd w:val="0"/>
        <w:snapToGrid w:val="0"/>
        <w:spacing w:line="360" w:lineRule="auto"/>
        <w:ind w:left="846" w:leftChars="403" w:firstLine="157" w:firstLineChars="49"/>
        <w:rPr>
          <w:rFonts w:ascii="黑体" w:hAnsi="黑体" w:eastAsia="黑体"/>
          <w:b/>
          <w:sz w:val="32"/>
          <w:szCs w:val="32"/>
        </w:rPr>
      </w:pPr>
    </w:p>
    <w:p w14:paraId="6505A8CE">
      <w:pPr>
        <w:pStyle w:val="11"/>
        <w:adjustRightInd w:val="0"/>
        <w:snapToGrid w:val="0"/>
        <w:spacing w:line="360" w:lineRule="auto"/>
        <w:ind w:left="846" w:leftChars="403" w:firstLine="157" w:firstLineChars="49"/>
        <w:rPr>
          <w:rFonts w:ascii="黑体" w:hAnsi="黑体" w:eastAsia="黑体"/>
          <w:b/>
          <w:sz w:val="32"/>
          <w:szCs w:val="32"/>
        </w:rPr>
      </w:pPr>
    </w:p>
    <w:p w14:paraId="1DD4CC30">
      <w:pPr>
        <w:pStyle w:val="11"/>
        <w:adjustRightInd w:val="0"/>
        <w:snapToGrid w:val="0"/>
        <w:spacing w:line="360" w:lineRule="auto"/>
        <w:ind w:left="846" w:leftChars="403" w:firstLine="157" w:firstLineChars="49"/>
        <w:rPr>
          <w:rFonts w:ascii="黑体" w:hAnsi="黑体" w:eastAsia="黑体"/>
          <w:b/>
          <w:sz w:val="32"/>
          <w:szCs w:val="32"/>
        </w:rPr>
      </w:pPr>
    </w:p>
    <w:p w14:paraId="6E018500">
      <w:pPr>
        <w:ind w:firstLine="320" w:firstLineChars="100"/>
        <w:jc w:val="both"/>
        <w:rPr>
          <w:rFonts w:ascii="黑体" w:hAnsi="黑体" w:eastAsia="黑体"/>
          <w:kern w:val="0"/>
          <w:sz w:val="32"/>
          <w:szCs w:val="32"/>
        </w:rPr>
      </w:pPr>
      <w:r>
        <w:rPr>
          <w:rFonts w:ascii="黑体" w:hAnsi="黑体" w:eastAsia="黑体"/>
          <w:sz w:val="32"/>
          <w:szCs w:val="32"/>
        </w:rPr>
        <w:t>采购项目名称：</w:t>
      </w:r>
      <w:r>
        <w:rPr>
          <w:rFonts w:hint="eastAsia" w:ascii="黑体" w:hAnsi="黑体" w:eastAsia="黑体" w:cs="Times New Roman"/>
          <w:kern w:val="0"/>
          <w:sz w:val="32"/>
          <w:szCs w:val="32"/>
          <w:lang w:val="en-US" w:eastAsia="zh-CN" w:bidi="ar-SA"/>
        </w:rPr>
        <w:t>2026-2027年度物资搬运服务项目</w:t>
      </w:r>
    </w:p>
    <w:p w14:paraId="3286CA34">
      <w:pPr>
        <w:pStyle w:val="11"/>
        <w:adjustRightInd w:val="0"/>
        <w:snapToGrid w:val="0"/>
        <w:spacing w:before="156" w:beforeLines="50" w:after="156" w:afterLines="50"/>
        <w:ind w:left="2559" w:leftChars="152" w:hanging="2240" w:hangingChars="700"/>
        <w:rPr>
          <w:rFonts w:ascii="黑体" w:hAnsi="黑体" w:eastAsia="黑体"/>
          <w:sz w:val="32"/>
          <w:szCs w:val="32"/>
        </w:rPr>
      </w:pPr>
    </w:p>
    <w:p w14:paraId="6B5B6E03">
      <w:pPr>
        <w:pStyle w:val="11"/>
        <w:adjustRightInd w:val="0"/>
        <w:snapToGrid w:val="0"/>
        <w:spacing w:before="156" w:beforeLines="50" w:after="156" w:afterLines="50" w:line="360" w:lineRule="auto"/>
        <w:ind w:firstLine="320" w:firstLineChars="100"/>
        <w:rPr>
          <w:rFonts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11"/>
        <w:adjustRightInd w:val="0"/>
        <w:snapToGrid w:val="0"/>
        <w:spacing w:line="440" w:lineRule="exact"/>
        <w:jc w:val="center"/>
        <w:rPr>
          <w:rFonts w:ascii="黑体" w:hAnsi="黑体" w:eastAsia="黑体"/>
          <w:b/>
          <w:sz w:val="32"/>
        </w:rPr>
      </w:pPr>
    </w:p>
    <w:p w14:paraId="12277452">
      <w:pPr>
        <w:pStyle w:val="11"/>
        <w:adjustRightInd w:val="0"/>
        <w:snapToGrid w:val="0"/>
        <w:spacing w:line="440" w:lineRule="exact"/>
        <w:jc w:val="center"/>
        <w:rPr>
          <w:rFonts w:ascii="黑体" w:hAnsi="黑体" w:eastAsia="黑体"/>
          <w:b/>
          <w:sz w:val="32"/>
        </w:rPr>
      </w:pPr>
    </w:p>
    <w:p w14:paraId="263E19F8">
      <w:pPr>
        <w:pStyle w:val="11"/>
        <w:adjustRightInd w:val="0"/>
        <w:snapToGrid w:val="0"/>
        <w:spacing w:line="440" w:lineRule="exact"/>
        <w:jc w:val="center"/>
        <w:rPr>
          <w:rFonts w:ascii="黑体" w:hAnsi="黑体" w:eastAsia="黑体"/>
          <w:b/>
          <w:sz w:val="32"/>
        </w:rPr>
      </w:pPr>
    </w:p>
    <w:p w14:paraId="00E611DA">
      <w:pPr>
        <w:pStyle w:val="11"/>
        <w:adjustRightInd w:val="0"/>
        <w:snapToGrid w:val="0"/>
        <w:spacing w:line="440" w:lineRule="exact"/>
        <w:jc w:val="center"/>
        <w:rPr>
          <w:rFonts w:ascii="黑体" w:hAnsi="黑体" w:eastAsia="黑体"/>
          <w:b/>
          <w:sz w:val="32"/>
        </w:rPr>
      </w:pPr>
    </w:p>
    <w:p w14:paraId="5BD02E6F">
      <w:pPr>
        <w:pStyle w:val="11"/>
        <w:adjustRightInd w:val="0"/>
        <w:snapToGrid w:val="0"/>
        <w:spacing w:line="440" w:lineRule="exact"/>
        <w:jc w:val="center"/>
        <w:rPr>
          <w:rFonts w:ascii="黑体" w:hAnsi="黑体" w:eastAsia="黑体"/>
          <w:b/>
          <w:sz w:val="32"/>
        </w:rPr>
      </w:pPr>
    </w:p>
    <w:p w14:paraId="51D3F09C">
      <w:pPr>
        <w:pStyle w:val="11"/>
        <w:adjustRightInd w:val="0"/>
        <w:snapToGrid w:val="0"/>
        <w:spacing w:line="440" w:lineRule="exact"/>
        <w:jc w:val="center"/>
        <w:rPr>
          <w:rFonts w:ascii="黑体" w:hAnsi="黑体" w:eastAsia="黑体"/>
          <w:b/>
          <w:sz w:val="32"/>
        </w:rPr>
      </w:pPr>
    </w:p>
    <w:p w14:paraId="33437265">
      <w:pPr>
        <w:pStyle w:val="11"/>
        <w:adjustRightInd w:val="0"/>
        <w:snapToGrid w:val="0"/>
        <w:spacing w:line="440" w:lineRule="exact"/>
        <w:jc w:val="center"/>
        <w:rPr>
          <w:rFonts w:ascii="黑体" w:hAnsi="黑体" w:eastAsia="黑体"/>
          <w:b/>
          <w:sz w:val="32"/>
        </w:rPr>
      </w:pPr>
    </w:p>
    <w:p w14:paraId="646F9A24">
      <w:pPr>
        <w:pStyle w:val="11"/>
        <w:adjustRightInd w:val="0"/>
        <w:snapToGrid w:val="0"/>
        <w:spacing w:line="440" w:lineRule="exact"/>
        <w:jc w:val="center"/>
        <w:rPr>
          <w:rFonts w:ascii="黑体" w:hAnsi="黑体" w:eastAsia="黑体"/>
          <w:b/>
          <w:sz w:val="32"/>
        </w:rPr>
      </w:pPr>
    </w:p>
    <w:p w14:paraId="3BDBB089">
      <w:pPr>
        <w:pStyle w:val="11"/>
        <w:adjustRightInd w:val="0"/>
        <w:snapToGrid w:val="0"/>
        <w:spacing w:line="440" w:lineRule="exact"/>
        <w:jc w:val="center"/>
        <w:rPr>
          <w:rFonts w:ascii="黑体" w:hAnsi="黑体" w:eastAsia="黑体"/>
          <w:b/>
          <w:sz w:val="32"/>
        </w:rPr>
      </w:pPr>
    </w:p>
    <w:p w14:paraId="287A2B02">
      <w:pPr>
        <w:spacing w:line="360" w:lineRule="auto"/>
        <w:jc w:val="center"/>
        <w:rPr>
          <w:rFonts w:ascii="黑体" w:hAnsi="黑体" w:eastAsia="黑体"/>
          <w:sz w:val="32"/>
          <w:szCs w:val="32"/>
        </w:rPr>
      </w:pPr>
      <w:r>
        <w:rPr>
          <w:rFonts w:hint="eastAsia" w:ascii="黑体" w:hAnsi="黑体" w:eastAsia="黑体"/>
          <w:sz w:val="32"/>
          <w:szCs w:val="32"/>
        </w:rPr>
        <w:t>二0二</w:t>
      </w:r>
      <w:r>
        <w:rPr>
          <w:rFonts w:hint="eastAsia" w:ascii="黑体" w:hAnsi="黑体" w:eastAsia="黑体"/>
          <w:sz w:val="32"/>
          <w:szCs w:val="32"/>
          <w:lang w:val="en-US" w:eastAsia="zh-CN"/>
        </w:rPr>
        <w:t>六</w:t>
      </w:r>
      <w:r>
        <w:rPr>
          <w:rFonts w:ascii="黑体" w:hAnsi="黑体" w:eastAsia="黑体"/>
          <w:sz w:val="32"/>
          <w:szCs w:val="32"/>
        </w:rPr>
        <w:t>年</w:t>
      </w:r>
      <w:r>
        <w:rPr>
          <w:rFonts w:hint="eastAsia" w:ascii="黑体" w:hAnsi="黑体" w:eastAsia="黑体"/>
          <w:sz w:val="32"/>
          <w:szCs w:val="32"/>
          <w:lang w:val="en-US" w:eastAsia="zh-CN"/>
        </w:rPr>
        <w:t>七</w:t>
      </w:r>
      <w:r>
        <w:rPr>
          <w:rFonts w:ascii="黑体" w:hAnsi="黑体" w:eastAsia="黑体"/>
          <w:sz w:val="32"/>
          <w:szCs w:val="32"/>
        </w:rPr>
        <w:t>月</w:t>
      </w:r>
    </w:p>
    <w:p w14:paraId="3FD890A2">
      <w:pPr>
        <w:pStyle w:val="18"/>
      </w:pPr>
    </w:p>
    <w:p w14:paraId="40E4DFFA">
      <w:pPr>
        <w:pStyle w:val="18"/>
        <w:rPr>
          <w:szCs w:val="22"/>
        </w:rPr>
      </w:pPr>
    </w:p>
    <w:p w14:paraId="6EAB8857">
      <w:pPr>
        <w:jc w:val="center"/>
        <w:outlineLvl w:val="0"/>
        <w:rPr>
          <w:rFonts w:hint="eastAsia" w:ascii="黑体" w:hAnsi="黑体" w:eastAsia="黑体" w:cs="Times New Roman"/>
          <w:b/>
          <w:sz w:val="36"/>
          <w:szCs w:val="36"/>
        </w:rPr>
      </w:pPr>
      <w:r>
        <w:rPr>
          <w:rFonts w:hint="eastAsia" w:ascii="黑体" w:hAnsi="黑体" w:eastAsia="黑体" w:cs="Times New Roman"/>
          <w:b/>
          <w:sz w:val="36"/>
          <w:szCs w:val="36"/>
          <w:lang w:val="en-US" w:eastAsia="zh-CN"/>
        </w:rPr>
        <w:t>2026-2027年度物资搬运服务项目</w:t>
      </w:r>
      <w:r>
        <w:rPr>
          <w:rFonts w:hint="eastAsia" w:ascii="黑体" w:hAnsi="黑体" w:eastAsia="黑体" w:cs="Times New Roman"/>
          <w:b/>
          <w:sz w:val="36"/>
          <w:szCs w:val="36"/>
        </w:rPr>
        <w:t>询比采购公告</w:t>
      </w:r>
    </w:p>
    <w:p w14:paraId="42325128">
      <w:pPr>
        <w:widowControl/>
        <w:spacing w:line="360" w:lineRule="auto"/>
        <w:ind w:firstLine="480" w:firstLineChars="200"/>
        <w:jc w:val="left"/>
        <w:rPr>
          <w:rFonts w:hint="eastAsia" w:ascii="仿宋" w:hAnsi="仿宋" w:eastAsia="仿宋" w:cs="Times New Roman"/>
          <w:kern w:val="2"/>
          <w:sz w:val="24"/>
          <w:szCs w:val="24"/>
          <w:lang w:val="en-US" w:eastAsia="zh-CN" w:bidi="ar-SA"/>
        </w:rPr>
      </w:pPr>
      <w:bookmarkStart w:id="0" w:name="_Toc26475"/>
      <w:bookmarkStart w:id="1" w:name="_Toc3564"/>
      <w:bookmarkStart w:id="2" w:name="_Toc4659"/>
      <w:bookmarkStart w:id="3" w:name="_Toc17794_WPSOffice_Level2"/>
      <w:bookmarkStart w:id="4" w:name="_Toc31662_WPSOffice_Level2"/>
      <w:r>
        <w:rPr>
          <w:rFonts w:hint="eastAsia" w:ascii="仿宋" w:hAnsi="仿宋" w:eastAsia="仿宋" w:cs="Times New Roman"/>
          <w:kern w:val="2"/>
          <w:sz w:val="24"/>
          <w:szCs w:val="24"/>
          <w:lang w:val="en-US" w:eastAsia="zh-CN" w:bidi="ar-SA"/>
        </w:rPr>
        <w:t>湖南铁道职业技术学院现对2026-2027年度搬家服务项目进行采购，特邀请符合资格条件的供应商前来参加。</w:t>
      </w:r>
    </w:p>
    <w:bookmarkEnd w:id="0"/>
    <w:bookmarkEnd w:id="1"/>
    <w:bookmarkEnd w:id="2"/>
    <w:bookmarkEnd w:id="3"/>
    <w:bookmarkEnd w:id="4"/>
    <w:p w14:paraId="6C558D81">
      <w:pPr>
        <w:snapToGrid w:val="0"/>
        <w:spacing w:line="360" w:lineRule="auto"/>
        <w:ind w:firstLine="482" w:firstLineChars="200"/>
        <w:jc w:val="left"/>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一、采购项目基本情况</w:t>
      </w:r>
    </w:p>
    <w:p w14:paraId="4EF1E5F4">
      <w:pPr>
        <w:pStyle w:val="18"/>
        <w:snapToGrid w:val="0"/>
        <w:spacing w:before="0" w:beforeAutospacing="0" w:after="0" w:line="360" w:lineRule="auto"/>
        <w:ind w:left="0" w:leftChars="0" w:firstLine="480" w:firstLineChars="200"/>
        <w:jc w:val="left"/>
        <w:rPr>
          <w:rFonts w:hint="eastAsia" w:ascii="仿宋" w:hAnsi="仿宋" w:eastAsia="仿宋" w:cs="Times New Roman"/>
          <w:sz w:val="24"/>
          <w:szCs w:val="24"/>
        </w:rPr>
      </w:pPr>
      <w:r>
        <w:rPr>
          <w:rFonts w:hint="eastAsia" w:ascii="仿宋" w:hAnsi="仿宋" w:eastAsia="仿宋" w:cs="Times New Roman"/>
          <w:sz w:val="24"/>
          <w:szCs w:val="24"/>
          <w:lang w:val="en-US" w:eastAsia="zh-CN"/>
        </w:rPr>
        <w:t>1.项目名称：</w:t>
      </w:r>
      <w:r>
        <w:rPr>
          <w:rFonts w:hint="eastAsia" w:ascii="仿宋" w:hAnsi="仿宋" w:eastAsia="仿宋" w:cs="Times New Roman"/>
          <w:kern w:val="2"/>
          <w:sz w:val="24"/>
          <w:szCs w:val="24"/>
          <w:lang w:val="en-US" w:eastAsia="zh-CN" w:bidi="ar-SA"/>
        </w:rPr>
        <w:t>2026-2027年度物资搬运服务</w:t>
      </w:r>
    </w:p>
    <w:p w14:paraId="6B7B0773">
      <w:pPr>
        <w:pStyle w:val="18"/>
        <w:snapToGrid w:val="0"/>
        <w:spacing w:before="0" w:beforeAutospacing="0" w:after="0" w:line="360" w:lineRule="auto"/>
        <w:ind w:left="0" w:leftChars="0"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2.项目概况:包含学校指定区域的办公桌椅、文件柜、教学教具、精密实验器材、仓库储存物资等货品，按校方要求完整搬运至指定安置位置，做好装卸、转运工作。</w:t>
      </w:r>
    </w:p>
    <w:p w14:paraId="6F16EDB4">
      <w:pPr>
        <w:pStyle w:val="18"/>
        <w:snapToGrid w:val="0"/>
        <w:spacing w:before="0" w:beforeAutospacing="0" w:after="0" w:line="360" w:lineRule="auto"/>
        <w:ind w:left="0" w:leftChars="0"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sz w:val="24"/>
          <w:szCs w:val="24"/>
          <w:lang w:val="en-US" w:eastAsia="zh-CN"/>
        </w:rPr>
        <w:t>3.服务内容：完成学校各部门提出的办公家具拆装、大型仪器设备移位、档案资料及物资库房搬迁、教学器材转运等搬运任务。</w:t>
      </w:r>
    </w:p>
    <w:p w14:paraId="71947C1A">
      <w:pPr>
        <w:pStyle w:val="18"/>
        <w:snapToGrid w:val="0"/>
        <w:spacing w:before="0" w:beforeAutospacing="0" w:after="0" w:line="360" w:lineRule="auto"/>
        <w:ind w:left="0" w:leftChars="0" w:firstLine="480" w:firstLineChars="200"/>
        <w:jc w:val="left"/>
        <w:rPr>
          <w:rFonts w:hint="eastAsia" w:ascii="仿宋" w:hAnsi="仿宋" w:eastAsia="仿宋" w:cs="Times New Roman"/>
          <w:sz w:val="24"/>
          <w:szCs w:val="24"/>
          <w:lang w:val="en-US" w:eastAsia="zh-CN"/>
        </w:rPr>
      </w:pPr>
      <w:r>
        <w:rPr>
          <w:rFonts w:ascii="仿宋" w:hAnsi="仿宋" w:eastAsia="仿宋"/>
          <w:sz w:val="24"/>
          <w:szCs w:val="24"/>
        </w:rPr>
        <w:t>4</w:t>
      </w:r>
      <w:r>
        <w:rPr>
          <w:rFonts w:hint="eastAsia" w:ascii="仿宋" w:hAnsi="仿宋" w:eastAsia="仿宋"/>
          <w:sz w:val="24"/>
          <w:szCs w:val="24"/>
        </w:rPr>
        <w:t>.采购预算：</w:t>
      </w:r>
      <w:r>
        <w:rPr>
          <w:rFonts w:hint="eastAsia" w:ascii="仿宋" w:hAnsi="仿宋" w:eastAsia="仿宋" w:cs="Times New Roman"/>
          <w:sz w:val="24"/>
          <w:szCs w:val="24"/>
          <w:lang w:val="en-US" w:eastAsia="zh-CN"/>
        </w:rPr>
        <w:t>19.5万元。</w:t>
      </w:r>
    </w:p>
    <w:p w14:paraId="0E74D6CE">
      <w:pPr>
        <w:snapToGrid w:val="0"/>
        <w:spacing w:line="360" w:lineRule="auto"/>
        <w:ind w:firstLine="480" w:firstLineChars="200"/>
        <w:jc w:val="left"/>
        <w:rPr>
          <w:rFonts w:hint="eastAsia"/>
          <w:lang w:val="en-US" w:eastAsia="zh-CN"/>
        </w:rPr>
      </w:pPr>
      <w:r>
        <w:rPr>
          <w:rFonts w:hint="eastAsia" w:ascii="仿宋" w:hAnsi="仿宋" w:eastAsia="仿宋" w:cstheme="minorEastAsia"/>
          <w:sz w:val="24"/>
          <w:szCs w:val="24"/>
          <w:lang w:val="en-US" w:eastAsia="zh-CN"/>
        </w:rPr>
        <w:t>5.拟入围数量：3家</w:t>
      </w:r>
    </w:p>
    <w:p w14:paraId="453272DD">
      <w:pPr>
        <w:pStyle w:val="18"/>
        <w:snapToGrid w:val="0"/>
        <w:spacing w:before="0" w:beforeAutospacing="0" w:after="0" w:line="360" w:lineRule="auto"/>
        <w:ind w:left="0" w:leftChars="0" w:firstLine="482" w:firstLineChars="200"/>
        <w:jc w:val="left"/>
        <w:rPr>
          <w:rFonts w:hint="eastAsia" w:ascii="仿宋" w:hAnsi="仿宋" w:eastAsia="仿宋" w:cs="Times New Roman"/>
          <w:b/>
          <w:bCs/>
          <w:sz w:val="24"/>
          <w:szCs w:val="24"/>
        </w:rPr>
      </w:pPr>
      <w:r>
        <w:rPr>
          <w:rFonts w:hint="eastAsia" w:ascii="仿宋" w:hAnsi="仿宋" w:eastAsia="仿宋" w:cs="Times New Roman"/>
          <w:b/>
          <w:bCs/>
          <w:sz w:val="24"/>
          <w:szCs w:val="24"/>
        </w:rPr>
        <w:t>二、投标人资格要求</w:t>
      </w:r>
    </w:p>
    <w:p w14:paraId="19060925">
      <w:pPr>
        <w:pStyle w:val="18"/>
        <w:snapToGrid w:val="0"/>
        <w:spacing w:before="0" w:beforeAutospacing="0" w:after="0" w:line="360" w:lineRule="auto"/>
        <w:ind w:left="0" w:leftChars="0" w:firstLine="480" w:firstLineChars="200"/>
        <w:jc w:val="left"/>
        <w:rPr>
          <w:rFonts w:hint="eastAsia" w:ascii="仿宋" w:hAnsi="仿宋" w:eastAsia="仿宋" w:cs="Times New Roman"/>
          <w:sz w:val="24"/>
          <w:szCs w:val="24"/>
        </w:rPr>
      </w:pPr>
      <w:bookmarkStart w:id="5" w:name="_Toc58335831"/>
      <w:r>
        <w:rPr>
          <w:rFonts w:hint="eastAsia" w:ascii="仿宋" w:hAnsi="仿宋" w:eastAsia="仿宋" w:cs="Times New Roman"/>
          <w:sz w:val="24"/>
          <w:szCs w:val="24"/>
        </w:rPr>
        <w:t>1、基本资格条件：供应商必须是在中华人民共和国境内注册登记的法人、其他组织或者自然人，且应当符合下列规定，即：</w:t>
      </w:r>
    </w:p>
    <w:p w14:paraId="1799880A">
      <w:pPr>
        <w:pStyle w:val="18"/>
        <w:snapToGrid w:val="0"/>
        <w:spacing w:before="0" w:beforeAutospacing="0" w:after="0" w:line="360" w:lineRule="auto"/>
        <w:ind w:left="0" w:leftChars="0" w:firstLine="480" w:firstLineChars="200"/>
        <w:jc w:val="left"/>
        <w:rPr>
          <w:rFonts w:hint="eastAsia" w:ascii="仿宋" w:hAnsi="仿宋" w:eastAsia="仿宋" w:cs="Times New Roman"/>
          <w:sz w:val="24"/>
          <w:szCs w:val="24"/>
        </w:rPr>
      </w:pPr>
      <w:r>
        <w:rPr>
          <w:rFonts w:hint="eastAsia" w:ascii="仿宋" w:hAnsi="仿宋" w:eastAsia="仿宋" w:cs="Times New Roman"/>
          <w:sz w:val="24"/>
          <w:szCs w:val="24"/>
        </w:rPr>
        <w:t>（1）具有独立承担民事责任的能力；</w:t>
      </w:r>
    </w:p>
    <w:p w14:paraId="7804B8ED">
      <w:pPr>
        <w:pStyle w:val="18"/>
        <w:snapToGrid w:val="0"/>
        <w:spacing w:before="0" w:beforeAutospacing="0" w:after="0" w:line="360" w:lineRule="auto"/>
        <w:ind w:left="0" w:leftChars="0" w:firstLine="480" w:firstLineChars="200"/>
        <w:jc w:val="left"/>
        <w:rPr>
          <w:rFonts w:hint="eastAsia" w:ascii="仿宋" w:hAnsi="仿宋" w:eastAsia="仿宋" w:cs="Times New Roman"/>
          <w:sz w:val="24"/>
          <w:szCs w:val="24"/>
        </w:rPr>
      </w:pPr>
      <w:r>
        <w:rPr>
          <w:rFonts w:hint="eastAsia" w:ascii="仿宋" w:hAnsi="仿宋" w:eastAsia="仿宋" w:cs="Times New Roman"/>
          <w:sz w:val="24"/>
          <w:szCs w:val="24"/>
        </w:rPr>
        <w:t>（2）具有良好的商业信誉和健全的财务会计制度；</w:t>
      </w:r>
    </w:p>
    <w:p w14:paraId="68375F5F">
      <w:pPr>
        <w:pStyle w:val="18"/>
        <w:snapToGrid w:val="0"/>
        <w:spacing w:before="0" w:beforeAutospacing="0" w:after="0" w:line="360" w:lineRule="auto"/>
        <w:ind w:left="0" w:leftChars="0" w:firstLine="480" w:firstLineChars="200"/>
        <w:jc w:val="left"/>
        <w:rPr>
          <w:rFonts w:hint="eastAsia" w:ascii="仿宋" w:hAnsi="仿宋" w:eastAsia="仿宋" w:cs="Times New Roman"/>
          <w:sz w:val="24"/>
          <w:szCs w:val="24"/>
        </w:rPr>
      </w:pPr>
      <w:r>
        <w:rPr>
          <w:rFonts w:hint="eastAsia" w:ascii="仿宋" w:hAnsi="仿宋" w:eastAsia="仿宋" w:cs="Times New Roman"/>
          <w:sz w:val="24"/>
          <w:szCs w:val="24"/>
        </w:rPr>
        <w:t>（3）具有履行合同所必需的设备和专业技术能力；</w:t>
      </w:r>
    </w:p>
    <w:p w14:paraId="2F52A258">
      <w:pPr>
        <w:pStyle w:val="18"/>
        <w:snapToGrid w:val="0"/>
        <w:spacing w:before="0" w:beforeAutospacing="0" w:after="0" w:line="360" w:lineRule="auto"/>
        <w:ind w:left="0" w:leftChars="0" w:firstLine="480" w:firstLineChars="200"/>
        <w:jc w:val="left"/>
        <w:rPr>
          <w:rFonts w:hint="eastAsia" w:ascii="仿宋" w:hAnsi="仿宋" w:eastAsia="仿宋" w:cs="Times New Roman"/>
          <w:sz w:val="24"/>
          <w:szCs w:val="24"/>
        </w:rPr>
      </w:pPr>
      <w:r>
        <w:rPr>
          <w:rFonts w:hint="eastAsia" w:ascii="仿宋" w:hAnsi="仿宋" w:eastAsia="仿宋" w:cs="Times New Roman"/>
          <w:sz w:val="24"/>
          <w:szCs w:val="24"/>
        </w:rPr>
        <w:t>（4）有依法缴纳税收的良好记录；</w:t>
      </w:r>
    </w:p>
    <w:p w14:paraId="102AD3DA">
      <w:pPr>
        <w:pStyle w:val="18"/>
        <w:snapToGrid w:val="0"/>
        <w:spacing w:before="0" w:beforeAutospacing="0" w:after="0" w:line="360" w:lineRule="auto"/>
        <w:ind w:left="0" w:leftChars="0" w:firstLine="480" w:firstLineChars="200"/>
        <w:jc w:val="left"/>
        <w:rPr>
          <w:rFonts w:hint="eastAsia" w:ascii="仿宋" w:hAnsi="仿宋" w:eastAsia="仿宋" w:cs="Times New Roman"/>
          <w:sz w:val="24"/>
          <w:szCs w:val="24"/>
        </w:rPr>
      </w:pPr>
      <w:r>
        <w:rPr>
          <w:rFonts w:hint="eastAsia" w:ascii="仿宋" w:hAnsi="仿宋" w:eastAsia="仿宋" w:cs="Times New Roman"/>
          <w:sz w:val="24"/>
          <w:szCs w:val="24"/>
        </w:rPr>
        <w:t>（5）参加采购活动前三年内，在经营活动中没有重大违法记录；</w:t>
      </w:r>
    </w:p>
    <w:p w14:paraId="560E096B">
      <w:pPr>
        <w:pStyle w:val="18"/>
        <w:snapToGrid w:val="0"/>
        <w:spacing w:before="0" w:beforeAutospacing="0" w:after="0" w:line="360" w:lineRule="auto"/>
        <w:ind w:left="0" w:leftChars="0" w:firstLine="480" w:firstLineChars="200"/>
        <w:jc w:val="left"/>
        <w:rPr>
          <w:rFonts w:hint="eastAsia" w:ascii="仿宋" w:hAnsi="仿宋" w:eastAsia="仿宋" w:cs="Times New Roman"/>
          <w:sz w:val="24"/>
          <w:szCs w:val="24"/>
        </w:rPr>
      </w:pPr>
      <w:r>
        <w:rPr>
          <w:rFonts w:hint="eastAsia" w:ascii="仿宋" w:hAnsi="仿宋" w:eastAsia="仿宋" w:cs="Times New Roman"/>
          <w:sz w:val="24"/>
          <w:szCs w:val="24"/>
        </w:rPr>
        <w:t>（6）法律、行政法规规定的其他条件。</w:t>
      </w:r>
    </w:p>
    <w:p w14:paraId="1A5D9D8A">
      <w:pPr>
        <w:ind w:firstLine="480" w:firstLineChars="200"/>
        <w:rPr>
          <w:rFonts w:hint="default" w:ascii="仿宋" w:hAnsi="仿宋" w:eastAsia="仿宋" w:cs="Times New Roman"/>
          <w:color w:val="000000" w:themeColor="text1"/>
          <w:kern w:val="2"/>
          <w:sz w:val="24"/>
          <w:szCs w:val="24"/>
          <w:lang w:val="en-US" w:eastAsia="zh-CN" w:bidi="ar-SA"/>
          <w14:textFill>
            <w14:solidFill>
              <w14:schemeClr w14:val="tx1"/>
            </w14:solidFill>
          </w14:textFill>
        </w:rPr>
      </w:pPr>
      <w:r>
        <w:rPr>
          <w:rFonts w:hint="eastAsia" w:ascii="仿宋" w:hAnsi="仿宋" w:eastAsia="仿宋" w:cs="Times New Roman"/>
          <w:color w:val="000000" w:themeColor="text1"/>
          <w:kern w:val="2"/>
          <w:sz w:val="24"/>
          <w:szCs w:val="24"/>
          <w:lang w:val="en-US" w:eastAsia="zh-CN" w:bidi="ar-SA"/>
          <w14:textFill>
            <w14:solidFill>
              <w14:schemeClr w14:val="tx1"/>
            </w14:solidFill>
          </w14:textFill>
        </w:rPr>
        <w:t>2、特定资格条件：无。</w:t>
      </w:r>
    </w:p>
    <w:p w14:paraId="773A98C1">
      <w:pPr>
        <w:pStyle w:val="18"/>
        <w:snapToGrid w:val="0"/>
        <w:spacing w:before="0" w:beforeAutospacing="0" w:after="0" w:line="360" w:lineRule="auto"/>
        <w:ind w:left="0" w:leftChars="0" w:firstLine="482" w:firstLineChars="200"/>
        <w:jc w:val="left"/>
        <w:rPr>
          <w:rFonts w:hint="eastAsia" w:ascii="仿宋" w:hAnsi="仿宋" w:eastAsia="仿宋" w:cs="Times New Roman"/>
          <w:b/>
          <w:bCs/>
          <w:sz w:val="24"/>
          <w:szCs w:val="24"/>
        </w:rPr>
      </w:pPr>
      <w:r>
        <w:rPr>
          <w:rFonts w:hint="eastAsia" w:ascii="仿宋" w:hAnsi="仿宋" w:eastAsia="仿宋" w:cs="Times New Roman"/>
          <w:b/>
          <w:bCs/>
          <w:sz w:val="24"/>
          <w:szCs w:val="24"/>
        </w:rPr>
        <w:t>三、响应文件提交的截止时间、开启时间及地点</w:t>
      </w:r>
      <w:bookmarkEnd w:id="5"/>
    </w:p>
    <w:p w14:paraId="3B317B08">
      <w:pPr>
        <w:pStyle w:val="18"/>
        <w:snapToGrid w:val="0"/>
        <w:spacing w:before="0" w:beforeAutospacing="0" w:after="0" w:line="360" w:lineRule="auto"/>
        <w:ind w:left="0" w:leftChars="0" w:firstLine="480" w:firstLineChars="200"/>
        <w:jc w:val="left"/>
        <w:rPr>
          <w:rFonts w:hint="default" w:ascii="仿宋" w:hAnsi="仿宋" w:eastAsia="仿宋" w:cs="Times New Roman"/>
          <w:sz w:val="24"/>
          <w:szCs w:val="24"/>
          <w:lang w:val="en-US" w:eastAsia="zh-CN"/>
        </w:rPr>
      </w:pPr>
      <w:bookmarkStart w:id="6" w:name="_Toc58335832"/>
      <w:r>
        <w:rPr>
          <w:rFonts w:hint="eastAsia" w:ascii="仿宋" w:hAnsi="仿宋" w:eastAsia="仿宋" w:cs="Times New Roman"/>
          <w:sz w:val="24"/>
          <w:szCs w:val="24"/>
        </w:rPr>
        <w:t>1．首次响应文件的提交截止时间：202</w:t>
      </w:r>
      <w:r>
        <w:rPr>
          <w:rFonts w:hint="eastAsia" w:ascii="仿宋" w:hAnsi="仿宋" w:eastAsia="仿宋" w:cs="Times New Roman"/>
          <w:sz w:val="24"/>
          <w:szCs w:val="24"/>
          <w:lang w:val="en-US" w:eastAsia="zh-CN"/>
        </w:rPr>
        <w:t>6</w:t>
      </w:r>
      <w:r>
        <w:rPr>
          <w:rFonts w:hint="eastAsia" w:ascii="仿宋" w:hAnsi="仿宋" w:eastAsia="仿宋" w:cs="Times New Roman"/>
          <w:sz w:val="24"/>
          <w:szCs w:val="24"/>
        </w:rPr>
        <w:t>年</w:t>
      </w:r>
      <w:r>
        <w:rPr>
          <w:rFonts w:hint="eastAsia" w:ascii="仿宋" w:hAnsi="仿宋" w:eastAsia="仿宋" w:cs="Times New Roman"/>
          <w:sz w:val="24"/>
          <w:szCs w:val="24"/>
          <w:lang w:val="en-US" w:eastAsia="zh-CN"/>
        </w:rPr>
        <w:t>7</w:t>
      </w:r>
      <w:r>
        <w:rPr>
          <w:rFonts w:hint="eastAsia" w:ascii="仿宋" w:hAnsi="仿宋" w:eastAsia="仿宋" w:cs="Times New Roman"/>
          <w:sz w:val="24"/>
          <w:szCs w:val="24"/>
        </w:rPr>
        <w:t>月</w:t>
      </w:r>
      <w:r>
        <w:rPr>
          <w:rFonts w:hint="eastAsia" w:ascii="仿宋" w:hAnsi="仿宋" w:eastAsia="仿宋" w:cs="Times New Roman"/>
          <w:sz w:val="24"/>
          <w:szCs w:val="24"/>
          <w:lang w:val="en-US" w:eastAsia="zh-CN"/>
        </w:rPr>
        <w:t>8</w:t>
      </w:r>
      <w:r>
        <w:rPr>
          <w:rFonts w:hint="eastAsia" w:ascii="仿宋" w:hAnsi="仿宋" w:eastAsia="仿宋" w:cs="Times New Roman"/>
          <w:sz w:val="24"/>
          <w:szCs w:val="24"/>
        </w:rPr>
        <w:t>日</w:t>
      </w:r>
      <w:r>
        <w:rPr>
          <w:rFonts w:hint="eastAsia" w:ascii="仿宋" w:hAnsi="仿宋" w:eastAsia="仿宋" w:cs="Times New Roman"/>
          <w:sz w:val="24"/>
          <w:szCs w:val="24"/>
          <w:lang w:val="en-US" w:eastAsia="zh-CN"/>
        </w:rPr>
        <w:t>9</w:t>
      </w:r>
      <w:r>
        <w:rPr>
          <w:rFonts w:hint="eastAsia" w:ascii="仿宋" w:hAnsi="仿宋" w:eastAsia="仿宋" w:cs="Times New Roman"/>
          <w:sz w:val="24"/>
          <w:szCs w:val="24"/>
        </w:rPr>
        <w:t>时</w:t>
      </w:r>
      <w:r>
        <w:rPr>
          <w:rFonts w:hint="eastAsia" w:ascii="仿宋" w:hAnsi="仿宋" w:eastAsia="仿宋" w:cs="Times New Roman"/>
          <w:sz w:val="24"/>
          <w:szCs w:val="24"/>
          <w:lang w:val="en-US" w:eastAsia="zh-CN"/>
        </w:rPr>
        <w:t>30分</w:t>
      </w:r>
    </w:p>
    <w:p w14:paraId="7449A5CA">
      <w:pPr>
        <w:pStyle w:val="18"/>
        <w:snapToGrid w:val="0"/>
        <w:spacing w:before="0" w:beforeAutospacing="0" w:after="0" w:line="360" w:lineRule="auto"/>
        <w:ind w:left="0" w:leftChars="0" w:firstLine="480" w:firstLineChars="200"/>
        <w:jc w:val="left"/>
        <w:rPr>
          <w:rFonts w:hint="default" w:ascii="仿宋" w:hAnsi="仿宋" w:eastAsia="仿宋" w:cs="Times New Roman"/>
          <w:sz w:val="24"/>
          <w:szCs w:val="24"/>
          <w:lang w:val="en-US" w:eastAsia="zh-CN"/>
        </w:rPr>
      </w:pPr>
      <w:r>
        <w:rPr>
          <w:rFonts w:hint="eastAsia" w:ascii="仿宋" w:hAnsi="仿宋" w:eastAsia="仿宋" w:cs="Times New Roman"/>
          <w:sz w:val="24"/>
          <w:szCs w:val="24"/>
        </w:rPr>
        <w:t>2．首次响应文件的开启时间：202</w:t>
      </w:r>
      <w:r>
        <w:rPr>
          <w:rFonts w:hint="eastAsia" w:ascii="仿宋" w:hAnsi="仿宋" w:eastAsia="仿宋" w:cs="Times New Roman"/>
          <w:sz w:val="24"/>
          <w:szCs w:val="24"/>
          <w:lang w:val="en-US" w:eastAsia="zh-CN"/>
        </w:rPr>
        <w:t>6</w:t>
      </w:r>
      <w:r>
        <w:rPr>
          <w:rFonts w:hint="eastAsia" w:ascii="仿宋" w:hAnsi="仿宋" w:eastAsia="仿宋" w:cs="Times New Roman"/>
          <w:sz w:val="24"/>
          <w:szCs w:val="24"/>
        </w:rPr>
        <w:t>年</w:t>
      </w:r>
      <w:r>
        <w:rPr>
          <w:rFonts w:hint="eastAsia" w:ascii="仿宋" w:hAnsi="仿宋" w:eastAsia="仿宋" w:cs="Times New Roman"/>
          <w:sz w:val="24"/>
          <w:szCs w:val="24"/>
          <w:lang w:val="en-US" w:eastAsia="zh-CN"/>
        </w:rPr>
        <w:t>7</w:t>
      </w:r>
      <w:r>
        <w:rPr>
          <w:rFonts w:hint="eastAsia" w:ascii="仿宋" w:hAnsi="仿宋" w:eastAsia="仿宋" w:cs="Times New Roman"/>
          <w:sz w:val="24"/>
          <w:szCs w:val="24"/>
        </w:rPr>
        <w:t>月</w:t>
      </w:r>
      <w:r>
        <w:rPr>
          <w:rFonts w:hint="eastAsia" w:ascii="仿宋" w:hAnsi="仿宋" w:eastAsia="仿宋" w:cs="Times New Roman"/>
          <w:sz w:val="24"/>
          <w:szCs w:val="24"/>
          <w:lang w:val="en-US" w:eastAsia="zh-CN"/>
        </w:rPr>
        <w:t>8</w:t>
      </w:r>
      <w:r>
        <w:rPr>
          <w:rFonts w:hint="eastAsia" w:ascii="仿宋" w:hAnsi="仿宋" w:eastAsia="仿宋" w:cs="Times New Roman"/>
          <w:sz w:val="24"/>
          <w:szCs w:val="24"/>
        </w:rPr>
        <w:t>日</w:t>
      </w:r>
      <w:r>
        <w:rPr>
          <w:rFonts w:hint="eastAsia" w:ascii="仿宋" w:hAnsi="仿宋" w:eastAsia="仿宋" w:cs="Times New Roman"/>
          <w:sz w:val="24"/>
          <w:szCs w:val="24"/>
          <w:lang w:val="en-US" w:eastAsia="zh-CN"/>
        </w:rPr>
        <w:t>9</w:t>
      </w:r>
      <w:r>
        <w:rPr>
          <w:rFonts w:hint="eastAsia" w:ascii="仿宋" w:hAnsi="仿宋" w:eastAsia="仿宋" w:cs="Times New Roman"/>
          <w:sz w:val="24"/>
          <w:szCs w:val="24"/>
        </w:rPr>
        <w:t>时</w:t>
      </w:r>
      <w:r>
        <w:rPr>
          <w:rFonts w:hint="eastAsia" w:ascii="仿宋" w:hAnsi="仿宋" w:eastAsia="仿宋" w:cs="Times New Roman"/>
          <w:sz w:val="24"/>
          <w:szCs w:val="24"/>
          <w:lang w:val="en-US" w:eastAsia="zh-CN"/>
        </w:rPr>
        <w:t>30分</w:t>
      </w:r>
    </w:p>
    <w:p w14:paraId="6AA70289">
      <w:pPr>
        <w:pStyle w:val="18"/>
        <w:snapToGrid w:val="0"/>
        <w:spacing w:before="0" w:beforeAutospacing="0" w:after="0" w:line="360" w:lineRule="auto"/>
        <w:ind w:left="0" w:leftChars="0" w:firstLine="480" w:firstLineChars="200"/>
        <w:jc w:val="left"/>
        <w:rPr>
          <w:rFonts w:hint="eastAsia" w:ascii="仿宋" w:hAnsi="仿宋" w:eastAsia="仿宋" w:cs="Times New Roman"/>
          <w:sz w:val="24"/>
          <w:szCs w:val="24"/>
        </w:rPr>
      </w:pPr>
      <w:r>
        <w:rPr>
          <w:rFonts w:hint="eastAsia" w:ascii="仿宋" w:hAnsi="仿宋" w:eastAsia="仿宋" w:cs="Times New Roman"/>
          <w:sz w:val="24"/>
          <w:szCs w:val="24"/>
        </w:rPr>
        <w:t>3．首次响应文件的开启地点：湖南铁道职业技术学院</w:t>
      </w:r>
    </w:p>
    <w:bookmarkEnd w:id="6"/>
    <w:p w14:paraId="33655027">
      <w:pPr>
        <w:pStyle w:val="4"/>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Hlk186730358"/>
      <w:r>
        <w:rPr>
          <w:rFonts w:hint="eastAsia" w:ascii="仿宋" w:hAnsi="仿宋" w:eastAsia="仿宋" w:cs="宋体"/>
          <w:bCs w:val="0"/>
          <w:kern w:val="0"/>
          <w:sz w:val="24"/>
          <w:szCs w:val="24"/>
        </w:rPr>
        <w:t>四、公告期限</w:t>
      </w:r>
    </w:p>
    <w:p w14:paraId="50C0C920">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1．本招标公告在湖南铁道职业技术学院官网（www.hnrpc.com）发布。公告期限从本招标公告发布之日起3个工作日。</w:t>
      </w:r>
      <w:bookmarkEnd w:id="7"/>
    </w:p>
    <w:p w14:paraId="5F3ECF57">
      <w:pPr>
        <w:pStyle w:val="4"/>
        <w:snapToGrid w:val="0"/>
        <w:spacing w:before="0" w:after="0" w:line="360" w:lineRule="auto"/>
        <w:ind w:firstLine="470" w:firstLineChars="195"/>
        <w:jc w:val="left"/>
        <w:rPr>
          <w:rFonts w:hint="eastAsia" w:ascii="仿宋" w:hAnsi="仿宋" w:eastAsia="仿宋" w:cs="宋体"/>
          <w:bCs w:val="0"/>
          <w:kern w:val="0"/>
          <w:sz w:val="24"/>
          <w:szCs w:val="24"/>
        </w:rPr>
      </w:pPr>
      <w:bookmarkStart w:id="8" w:name="_Toc58335833"/>
      <w:r>
        <w:rPr>
          <w:rFonts w:hint="eastAsia" w:ascii="仿宋" w:hAnsi="仿宋" w:eastAsia="仿宋" w:cs="宋体"/>
          <w:bCs w:val="0"/>
          <w:kern w:val="0"/>
          <w:sz w:val="24"/>
          <w:szCs w:val="24"/>
        </w:rPr>
        <w:t>五、疑问及质疑</w:t>
      </w:r>
      <w:bookmarkEnd w:id="8"/>
    </w:p>
    <w:p w14:paraId="07A536AB">
      <w:pPr>
        <w:snapToGrid w:val="0"/>
        <w:spacing w:line="360" w:lineRule="auto"/>
        <w:ind w:firstLine="480" w:firstLineChars="200"/>
        <w:jc w:val="left"/>
        <w:rPr>
          <w:rFonts w:hint="eastAsia" w:ascii="仿宋" w:hAnsi="仿宋" w:eastAsia="仿宋" w:cstheme="minorEastAsia"/>
          <w:sz w:val="24"/>
          <w:szCs w:val="24"/>
          <w:lang w:val="en-US" w:eastAsia="zh-CN"/>
        </w:rPr>
      </w:pPr>
      <w:r>
        <w:rPr>
          <w:rFonts w:hint="eastAsia" w:ascii="仿宋" w:hAnsi="仿宋" w:eastAsia="仿宋" w:cstheme="minorEastAsia"/>
          <w:sz w:val="24"/>
          <w:szCs w:val="24"/>
          <w:lang w:val="en-US" w:eastAsia="zh-CN"/>
        </w:rPr>
        <w:t>1．潜在投标人对采购活动事项如有疑问的，可以向采购人提出询问。采购人将在3个工作日内作出答复。</w:t>
      </w:r>
    </w:p>
    <w:p w14:paraId="2FAEE96E">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5E01BBD6">
      <w:pPr>
        <w:pStyle w:val="4"/>
        <w:snapToGrid w:val="0"/>
        <w:spacing w:before="0" w:after="0" w:line="360" w:lineRule="auto"/>
        <w:ind w:firstLine="470" w:firstLineChars="195"/>
        <w:jc w:val="left"/>
        <w:rPr>
          <w:rFonts w:hint="eastAsia" w:ascii="仿宋" w:hAnsi="仿宋" w:eastAsia="仿宋" w:cs="宋体"/>
          <w:bCs w:val="0"/>
          <w:kern w:val="0"/>
          <w:sz w:val="24"/>
          <w:szCs w:val="24"/>
        </w:rPr>
      </w:pPr>
      <w:bookmarkStart w:id="9" w:name="_Toc58335834"/>
      <w:r>
        <w:rPr>
          <w:rFonts w:hint="eastAsia" w:ascii="仿宋" w:hAnsi="仿宋" w:eastAsia="仿宋" w:cs="宋体"/>
          <w:bCs w:val="0"/>
          <w:kern w:val="0"/>
          <w:sz w:val="24"/>
          <w:szCs w:val="24"/>
        </w:rPr>
        <w:t>六、采购项目联系人姓名和电话</w:t>
      </w:r>
      <w:bookmarkEnd w:id="9"/>
    </w:p>
    <w:p w14:paraId="038FD8F0">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1．项目联系人和电话</w:t>
      </w:r>
    </w:p>
    <w:p w14:paraId="3FA64961">
      <w:pPr>
        <w:snapToGrid w:val="0"/>
        <w:spacing w:line="360" w:lineRule="auto"/>
        <w:ind w:firstLine="480" w:firstLineChars="200"/>
        <w:jc w:val="left"/>
        <w:rPr>
          <w:rFonts w:hint="default" w:ascii="仿宋" w:hAnsi="仿宋" w:eastAsia="仿宋" w:cstheme="minorEastAsia"/>
          <w:sz w:val="24"/>
          <w:szCs w:val="24"/>
          <w:lang w:val="en-US" w:eastAsia="zh-CN"/>
        </w:rPr>
      </w:pPr>
      <w:r>
        <w:rPr>
          <w:rFonts w:hint="eastAsia" w:ascii="仿宋" w:hAnsi="仿宋" w:eastAsia="仿宋" w:cstheme="minorEastAsia"/>
          <w:sz w:val="24"/>
          <w:szCs w:val="24"/>
        </w:rPr>
        <w:t>联系人姓名：</w:t>
      </w:r>
      <w:r>
        <w:rPr>
          <w:rFonts w:hint="eastAsia" w:ascii="仿宋" w:hAnsi="仿宋" w:eastAsia="仿宋" w:cstheme="minorEastAsia"/>
          <w:sz w:val="24"/>
          <w:szCs w:val="24"/>
          <w:lang w:val="en-US" w:eastAsia="zh-CN"/>
        </w:rPr>
        <w:t>孟老师</w:t>
      </w:r>
    </w:p>
    <w:p w14:paraId="3666E2A4">
      <w:pPr>
        <w:snapToGrid w:val="0"/>
        <w:spacing w:line="360" w:lineRule="auto"/>
        <w:ind w:firstLine="480" w:firstLineChars="200"/>
        <w:jc w:val="left"/>
        <w:rPr>
          <w:rFonts w:hint="default" w:ascii="仿宋" w:hAnsi="仿宋" w:eastAsia="仿宋" w:cstheme="minorEastAsia"/>
          <w:sz w:val="24"/>
          <w:szCs w:val="24"/>
          <w:lang w:val="en-US" w:eastAsia="zh-CN"/>
        </w:rPr>
      </w:pPr>
      <w:r>
        <w:rPr>
          <w:rFonts w:hint="eastAsia" w:ascii="仿宋" w:hAnsi="仿宋" w:eastAsia="仿宋" w:cstheme="minorEastAsia"/>
          <w:sz w:val="24"/>
          <w:szCs w:val="24"/>
        </w:rPr>
        <w:t>电 话：</w:t>
      </w:r>
      <w:r>
        <w:rPr>
          <w:rFonts w:hint="eastAsia" w:ascii="仿宋" w:hAnsi="仿宋" w:eastAsia="仿宋" w:cstheme="minorEastAsia"/>
          <w:sz w:val="24"/>
          <w:szCs w:val="24"/>
          <w:lang w:val="en-US" w:eastAsia="zh-CN"/>
        </w:rPr>
        <w:t>18867309543</w:t>
      </w:r>
    </w:p>
    <w:p w14:paraId="77569E67">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572EC4D3">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地 址：株洲市</w:t>
      </w:r>
      <w:r>
        <w:rPr>
          <w:rFonts w:hint="eastAsia" w:ascii="仿宋" w:hAnsi="仿宋" w:eastAsia="仿宋" w:cstheme="minorEastAsia"/>
          <w:sz w:val="24"/>
          <w:szCs w:val="24"/>
          <w:lang w:val="en-US" w:eastAsia="zh-CN"/>
        </w:rPr>
        <w:t>石峰区智慧路1号</w:t>
      </w:r>
    </w:p>
    <w:p w14:paraId="22F3A15E">
      <w:pPr>
        <w:pStyle w:val="18"/>
      </w:pPr>
    </w:p>
    <w:p w14:paraId="42402AF4"/>
    <w:p w14:paraId="06CBF053">
      <w:pPr>
        <w:pStyle w:val="18"/>
      </w:pPr>
    </w:p>
    <w:p w14:paraId="0617B9A7"/>
    <w:p w14:paraId="4FFDF357">
      <w:pPr>
        <w:pStyle w:val="18"/>
      </w:pPr>
    </w:p>
    <w:p w14:paraId="5EE97DA2">
      <w:pPr>
        <w:pStyle w:val="18"/>
        <w:ind w:left="0" w:leftChars="0" w:firstLine="0"/>
        <w:rPr>
          <w:szCs w:val="22"/>
        </w:rPr>
      </w:pPr>
    </w:p>
    <w:p w14:paraId="102C28AC"/>
    <w:p w14:paraId="6C63C984">
      <w:pPr>
        <w:pStyle w:val="2"/>
      </w:pPr>
    </w:p>
    <w:p w14:paraId="20FFB50E">
      <w:pPr>
        <w:pStyle w:val="2"/>
      </w:pPr>
    </w:p>
    <w:p w14:paraId="4050E806">
      <w:pPr>
        <w:pStyle w:val="2"/>
      </w:pPr>
    </w:p>
    <w:p w14:paraId="1C9C8DF8">
      <w:pPr>
        <w:pStyle w:val="2"/>
      </w:pPr>
    </w:p>
    <w:p w14:paraId="15A4C589">
      <w:pPr>
        <w:pStyle w:val="2"/>
      </w:pPr>
    </w:p>
    <w:p w14:paraId="3A3E8F91">
      <w:pPr>
        <w:pStyle w:val="2"/>
      </w:pPr>
    </w:p>
    <w:p w14:paraId="550D5355">
      <w:pPr>
        <w:pStyle w:val="2"/>
      </w:pPr>
    </w:p>
    <w:p w14:paraId="09FA3E55">
      <w:pPr>
        <w:pStyle w:val="2"/>
      </w:pPr>
    </w:p>
    <w:p w14:paraId="5DAD3737">
      <w:pPr>
        <w:pStyle w:val="2"/>
      </w:pPr>
    </w:p>
    <w:p w14:paraId="167C6777">
      <w:pPr>
        <w:pStyle w:val="2"/>
        <w:rPr>
          <w:szCs w:val="22"/>
        </w:rPr>
      </w:pPr>
    </w:p>
    <w:p w14:paraId="05B32872"/>
    <w:p w14:paraId="0DBAD7B0">
      <w:pPr>
        <w:pStyle w:val="18"/>
        <w:ind w:left="0" w:leftChars="0" w:firstLine="0"/>
        <w:jc w:val="center"/>
        <w:rPr>
          <w:rFonts w:ascii="仿宋" w:hAnsi="仿宋" w:eastAsia="仿宋" w:cs="Times New Roman"/>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cs="Times New Roman"/>
          <w:b/>
          <w:sz w:val="36"/>
          <w:szCs w:val="36"/>
        </w:rPr>
        <w:t>采购需求</w:t>
      </w:r>
    </w:p>
    <w:p w14:paraId="64323B37">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一、项目基本情况</w:t>
      </w:r>
    </w:p>
    <w:p w14:paraId="5B7D0DF7">
      <w:pPr>
        <w:adjustRightInd w:val="0"/>
        <w:snapToGrid w:val="0"/>
        <w:spacing w:line="360" w:lineRule="auto"/>
        <w:ind w:firstLine="480" w:firstLineChars="200"/>
        <w:rPr>
          <w:rFonts w:hint="default" w:ascii="仿宋" w:hAnsi="仿宋" w:eastAsia="仿宋" w:cstheme="minorEastAsia"/>
          <w:sz w:val="24"/>
          <w:szCs w:val="24"/>
          <w:lang w:val="en-US"/>
        </w:rPr>
      </w:pPr>
      <w:r>
        <w:rPr>
          <w:rFonts w:hint="eastAsia" w:ascii="仿宋" w:hAnsi="仿宋" w:eastAsia="仿宋" w:cs="仿宋"/>
          <w:color w:val="333333"/>
          <w:kern w:val="0"/>
          <w:sz w:val="24"/>
          <w:szCs w:val="24"/>
        </w:rPr>
        <w:t>1．项目名称：</w:t>
      </w:r>
      <w:r>
        <w:rPr>
          <w:rFonts w:hint="eastAsia" w:ascii="仿宋" w:hAnsi="仿宋" w:eastAsia="仿宋" w:cstheme="minorEastAsia"/>
          <w:sz w:val="24"/>
          <w:szCs w:val="24"/>
          <w:lang w:val="en-US" w:eastAsia="zh-CN"/>
        </w:rPr>
        <w:t>2026-2027年度物资搬运服务项目</w:t>
      </w:r>
    </w:p>
    <w:p w14:paraId="663935D3">
      <w:pPr>
        <w:ind w:firstLine="480" w:firstLineChars="20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2．服务期限：</w:t>
      </w:r>
      <w:r>
        <w:rPr>
          <w:rFonts w:hint="eastAsia" w:ascii="仿宋" w:hAnsi="仿宋" w:eastAsia="仿宋" w:cstheme="minorEastAsia"/>
          <w:sz w:val="24"/>
          <w:szCs w:val="24"/>
          <w:lang w:val="en-US" w:eastAsia="zh-CN"/>
        </w:rPr>
        <w:t>自合同签订之日起服务期壹年。</w:t>
      </w:r>
    </w:p>
    <w:p w14:paraId="60F1158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二、服务内容及要求</w:t>
      </w:r>
    </w:p>
    <w:p w14:paraId="79164B4E">
      <w:pPr>
        <w:snapToGrid w:val="0"/>
        <w:spacing w:line="360" w:lineRule="auto"/>
        <w:ind w:firstLine="480" w:firstLineChars="200"/>
        <w:jc w:val="left"/>
        <w:rPr>
          <w:rFonts w:hint="eastAsia" w:ascii="仿宋" w:hAnsi="仿宋" w:eastAsia="仿宋" w:cstheme="minorEastAsia"/>
          <w:sz w:val="24"/>
          <w:szCs w:val="24"/>
          <w:lang w:val="en-US" w:eastAsia="zh-CN"/>
        </w:rPr>
      </w:pPr>
      <w:r>
        <w:rPr>
          <w:rFonts w:hint="eastAsia" w:ascii="仿宋" w:hAnsi="仿宋" w:eastAsia="仿宋" w:cstheme="minorEastAsia"/>
          <w:sz w:val="24"/>
          <w:szCs w:val="24"/>
          <w:lang w:val="en-US" w:eastAsia="zh-CN"/>
        </w:rPr>
        <w:t>1、服务范围：完成学校各部门提出的办公家具拆装、大型仪器设备移位、档案资料及物资库房搬迁、教学器材转运等搬运任务。</w:t>
      </w:r>
    </w:p>
    <w:p w14:paraId="66A39429">
      <w:pPr>
        <w:snapToGrid w:val="0"/>
        <w:spacing w:line="360" w:lineRule="auto"/>
        <w:ind w:firstLine="480" w:firstLineChars="200"/>
        <w:jc w:val="left"/>
        <w:rPr>
          <w:rFonts w:hint="eastAsia" w:ascii="仿宋" w:hAnsi="仿宋" w:eastAsia="仿宋" w:cstheme="minorEastAsia"/>
          <w:sz w:val="24"/>
          <w:szCs w:val="24"/>
          <w:lang w:val="en-US" w:eastAsia="zh-CN"/>
        </w:rPr>
      </w:pPr>
      <w:r>
        <w:rPr>
          <w:rFonts w:hint="eastAsia" w:ascii="仿宋" w:hAnsi="仿宋" w:eastAsia="仿宋" w:cstheme="minorEastAsia"/>
          <w:sz w:val="24"/>
          <w:szCs w:val="24"/>
          <w:lang w:val="en-US" w:eastAsia="zh-CN"/>
        </w:rPr>
        <w:t>2、响应要求：接到学校搬运通知后，须在指定时间内（紧急搬运需2小时内，一般搬运需24小时内）安排人员和车辆到达指定地点。</w:t>
      </w:r>
    </w:p>
    <w:p w14:paraId="22CCF052">
      <w:pPr>
        <w:snapToGrid w:val="0"/>
        <w:spacing w:line="360" w:lineRule="auto"/>
        <w:ind w:firstLine="480" w:firstLineChars="200"/>
        <w:jc w:val="left"/>
        <w:rPr>
          <w:rFonts w:hint="eastAsia" w:ascii="仿宋" w:hAnsi="仿宋" w:eastAsia="仿宋" w:cstheme="minorEastAsia"/>
          <w:sz w:val="24"/>
          <w:szCs w:val="24"/>
          <w:lang w:val="en-US" w:eastAsia="zh-CN"/>
        </w:rPr>
      </w:pPr>
      <w:r>
        <w:rPr>
          <w:rFonts w:hint="eastAsia" w:ascii="仿宋" w:hAnsi="仿宋" w:eastAsia="仿宋" w:cstheme="minorEastAsia"/>
          <w:sz w:val="24"/>
          <w:szCs w:val="24"/>
          <w:lang w:val="en-US" w:eastAsia="zh-CN"/>
        </w:rPr>
        <w:t>3、人员及车辆要求：</w:t>
      </w:r>
    </w:p>
    <w:p w14:paraId="6405DD9C">
      <w:pPr>
        <w:snapToGrid w:val="0"/>
        <w:spacing w:line="360" w:lineRule="auto"/>
        <w:ind w:firstLine="480" w:firstLineChars="200"/>
        <w:jc w:val="left"/>
        <w:rPr>
          <w:rFonts w:hint="default"/>
          <w:lang w:val="en-US" w:eastAsia="zh-CN"/>
        </w:rPr>
      </w:pPr>
      <w:r>
        <w:rPr>
          <w:rFonts w:hint="default" w:ascii="仿宋" w:hAnsi="仿宋" w:eastAsia="仿宋" w:cstheme="minorEastAsia"/>
          <w:sz w:val="24"/>
          <w:szCs w:val="24"/>
          <w:lang w:val="en-US" w:eastAsia="zh-CN"/>
        </w:rPr>
        <w:t>车辆及规格要求</w:t>
      </w:r>
    </w:p>
    <w:tbl>
      <w:tblPr>
        <w:tblStyle w:val="19"/>
        <w:tblW w:w="10176" w:type="dxa"/>
        <w:tblInd w:w="-72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2605"/>
        <w:gridCol w:w="2496"/>
        <w:gridCol w:w="1336"/>
        <w:gridCol w:w="3739"/>
      </w:tblGrid>
      <w:tr w14:paraId="16ACB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2605" w:type="dxa"/>
            <w:tcBorders>
              <w:top w:val="single" w:color="auto" w:sz="4" w:space="0"/>
              <w:left w:val="single" w:color="auto" w:sz="4" w:space="0"/>
              <w:bottom w:val="single" w:color="auto" w:sz="4" w:space="0"/>
              <w:right w:val="single" w:color="auto" w:sz="4" w:space="0"/>
            </w:tcBorders>
            <w:shd w:val="clear" w:color="auto" w:fill="auto"/>
            <w:tcMar>
              <w:top w:w="150" w:type="dxa"/>
              <w:left w:w="0" w:type="dxa"/>
              <w:bottom w:w="150" w:type="dxa"/>
              <w:right w:w="240" w:type="dxa"/>
            </w:tcMar>
            <w:vAlign w:val="center"/>
          </w:tcPr>
          <w:p w14:paraId="41CB21D4">
            <w:pPr>
              <w:keepNext w:val="0"/>
              <w:keepLines w:val="0"/>
              <w:widowControl/>
              <w:suppressLineNumbers w:val="0"/>
              <w:jc w:val="center"/>
              <w:rPr>
                <w:rFonts w:hint="eastAsia" w:ascii="仿宋" w:hAnsi="仿宋" w:eastAsia="仿宋" w:cs="仿宋"/>
                <w:b/>
                <w:bCs/>
                <w:sz w:val="24"/>
                <w:szCs w:val="24"/>
              </w:rPr>
            </w:pPr>
            <w:r>
              <w:rPr>
                <w:rFonts w:hint="eastAsia" w:ascii="仿宋" w:hAnsi="仿宋" w:eastAsia="仿宋" w:cs="仿宋"/>
                <w:b/>
                <w:bCs/>
                <w:kern w:val="0"/>
                <w:sz w:val="24"/>
                <w:szCs w:val="24"/>
                <w:lang w:val="en-US" w:eastAsia="zh-CN" w:bidi="ar"/>
              </w:rPr>
              <w:t>车辆类型</w:t>
            </w:r>
          </w:p>
        </w:tc>
        <w:tc>
          <w:tcPr>
            <w:tcW w:w="2496" w:type="dxa"/>
            <w:tcBorders>
              <w:top w:val="single" w:color="auto" w:sz="4" w:space="0"/>
              <w:left w:val="single" w:color="auto" w:sz="4" w:space="0"/>
              <w:bottom w:val="single" w:color="auto" w:sz="4" w:space="0"/>
              <w:right w:val="single" w:color="auto" w:sz="4" w:space="0"/>
            </w:tcBorders>
            <w:shd w:val="clear" w:color="auto" w:fill="auto"/>
            <w:tcMar>
              <w:top w:w="150" w:type="dxa"/>
              <w:left w:w="240" w:type="dxa"/>
              <w:bottom w:w="150" w:type="dxa"/>
              <w:right w:w="240" w:type="dxa"/>
            </w:tcMar>
            <w:vAlign w:val="center"/>
          </w:tcPr>
          <w:p w14:paraId="194D30B4">
            <w:pPr>
              <w:keepNext w:val="0"/>
              <w:keepLines w:val="0"/>
              <w:widowControl/>
              <w:suppressLineNumbers w:val="0"/>
              <w:jc w:val="center"/>
              <w:rPr>
                <w:rFonts w:hint="eastAsia" w:ascii="仿宋" w:hAnsi="仿宋" w:eastAsia="仿宋" w:cs="仿宋"/>
                <w:b/>
                <w:bCs/>
                <w:kern w:val="0"/>
                <w:sz w:val="24"/>
                <w:szCs w:val="24"/>
                <w:lang w:val="en-US" w:eastAsia="zh-CN" w:bidi="ar"/>
              </w:rPr>
            </w:pPr>
            <w:r>
              <w:rPr>
                <w:rFonts w:hint="eastAsia" w:ascii="仿宋" w:hAnsi="仿宋" w:eastAsia="仿宋" w:cs="仿宋"/>
                <w:b/>
                <w:bCs/>
                <w:kern w:val="0"/>
                <w:sz w:val="24"/>
                <w:szCs w:val="24"/>
                <w:lang w:val="en-US" w:eastAsia="zh-CN" w:bidi="ar"/>
              </w:rPr>
              <w:t>车厢尺寸</w:t>
            </w:r>
          </w:p>
          <w:p w14:paraId="383F9BCD">
            <w:pPr>
              <w:keepNext w:val="0"/>
              <w:keepLines w:val="0"/>
              <w:widowControl/>
              <w:suppressLineNumbers w:val="0"/>
              <w:jc w:val="center"/>
              <w:rPr>
                <w:rFonts w:hint="eastAsia" w:ascii="仿宋" w:hAnsi="仿宋" w:eastAsia="仿宋" w:cs="仿宋"/>
                <w:b/>
                <w:bCs/>
                <w:sz w:val="24"/>
                <w:szCs w:val="24"/>
              </w:rPr>
            </w:pPr>
            <w:r>
              <w:rPr>
                <w:rFonts w:hint="eastAsia" w:ascii="仿宋" w:hAnsi="仿宋" w:eastAsia="仿宋" w:cs="仿宋"/>
                <w:b/>
                <w:bCs/>
                <w:kern w:val="0"/>
                <w:sz w:val="24"/>
                <w:szCs w:val="24"/>
                <w:lang w:val="en-US" w:eastAsia="zh-CN" w:bidi="ar"/>
              </w:rPr>
              <w:t>（长×宽×高，米）</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50" w:type="dxa"/>
              <w:left w:w="240" w:type="dxa"/>
              <w:bottom w:w="150" w:type="dxa"/>
              <w:right w:w="240" w:type="dxa"/>
            </w:tcMar>
            <w:vAlign w:val="center"/>
          </w:tcPr>
          <w:p w14:paraId="2A412E86">
            <w:pPr>
              <w:keepNext w:val="0"/>
              <w:keepLines w:val="0"/>
              <w:widowControl/>
              <w:suppressLineNumbers w:val="0"/>
              <w:jc w:val="center"/>
              <w:rPr>
                <w:rFonts w:hint="eastAsia" w:ascii="仿宋" w:hAnsi="仿宋" w:eastAsia="仿宋" w:cs="仿宋"/>
                <w:b/>
                <w:bCs/>
                <w:kern w:val="0"/>
                <w:sz w:val="24"/>
                <w:szCs w:val="24"/>
                <w:lang w:val="en-US" w:eastAsia="zh-CN" w:bidi="ar"/>
              </w:rPr>
            </w:pPr>
            <w:r>
              <w:rPr>
                <w:rFonts w:hint="eastAsia" w:ascii="仿宋" w:hAnsi="仿宋" w:eastAsia="仿宋" w:cs="仿宋"/>
                <w:b/>
                <w:bCs/>
                <w:kern w:val="0"/>
                <w:sz w:val="24"/>
                <w:szCs w:val="24"/>
                <w:lang w:val="en-US" w:eastAsia="zh-CN" w:bidi="ar"/>
              </w:rPr>
              <w:t>载重</w:t>
            </w:r>
          </w:p>
          <w:p w14:paraId="1D7AAB0C">
            <w:pPr>
              <w:keepNext w:val="0"/>
              <w:keepLines w:val="0"/>
              <w:widowControl/>
              <w:suppressLineNumbers w:val="0"/>
              <w:jc w:val="center"/>
              <w:rPr>
                <w:rFonts w:hint="eastAsia" w:ascii="仿宋" w:hAnsi="仿宋" w:eastAsia="仿宋" w:cs="仿宋"/>
                <w:b/>
                <w:bCs/>
                <w:sz w:val="24"/>
                <w:szCs w:val="24"/>
              </w:rPr>
            </w:pPr>
            <w:r>
              <w:rPr>
                <w:rFonts w:hint="eastAsia" w:ascii="仿宋" w:hAnsi="仿宋" w:eastAsia="仿宋" w:cs="仿宋"/>
                <w:b/>
                <w:bCs/>
                <w:kern w:val="0"/>
                <w:sz w:val="24"/>
                <w:szCs w:val="24"/>
                <w:lang w:val="en-US" w:eastAsia="zh-CN" w:bidi="ar"/>
              </w:rPr>
              <w:t>（吨）</w:t>
            </w:r>
          </w:p>
        </w:tc>
        <w:tc>
          <w:tcPr>
            <w:tcW w:w="3739" w:type="dxa"/>
            <w:tcBorders>
              <w:top w:val="single" w:color="auto" w:sz="4" w:space="0"/>
              <w:left w:val="single" w:color="auto" w:sz="4" w:space="0"/>
              <w:bottom w:val="single" w:color="auto" w:sz="4" w:space="0"/>
              <w:right w:val="single" w:color="auto" w:sz="4" w:space="0"/>
            </w:tcBorders>
            <w:shd w:val="clear" w:color="auto" w:fill="auto"/>
            <w:tcMar>
              <w:top w:w="150" w:type="dxa"/>
              <w:left w:w="240" w:type="dxa"/>
              <w:bottom w:w="150" w:type="dxa"/>
              <w:right w:w="240" w:type="dxa"/>
            </w:tcMar>
            <w:vAlign w:val="center"/>
          </w:tcPr>
          <w:p w14:paraId="66A372E6">
            <w:pPr>
              <w:keepNext w:val="0"/>
              <w:keepLines w:val="0"/>
              <w:widowControl/>
              <w:suppressLineNumbers w:val="0"/>
              <w:jc w:val="center"/>
              <w:rPr>
                <w:rFonts w:hint="eastAsia" w:ascii="仿宋" w:hAnsi="仿宋" w:eastAsia="仿宋" w:cs="仿宋"/>
                <w:b/>
                <w:bCs/>
                <w:sz w:val="24"/>
                <w:szCs w:val="24"/>
              </w:rPr>
            </w:pPr>
            <w:r>
              <w:rPr>
                <w:rFonts w:hint="eastAsia" w:ascii="仿宋" w:hAnsi="仿宋" w:eastAsia="仿宋" w:cs="仿宋"/>
                <w:b/>
                <w:bCs/>
                <w:kern w:val="0"/>
                <w:sz w:val="24"/>
                <w:szCs w:val="24"/>
                <w:lang w:val="en-US" w:eastAsia="zh-CN" w:bidi="ar"/>
              </w:rPr>
              <w:t>用途说明</w:t>
            </w:r>
          </w:p>
        </w:tc>
      </w:tr>
      <w:tr w14:paraId="039B2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068" w:hRule="atLeast"/>
        </w:trPr>
        <w:tc>
          <w:tcPr>
            <w:tcW w:w="2605" w:type="dxa"/>
            <w:tcBorders>
              <w:top w:val="single" w:color="auto" w:sz="4" w:space="0"/>
              <w:left w:val="single" w:color="auto" w:sz="4" w:space="0"/>
              <w:bottom w:val="single" w:color="auto" w:sz="4" w:space="0"/>
              <w:right w:val="single" w:color="auto" w:sz="4" w:space="0"/>
            </w:tcBorders>
            <w:shd w:val="clear" w:color="auto" w:fill="auto"/>
            <w:tcMar>
              <w:top w:w="150" w:type="dxa"/>
              <w:left w:w="0" w:type="dxa"/>
              <w:bottom w:w="150" w:type="dxa"/>
              <w:right w:w="240" w:type="dxa"/>
            </w:tcMar>
            <w:vAlign w:val="center"/>
          </w:tcPr>
          <w:p w14:paraId="26527680">
            <w:pPr>
              <w:keepNext w:val="0"/>
              <w:keepLines w:val="0"/>
              <w:widowControl/>
              <w:suppressLineNumbers w:val="0"/>
              <w:jc w:val="center"/>
              <w:rPr>
                <w:rFonts w:hint="eastAsia" w:ascii="仿宋" w:hAnsi="仿宋" w:eastAsia="仿宋" w:cs="仿宋"/>
                <w:sz w:val="24"/>
                <w:szCs w:val="24"/>
              </w:rPr>
            </w:pPr>
            <w:r>
              <w:rPr>
                <w:rFonts w:hint="eastAsia" w:ascii="仿宋" w:hAnsi="仿宋" w:eastAsia="仿宋" w:cs="仿宋"/>
                <w:kern w:val="0"/>
                <w:sz w:val="24"/>
                <w:szCs w:val="24"/>
                <w:lang w:val="en-US" w:eastAsia="zh-CN" w:bidi="ar"/>
              </w:rPr>
              <w:t>4.2米厢式货车带围板</w:t>
            </w:r>
          </w:p>
        </w:tc>
        <w:tc>
          <w:tcPr>
            <w:tcW w:w="2496" w:type="dxa"/>
            <w:tcBorders>
              <w:top w:val="single" w:color="auto" w:sz="4" w:space="0"/>
              <w:left w:val="single" w:color="auto" w:sz="4" w:space="0"/>
              <w:bottom w:val="single" w:color="auto" w:sz="4" w:space="0"/>
              <w:right w:val="single" w:color="auto" w:sz="4" w:space="0"/>
            </w:tcBorders>
            <w:shd w:val="clear" w:color="auto" w:fill="auto"/>
            <w:tcMar>
              <w:top w:w="150" w:type="dxa"/>
              <w:left w:w="240" w:type="dxa"/>
              <w:bottom w:w="150" w:type="dxa"/>
              <w:right w:w="240" w:type="dxa"/>
            </w:tcMar>
            <w:vAlign w:val="center"/>
          </w:tcPr>
          <w:p w14:paraId="1C05A66F">
            <w:pPr>
              <w:keepNext w:val="0"/>
              <w:keepLines w:val="0"/>
              <w:widowControl/>
              <w:suppressLineNumbers w:val="0"/>
              <w:jc w:val="center"/>
              <w:rPr>
                <w:rFonts w:hint="eastAsia" w:ascii="仿宋" w:hAnsi="仿宋" w:eastAsia="仿宋" w:cs="仿宋"/>
                <w:sz w:val="24"/>
                <w:szCs w:val="24"/>
              </w:rPr>
            </w:pPr>
            <w:r>
              <w:rPr>
                <w:rFonts w:hint="eastAsia" w:ascii="仿宋" w:hAnsi="仿宋" w:eastAsia="仿宋" w:cs="仿宋"/>
                <w:kern w:val="0"/>
                <w:sz w:val="24"/>
                <w:szCs w:val="24"/>
                <w:lang w:val="en-US" w:eastAsia="zh-CN" w:bidi="ar"/>
              </w:rPr>
              <w:t>4.2×1.8×1.9 及以上</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50" w:type="dxa"/>
              <w:left w:w="240" w:type="dxa"/>
              <w:bottom w:w="150" w:type="dxa"/>
              <w:right w:w="240" w:type="dxa"/>
            </w:tcMar>
            <w:vAlign w:val="center"/>
          </w:tcPr>
          <w:p w14:paraId="6BF7FD09">
            <w:pPr>
              <w:keepNext w:val="0"/>
              <w:keepLines w:val="0"/>
              <w:widowControl/>
              <w:suppressLineNumbers w:val="0"/>
              <w:jc w:val="center"/>
              <w:rPr>
                <w:rFonts w:hint="eastAsia" w:ascii="仿宋" w:hAnsi="仿宋" w:eastAsia="仿宋" w:cs="仿宋"/>
                <w:sz w:val="24"/>
                <w:szCs w:val="24"/>
              </w:rPr>
            </w:pPr>
            <w:r>
              <w:rPr>
                <w:rFonts w:hint="eastAsia" w:ascii="仿宋" w:hAnsi="仿宋" w:eastAsia="仿宋" w:cs="仿宋"/>
                <w:kern w:val="0"/>
                <w:sz w:val="24"/>
                <w:szCs w:val="24"/>
                <w:lang w:val="en-US" w:eastAsia="zh-CN" w:bidi="ar"/>
              </w:rPr>
              <w:t>3-5 吨</w:t>
            </w:r>
          </w:p>
        </w:tc>
        <w:tc>
          <w:tcPr>
            <w:tcW w:w="3739" w:type="dxa"/>
            <w:tcBorders>
              <w:top w:val="single" w:color="auto" w:sz="4" w:space="0"/>
              <w:left w:val="single" w:color="auto" w:sz="4" w:space="0"/>
              <w:bottom w:val="single" w:color="auto" w:sz="4" w:space="0"/>
              <w:right w:val="single" w:color="auto" w:sz="4" w:space="0"/>
            </w:tcBorders>
            <w:shd w:val="clear" w:color="auto" w:fill="auto"/>
            <w:tcMar>
              <w:top w:w="150" w:type="dxa"/>
              <w:left w:w="240" w:type="dxa"/>
              <w:bottom w:w="150" w:type="dxa"/>
              <w:right w:w="0" w:type="dxa"/>
            </w:tcMar>
            <w:vAlign w:val="center"/>
          </w:tcPr>
          <w:p w14:paraId="797A5DBF">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大宗办公家具、一般设备、大型实验设备、密集柜、大量物资</w:t>
            </w:r>
          </w:p>
        </w:tc>
      </w:tr>
      <w:tr w14:paraId="0BCE0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605" w:type="dxa"/>
            <w:tcBorders>
              <w:top w:val="single" w:color="auto" w:sz="4" w:space="0"/>
              <w:left w:val="single" w:color="auto" w:sz="4" w:space="0"/>
              <w:bottom w:val="single" w:color="auto" w:sz="4" w:space="0"/>
              <w:right w:val="single" w:color="auto" w:sz="4" w:space="0"/>
            </w:tcBorders>
            <w:shd w:val="clear" w:color="auto" w:fill="auto"/>
            <w:tcMar>
              <w:top w:w="150" w:type="dxa"/>
              <w:left w:w="0" w:type="dxa"/>
              <w:bottom w:w="150" w:type="dxa"/>
              <w:right w:w="240" w:type="dxa"/>
            </w:tcMar>
            <w:vAlign w:val="center"/>
          </w:tcPr>
          <w:p w14:paraId="662B27FE">
            <w:pPr>
              <w:keepNext w:val="0"/>
              <w:keepLines w:val="0"/>
              <w:widowControl/>
              <w:suppressLineNumbers w:val="0"/>
              <w:jc w:val="center"/>
              <w:rPr>
                <w:rFonts w:hint="eastAsia" w:ascii="仿宋" w:hAnsi="仿宋" w:eastAsia="仿宋" w:cs="仿宋"/>
                <w:sz w:val="24"/>
                <w:szCs w:val="24"/>
              </w:rPr>
            </w:pPr>
            <w:r>
              <w:rPr>
                <w:rFonts w:hint="eastAsia" w:ascii="仿宋" w:hAnsi="仿宋" w:eastAsia="仿宋" w:cs="仿宋"/>
                <w:kern w:val="0"/>
                <w:sz w:val="24"/>
                <w:szCs w:val="24"/>
                <w:lang w:val="en-US" w:eastAsia="zh-CN" w:bidi="ar"/>
              </w:rPr>
              <w:t>4米平板车加护栏</w:t>
            </w:r>
          </w:p>
        </w:tc>
        <w:tc>
          <w:tcPr>
            <w:tcW w:w="2496" w:type="dxa"/>
            <w:tcBorders>
              <w:top w:val="single" w:color="auto" w:sz="4" w:space="0"/>
              <w:left w:val="single" w:color="auto" w:sz="4" w:space="0"/>
              <w:bottom w:val="single" w:color="auto" w:sz="4" w:space="0"/>
              <w:right w:val="single" w:color="auto" w:sz="4" w:space="0"/>
            </w:tcBorders>
            <w:shd w:val="clear" w:color="auto" w:fill="auto"/>
            <w:tcMar>
              <w:top w:w="150" w:type="dxa"/>
              <w:left w:w="240" w:type="dxa"/>
              <w:bottom w:w="150" w:type="dxa"/>
              <w:right w:w="240" w:type="dxa"/>
            </w:tcMar>
            <w:vAlign w:val="center"/>
          </w:tcPr>
          <w:p w14:paraId="5A2B7DC4">
            <w:pPr>
              <w:keepNext w:val="0"/>
              <w:keepLines w:val="0"/>
              <w:widowControl/>
              <w:suppressLineNumbers w:val="0"/>
              <w:jc w:val="center"/>
              <w:rPr>
                <w:rFonts w:hint="eastAsia" w:ascii="仿宋" w:hAnsi="仿宋" w:eastAsia="仿宋" w:cs="仿宋"/>
                <w:sz w:val="24"/>
                <w:szCs w:val="24"/>
              </w:rPr>
            </w:pPr>
            <w:r>
              <w:rPr>
                <w:rFonts w:hint="eastAsia" w:ascii="仿宋" w:hAnsi="仿宋" w:eastAsia="仿宋" w:cs="仿宋"/>
                <w:kern w:val="0"/>
                <w:sz w:val="24"/>
                <w:szCs w:val="24"/>
                <w:lang w:val="en-US" w:eastAsia="zh-CN" w:bidi="ar"/>
              </w:rPr>
              <w:t>4×1.9及以上</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50" w:type="dxa"/>
              <w:left w:w="240" w:type="dxa"/>
              <w:bottom w:w="150" w:type="dxa"/>
              <w:right w:w="240" w:type="dxa"/>
            </w:tcMar>
            <w:vAlign w:val="center"/>
          </w:tcPr>
          <w:p w14:paraId="4881F7BB">
            <w:pPr>
              <w:keepNext w:val="0"/>
              <w:keepLines w:val="0"/>
              <w:widowControl/>
              <w:suppressLineNumbers w:val="0"/>
              <w:jc w:val="center"/>
              <w:rPr>
                <w:rFonts w:hint="eastAsia" w:ascii="仿宋" w:hAnsi="仿宋" w:eastAsia="仿宋" w:cs="仿宋"/>
                <w:sz w:val="24"/>
                <w:szCs w:val="24"/>
              </w:rPr>
            </w:pPr>
            <w:r>
              <w:rPr>
                <w:rFonts w:hint="eastAsia" w:ascii="仿宋" w:hAnsi="仿宋" w:eastAsia="仿宋" w:cs="仿宋"/>
                <w:kern w:val="0"/>
                <w:sz w:val="24"/>
                <w:szCs w:val="24"/>
                <w:lang w:val="en-US" w:eastAsia="zh-CN" w:bidi="ar"/>
              </w:rPr>
              <w:t>3-5 吨</w:t>
            </w:r>
          </w:p>
        </w:tc>
        <w:tc>
          <w:tcPr>
            <w:tcW w:w="3739" w:type="dxa"/>
            <w:tcBorders>
              <w:top w:val="single" w:color="auto" w:sz="4" w:space="0"/>
              <w:left w:val="single" w:color="auto" w:sz="4" w:space="0"/>
              <w:bottom w:val="single" w:color="auto" w:sz="4" w:space="0"/>
              <w:right w:val="single" w:color="auto" w:sz="4" w:space="0"/>
            </w:tcBorders>
            <w:shd w:val="clear" w:color="auto" w:fill="auto"/>
            <w:tcMar>
              <w:top w:w="150" w:type="dxa"/>
              <w:left w:w="240" w:type="dxa"/>
              <w:bottom w:w="150" w:type="dxa"/>
              <w:right w:w="0" w:type="dxa"/>
            </w:tcMar>
            <w:vAlign w:val="center"/>
          </w:tcPr>
          <w:p w14:paraId="2FBC72C1">
            <w:pPr>
              <w:keepNext w:val="0"/>
              <w:keepLines w:val="0"/>
              <w:widowControl/>
              <w:suppressLineNumbers w:val="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一些普通物件搬运</w:t>
            </w:r>
          </w:p>
        </w:tc>
      </w:tr>
    </w:tbl>
    <w:p w14:paraId="3C7AD04D">
      <w:pPr>
        <w:snapToGrid w:val="0"/>
        <w:spacing w:line="360" w:lineRule="auto"/>
        <w:ind w:firstLine="480" w:firstLineChars="200"/>
        <w:jc w:val="left"/>
        <w:rPr>
          <w:rFonts w:hint="eastAsia" w:ascii="仿宋" w:hAnsi="仿宋" w:eastAsia="仿宋" w:cstheme="minorEastAsia"/>
          <w:color w:val="000000" w:themeColor="text1"/>
          <w:sz w:val="24"/>
          <w:szCs w:val="24"/>
          <w:lang w:val="en-US" w:eastAsia="zh-CN"/>
          <w14:textFill>
            <w14:solidFill>
              <w14:schemeClr w14:val="tx1"/>
            </w14:solidFill>
          </w14:textFill>
        </w:rPr>
      </w:pPr>
      <w:r>
        <w:rPr>
          <w:rFonts w:hint="eastAsia" w:ascii="仿宋" w:hAnsi="仿宋" w:eastAsia="仿宋" w:cstheme="minorEastAsia"/>
          <w:color w:val="000000" w:themeColor="text1"/>
          <w:sz w:val="24"/>
          <w:szCs w:val="24"/>
          <w:lang w:val="en-US" w:eastAsia="zh-CN"/>
          <w14:textFill>
            <w14:solidFill>
              <w14:schemeClr w14:val="tx1"/>
            </w14:solidFill>
          </w14:textFill>
        </w:rPr>
        <w:t>①搬运服务团队人员不少于10名；所有搬运人员身体健康，统一着装、仪容整洁，服务规范文明，须全程服从校方现场管理人员统一调度与工作安排。</w:t>
      </w:r>
    </w:p>
    <w:p w14:paraId="42B7E4DD">
      <w:pPr>
        <w:snapToGrid w:val="0"/>
        <w:spacing w:line="360" w:lineRule="auto"/>
        <w:ind w:firstLine="480" w:firstLineChars="200"/>
        <w:jc w:val="left"/>
        <w:rPr>
          <w:rFonts w:hint="eastAsia" w:ascii="仿宋" w:hAnsi="仿宋" w:eastAsia="仿宋" w:cstheme="minorEastAsia"/>
          <w:sz w:val="24"/>
          <w:szCs w:val="24"/>
          <w:lang w:val="en-US" w:eastAsia="zh-CN"/>
        </w:rPr>
      </w:pPr>
      <w:r>
        <w:rPr>
          <w:rFonts w:hint="eastAsia" w:ascii="仿宋" w:hAnsi="仿宋" w:eastAsia="仿宋" w:cstheme="minorEastAsia"/>
          <w:sz w:val="24"/>
          <w:szCs w:val="24"/>
          <w:lang w:val="en-US" w:eastAsia="zh-CN"/>
        </w:rPr>
        <w:t>②搬运车辆应车况良好，车厢封闭整洁，具备防雨、防尘功能，并根据货物性质配备必要的软垫、捆绑固定工具。</w:t>
      </w:r>
    </w:p>
    <w:p w14:paraId="46F59FF8">
      <w:pPr>
        <w:snapToGrid w:val="0"/>
        <w:spacing w:line="360" w:lineRule="auto"/>
        <w:ind w:firstLine="480" w:firstLineChars="200"/>
        <w:jc w:val="left"/>
        <w:rPr>
          <w:rFonts w:hint="eastAsia" w:ascii="仿宋" w:hAnsi="仿宋" w:eastAsia="仿宋" w:cstheme="minorEastAsia"/>
          <w:sz w:val="24"/>
          <w:szCs w:val="24"/>
          <w:lang w:val="en-US" w:eastAsia="zh-CN"/>
        </w:rPr>
      </w:pPr>
      <w:r>
        <w:rPr>
          <w:rFonts w:hint="eastAsia" w:ascii="仿宋" w:hAnsi="仿宋" w:eastAsia="仿宋" w:cstheme="minorEastAsia"/>
          <w:sz w:val="24"/>
          <w:szCs w:val="24"/>
          <w:lang w:val="en-US" w:eastAsia="zh-CN"/>
        </w:rPr>
        <w:t>③物品保护：搬运过程中，须对精密仪器、贵重家具、重要档案等物品进行必要的保护性打包、铺垫和固定，避免磕碰、刮擦、受潮或遗失。</w:t>
      </w:r>
    </w:p>
    <w:p w14:paraId="74C04A91">
      <w:pPr>
        <w:snapToGrid w:val="0"/>
        <w:spacing w:line="360" w:lineRule="auto"/>
        <w:ind w:firstLine="480" w:firstLineChars="200"/>
        <w:jc w:val="left"/>
        <w:rPr>
          <w:rFonts w:hint="eastAsia" w:ascii="仿宋" w:hAnsi="仿宋" w:eastAsia="仿宋" w:cstheme="minorEastAsia"/>
          <w:sz w:val="24"/>
          <w:szCs w:val="24"/>
          <w:lang w:val="en-US" w:eastAsia="zh-CN"/>
        </w:rPr>
      </w:pPr>
      <w:r>
        <w:rPr>
          <w:rFonts w:hint="eastAsia" w:ascii="仿宋" w:hAnsi="仿宋" w:eastAsia="仿宋" w:cstheme="minorEastAsia"/>
          <w:sz w:val="24"/>
          <w:szCs w:val="24"/>
          <w:lang w:val="en-US" w:eastAsia="zh-CN"/>
        </w:rPr>
        <w:t>④现场服务：完成搬运后，须按学校要求将物品摆放至指定位置，并清理现场包装垃圾。</w:t>
      </w:r>
    </w:p>
    <w:p w14:paraId="224C307B">
      <w:pPr>
        <w:numPr>
          <w:ilvl w:val="0"/>
          <w:numId w:val="1"/>
        </w:num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服务质量要求：</w:t>
      </w:r>
    </w:p>
    <w:p w14:paraId="123DF2D9">
      <w:pPr>
        <w:snapToGrid w:val="0"/>
        <w:spacing w:line="360" w:lineRule="auto"/>
        <w:ind w:firstLine="480" w:firstLineChars="200"/>
        <w:jc w:val="left"/>
        <w:rPr>
          <w:rFonts w:hint="eastAsia" w:ascii="仿宋" w:hAnsi="仿宋" w:eastAsia="仿宋" w:cstheme="minorEastAsia"/>
          <w:sz w:val="24"/>
          <w:szCs w:val="24"/>
          <w:lang w:val="en-US" w:eastAsia="zh-CN"/>
        </w:rPr>
      </w:pPr>
      <w:r>
        <w:rPr>
          <w:rFonts w:hint="eastAsia" w:ascii="仿宋" w:hAnsi="仿宋" w:eastAsia="仿宋" w:cstheme="minorEastAsia"/>
          <w:sz w:val="24"/>
          <w:szCs w:val="24"/>
          <w:lang w:val="en-US" w:eastAsia="zh-CN"/>
        </w:rPr>
        <w:t>1、搬运过程中如发生物品损坏或丢失，搬家公司应依据物品原值或修复费用在7个工作日内进行赔偿。</w:t>
      </w:r>
    </w:p>
    <w:p w14:paraId="4F7A0458">
      <w:pPr>
        <w:snapToGrid w:val="0"/>
        <w:spacing w:line="360" w:lineRule="auto"/>
        <w:ind w:firstLine="480" w:firstLineChars="200"/>
        <w:jc w:val="left"/>
        <w:rPr>
          <w:rFonts w:hint="eastAsia" w:ascii="仿宋" w:hAnsi="仿宋" w:eastAsia="仿宋" w:cstheme="minorEastAsia"/>
          <w:sz w:val="24"/>
          <w:szCs w:val="24"/>
          <w:lang w:val="en-US" w:eastAsia="zh-CN"/>
        </w:rPr>
      </w:pPr>
      <w:r>
        <w:rPr>
          <w:rFonts w:hint="eastAsia" w:ascii="仿宋" w:hAnsi="仿宋" w:eastAsia="仿宋" w:cstheme="minorEastAsia"/>
          <w:sz w:val="24"/>
          <w:szCs w:val="24"/>
          <w:lang w:val="en-US" w:eastAsia="zh-CN"/>
        </w:rPr>
        <w:t>2、搬运人员需遵守学校的各项管理规定，进出校门主动配合检查，校园内低速行驶、不鸣笛。</w:t>
      </w:r>
    </w:p>
    <w:p w14:paraId="219E66BF">
      <w:pPr>
        <w:snapToGrid w:val="0"/>
        <w:spacing w:line="360" w:lineRule="auto"/>
        <w:ind w:firstLine="480" w:firstLineChars="200"/>
        <w:jc w:val="left"/>
        <w:rPr>
          <w:rFonts w:hint="eastAsia" w:ascii="仿宋" w:hAnsi="仿宋" w:eastAsia="仿宋" w:cstheme="minorEastAsia"/>
          <w:sz w:val="24"/>
          <w:szCs w:val="24"/>
          <w:lang w:val="en-US" w:eastAsia="zh-CN"/>
        </w:rPr>
      </w:pPr>
      <w:r>
        <w:rPr>
          <w:rFonts w:hint="eastAsia" w:ascii="仿宋" w:hAnsi="仿宋" w:eastAsia="仿宋" w:cstheme="minorEastAsia"/>
          <w:sz w:val="24"/>
          <w:szCs w:val="24"/>
          <w:lang w:val="en-US" w:eastAsia="zh-CN"/>
        </w:rPr>
        <w:t>3、因搬家公司原因造成学校设施（如墙面、地面、电梯、门窗等）损坏的，应负责及时修复或照价赔偿。</w:t>
      </w:r>
    </w:p>
    <w:p w14:paraId="3C7DCFAE">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四、服务质量检查考核标准和方法：</w:t>
      </w:r>
    </w:p>
    <w:p w14:paraId="59CB3B11">
      <w:pPr>
        <w:snapToGrid w:val="0"/>
        <w:spacing w:line="360" w:lineRule="auto"/>
        <w:ind w:firstLine="480" w:firstLineChars="200"/>
        <w:jc w:val="left"/>
        <w:rPr>
          <w:rFonts w:hint="eastAsia" w:ascii="仿宋" w:hAnsi="仿宋" w:eastAsia="仿宋" w:cstheme="minorEastAsia"/>
          <w:sz w:val="24"/>
          <w:szCs w:val="24"/>
          <w:lang w:val="en-US" w:eastAsia="zh-CN"/>
        </w:rPr>
      </w:pPr>
      <w:r>
        <w:rPr>
          <w:rFonts w:hint="eastAsia" w:ascii="仿宋" w:hAnsi="仿宋" w:eastAsia="仿宋" w:cstheme="minorEastAsia"/>
          <w:sz w:val="24"/>
          <w:szCs w:val="24"/>
          <w:lang w:val="en-US" w:eastAsia="zh-CN"/>
        </w:rPr>
        <w:t>1、禁止转包：供应商若中标，不允许将本项目进行分包或转包。一经发现，采购人有权立即终止合同，并追究违约责任。</w:t>
      </w:r>
    </w:p>
    <w:p w14:paraId="7CEC750C">
      <w:pPr>
        <w:snapToGrid w:val="0"/>
        <w:spacing w:line="360" w:lineRule="auto"/>
        <w:ind w:firstLine="480" w:firstLineChars="200"/>
        <w:jc w:val="left"/>
        <w:rPr>
          <w:rFonts w:hint="eastAsia" w:ascii="仿宋" w:hAnsi="仿宋" w:eastAsia="仿宋" w:cstheme="minorEastAsia"/>
          <w:sz w:val="24"/>
          <w:szCs w:val="24"/>
          <w:lang w:val="en-US" w:eastAsia="zh-CN"/>
        </w:rPr>
      </w:pPr>
      <w:r>
        <w:rPr>
          <w:rFonts w:hint="eastAsia" w:ascii="仿宋" w:hAnsi="仿宋" w:eastAsia="仿宋" w:cstheme="minorEastAsia"/>
          <w:sz w:val="24"/>
          <w:szCs w:val="24"/>
          <w:lang w:val="en-US" w:eastAsia="zh-CN"/>
        </w:rPr>
        <w:t>2、安全责任：搬运过程中，因搬家公司人员操作不当造成的人身伤害或财产损失，由搬家公司承担全部法律责任及经济赔偿。学校应提供必要的作业场地协调。</w:t>
      </w:r>
    </w:p>
    <w:p w14:paraId="7C338D31">
      <w:pPr>
        <w:snapToGrid w:val="0"/>
        <w:spacing w:line="360" w:lineRule="auto"/>
        <w:ind w:firstLine="480" w:firstLineChars="200"/>
        <w:jc w:val="left"/>
        <w:rPr>
          <w:rFonts w:hint="eastAsia" w:ascii="仿宋" w:hAnsi="仿宋" w:eastAsia="仿宋" w:cstheme="minorEastAsia"/>
          <w:sz w:val="24"/>
          <w:szCs w:val="24"/>
          <w:lang w:val="en-US" w:eastAsia="zh-CN"/>
        </w:rPr>
      </w:pPr>
      <w:r>
        <w:rPr>
          <w:rFonts w:hint="eastAsia" w:ascii="仿宋" w:hAnsi="仿宋" w:eastAsia="仿宋" w:cstheme="minorEastAsia"/>
          <w:sz w:val="24"/>
          <w:szCs w:val="24"/>
          <w:lang w:val="en-US" w:eastAsia="zh-CN"/>
        </w:rPr>
        <w:t>3、保险要求：入围供应商需为其参与搬运的人员购买人身意外伤害保险，并提供车辆、货物运输相关保险证明。</w:t>
      </w:r>
    </w:p>
    <w:p w14:paraId="3ABEC23E">
      <w:pPr>
        <w:snapToGrid w:val="0"/>
        <w:spacing w:line="360" w:lineRule="auto"/>
        <w:ind w:firstLine="480" w:firstLineChars="200"/>
        <w:jc w:val="left"/>
        <w:rPr>
          <w:rFonts w:hint="eastAsia" w:ascii="仿宋" w:hAnsi="仿宋" w:eastAsia="仿宋" w:cstheme="minorEastAsia"/>
          <w:sz w:val="24"/>
          <w:szCs w:val="24"/>
          <w:lang w:val="en-US" w:eastAsia="zh-CN"/>
        </w:rPr>
      </w:pPr>
      <w:r>
        <w:rPr>
          <w:rFonts w:hint="eastAsia" w:ascii="仿宋" w:hAnsi="仿宋" w:eastAsia="仿宋" w:cstheme="minorEastAsia"/>
          <w:sz w:val="24"/>
          <w:szCs w:val="24"/>
          <w:lang w:val="en-US" w:eastAsia="zh-CN"/>
        </w:rPr>
        <w:t>4、考核与退出：学校将对入围供应商的服务质量、响应速度、价格执行情况进行年度考核。考核不合格或发生重大责任事故的，学校有权单方面解除框架协议。</w:t>
      </w:r>
    </w:p>
    <w:p w14:paraId="52DBFF5A">
      <w:pPr>
        <w:snapToGrid w:val="0"/>
        <w:spacing w:line="360" w:lineRule="auto"/>
        <w:ind w:firstLine="480" w:firstLineChars="200"/>
        <w:jc w:val="left"/>
        <w:rPr>
          <w:rFonts w:hint="eastAsia" w:ascii="仿宋" w:hAnsi="仿宋" w:eastAsia="仿宋" w:cstheme="minorEastAsia"/>
          <w:sz w:val="24"/>
          <w:szCs w:val="24"/>
          <w:lang w:val="en-US" w:eastAsia="zh-CN"/>
        </w:rPr>
      </w:pPr>
      <w:r>
        <w:rPr>
          <w:rFonts w:hint="eastAsia" w:ascii="仿宋" w:hAnsi="仿宋" w:eastAsia="仿宋" w:cstheme="minorEastAsia"/>
          <w:sz w:val="24"/>
          <w:szCs w:val="24"/>
          <w:lang w:val="en-US" w:eastAsia="zh-CN"/>
        </w:rPr>
        <w:t>5、其他未尽事宜，由双方在具体服务合同或单次确认单中另行约定。</w:t>
      </w:r>
    </w:p>
    <w:p w14:paraId="3DBB7DC1">
      <w:pPr>
        <w:ind w:firstLine="482" w:firstLineChars="200"/>
        <w:rPr>
          <w:rFonts w:hint="eastAsia" w:ascii="仿宋" w:hAnsi="仿宋" w:eastAsia="仿宋" w:cs="宋体"/>
          <w:b/>
          <w:bCs w:val="0"/>
          <w:kern w:val="0"/>
          <w:sz w:val="24"/>
          <w:szCs w:val="24"/>
          <w:lang w:val="en-US" w:eastAsia="zh-CN" w:bidi="ar-SA"/>
        </w:rPr>
      </w:pPr>
      <w:r>
        <w:rPr>
          <w:rFonts w:hint="eastAsia" w:ascii="仿宋" w:hAnsi="仿宋" w:eastAsia="仿宋" w:cs="宋体"/>
          <w:b/>
          <w:bCs w:val="0"/>
          <w:kern w:val="0"/>
          <w:sz w:val="24"/>
          <w:szCs w:val="24"/>
          <w:lang w:val="en-US" w:eastAsia="zh-CN" w:bidi="ar-SA"/>
        </w:rPr>
        <w:t>五、投标报价计费及结算依据</w:t>
      </w:r>
    </w:p>
    <w:p w14:paraId="265CC62F">
      <w:pPr>
        <w:snapToGrid w:val="0"/>
        <w:spacing w:line="360" w:lineRule="auto"/>
        <w:ind w:firstLine="480" w:firstLineChars="200"/>
        <w:jc w:val="left"/>
        <w:rPr>
          <w:rFonts w:hint="default" w:ascii="仿宋" w:hAnsi="仿宋" w:eastAsia="仿宋" w:cstheme="minorEastAsia"/>
          <w:sz w:val="24"/>
          <w:szCs w:val="24"/>
          <w:lang w:val="en-US" w:eastAsia="zh-CN"/>
        </w:rPr>
      </w:pPr>
      <w:r>
        <w:rPr>
          <w:rFonts w:hint="default" w:ascii="仿宋" w:hAnsi="仿宋" w:eastAsia="仿宋" w:cstheme="minorEastAsia"/>
          <w:sz w:val="24"/>
          <w:szCs w:val="24"/>
          <w:lang w:val="en-US" w:eastAsia="zh-CN"/>
        </w:rPr>
        <w:t>每车费用构成（上限报价）</w:t>
      </w:r>
      <w:r>
        <w:rPr>
          <w:rFonts w:hint="eastAsia" w:ascii="仿宋" w:hAnsi="仿宋" w:eastAsia="仿宋" w:cstheme="minorEastAsia"/>
          <w:sz w:val="24"/>
          <w:szCs w:val="24"/>
          <w:lang w:val="en-US" w:eastAsia="zh-CN"/>
        </w:rPr>
        <w:t>10公里以内</w:t>
      </w:r>
    </w:p>
    <w:tbl>
      <w:tblPr>
        <w:tblStyle w:val="19"/>
        <w:tblW w:w="937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235"/>
        <w:gridCol w:w="3914"/>
        <w:gridCol w:w="3221"/>
      </w:tblGrid>
      <w:tr w14:paraId="33BA6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32" w:hRule="atLeast"/>
          <w:tblHeader/>
          <w:jc w:val="center"/>
        </w:trPr>
        <w:tc>
          <w:tcPr>
            <w:tcW w:w="2235" w:type="dxa"/>
            <w:tcBorders>
              <w:top w:val="single" w:color="auto" w:sz="4" w:space="0"/>
              <w:left w:val="single" w:color="auto" w:sz="4" w:space="0"/>
              <w:bottom w:val="single" w:color="auto" w:sz="4" w:space="0"/>
              <w:right w:val="single" w:color="auto" w:sz="4" w:space="0"/>
            </w:tcBorders>
            <w:shd w:val="clear" w:color="auto" w:fill="auto"/>
            <w:tcMar>
              <w:top w:w="150" w:type="dxa"/>
              <w:left w:w="0" w:type="dxa"/>
              <w:bottom w:w="150" w:type="dxa"/>
              <w:right w:w="240" w:type="dxa"/>
            </w:tcMar>
            <w:vAlign w:val="center"/>
          </w:tcPr>
          <w:p w14:paraId="291FAC3C">
            <w:pPr>
              <w:jc w:val="center"/>
              <w:rPr>
                <w:rFonts w:hint="default" w:ascii="仿宋" w:hAnsi="仿宋" w:eastAsia="仿宋" w:cs="仿宋"/>
                <w:b/>
                <w:bCs/>
                <w:sz w:val="24"/>
                <w:szCs w:val="24"/>
              </w:rPr>
            </w:pPr>
            <w:r>
              <w:rPr>
                <w:rFonts w:hint="eastAsia" w:ascii="宋体" w:hAnsi="宋体" w:eastAsia="宋体" w:cs="宋体"/>
                <w:b/>
                <w:bCs/>
                <w:kern w:val="0"/>
                <w:sz w:val="24"/>
                <w:szCs w:val="24"/>
                <w:lang w:val="en-US" w:eastAsia="zh-CN" w:bidi="ar"/>
              </w:rPr>
              <w:t>车辆类型</w:t>
            </w:r>
          </w:p>
        </w:tc>
        <w:tc>
          <w:tcPr>
            <w:tcW w:w="3914" w:type="dxa"/>
            <w:tcBorders>
              <w:top w:val="single" w:color="auto" w:sz="4" w:space="0"/>
              <w:left w:val="single" w:color="auto" w:sz="4" w:space="0"/>
              <w:bottom w:val="single" w:color="auto" w:sz="4" w:space="0"/>
              <w:right w:val="single" w:color="auto" w:sz="4" w:space="0"/>
            </w:tcBorders>
            <w:shd w:val="clear" w:color="auto" w:fill="auto"/>
            <w:tcMar>
              <w:top w:w="150" w:type="dxa"/>
              <w:left w:w="240" w:type="dxa"/>
              <w:bottom w:w="150" w:type="dxa"/>
              <w:right w:w="240" w:type="dxa"/>
            </w:tcMar>
            <w:vAlign w:val="center"/>
          </w:tcPr>
          <w:p w14:paraId="439B3456">
            <w:pPr>
              <w:jc w:val="center"/>
              <w:rPr>
                <w:rFonts w:hint="default" w:ascii="仿宋" w:hAnsi="仿宋" w:eastAsia="仿宋" w:cs="仿宋"/>
                <w:b/>
                <w:bCs/>
                <w:sz w:val="24"/>
                <w:szCs w:val="24"/>
              </w:rPr>
            </w:pPr>
            <w:r>
              <w:rPr>
                <w:rFonts w:hint="eastAsia" w:ascii="仿宋" w:hAnsi="仿宋" w:eastAsia="仿宋" w:cs="仿宋"/>
                <w:b/>
                <w:bCs/>
                <w:sz w:val="24"/>
                <w:szCs w:val="24"/>
                <w:lang w:val="en-US" w:eastAsia="zh-CN"/>
              </w:rPr>
              <w:t>搬运</w:t>
            </w:r>
            <w:r>
              <w:rPr>
                <w:rFonts w:hint="default" w:ascii="仿宋" w:hAnsi="仿宋" w:eastAsia="仿宋" w:cs="仿宋"/>
                <w:b/>
                <w:bCs/>
                <w:sz w:val="24"/>
                <w:szCs w:val="24"/>
                <w:lang w:val="en-US" w:eastAsia="zh-CN"/>
              </w:rPr>
              <w:t>说明</w:t>
            </w:r>
          </w:p>
        </w:tc>
        <w:tc>
          <w:tcPr>
            <w:tcW w:w="3221" w:type="dxa"/>
            <w:tcBorders>
              <w:top w:val="single" w:color="auto" w:sz="4" w:space="0"/>
              <w:left w:val="single" w:color="auto" w:sz="4" w:space="0"/>
              <w:bottom w:val="single" w:color="auto" w:sz="4" w:space="0"/>
              <w:right w:val="single" w:color="auto" w:sz="4" w:space="0"/>
            </w:tcBorders>
            <w:shd w:val="clear" w:color="auto" w:fill="auto"/>
            <w:tcMar>
              <w:top w:w="150" w:type="dxa"/>
              <w:left w:w="240" w:type="dxa"/>
              <w:bottom w:w="150" w:type="dxa"/>
              <w:right w:w="240" w:type="dxa"/>
            </w:tcMar>
            <w:vAlign w:val="center"/>
          </w:tcPr>
          <w:p w14:paraId="1CF2693D">
            <w:pPr>
              <w:jc w:val="both"/>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单车收费标准（上限值）</w:t>
            </w:r>
          </w:p>
        </w:tc>
      </w:tr>
      <w:tr w14:paraId="3C14C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899" w:hRule="atLeast"/>
          <w:jc w:val="center"/>
        </w:trPr>
        <w:tc>
          <w:tcPr>
            <w:tcW w:w="2235" w:type="dxa"/>
            <w:tcBorders>
              <w:top w:val="single" w:color="auto" w:sz="4" w:space="0"/>
              <w:left w:val="single" w:color="auto" w:sz="4" w:space="0"/>
              <w:bottom w:val="single" w:color="auto" w:sz="4" w:space="0"/>
              <w:right w:val="single" w:color="auto" w:sz="4" w:space="0"/>
            </w:tcBorders>
            <w:shd w:val="clear" w:color="auto" w:fill="auto"/>
            <w:tcMar>
              <w:top w:w="150" w:type="dxa"/>
              <w:left w:w="0" w:type="dxa"/>
              <w:bottom w:w="150" w:type="dxa"/>
              <w:right w:w="240" w:type="dxa"/>
            </w:tcMar>
            <w:vAlign w:val="center"/>
          </w:tcPr>
          <w:p w14:paraId="3D0AE234">
            <w:pPr>
              <w:snapToGrid w:val="0"/>
              <w:spacing w:line="360" w:lineRule="auto"/>
              <w:ind w:firstLine="480" w:firstLineChars="200"/>
              <w:jc w:val="left"/>
              <w:rPr>
                <w:rFonts w:hint="default" w:ascii="仿宋" w:hAnsi="仿宋" w:eastAsia="仿宋" w:cstheme="minorEastAsia"/>
                <w:sz w:val="24"/>
                <w:szCs w:val="24"/>
                <w:lang w:val="en-US" w:eastAsia="zh-CN"/>
              </w:rPr>
            </w:pPr>
            <w:r>
              <w:rPr>
                <w:rFonts w:hint="default" w:ascii="仿宋" w:hAnsi="仿宋" w:eastAsia="仿宋" w:cstheme="minorEastAsia"/>
                <w:sz w:val="24"/>
                <w:szCs w:val="24"/>
                <w:lang w:val="en-US" w:eastAsia="zh-CN"/>
              </w:rPr>
              <w:t>4.2米货车</w:t>
            </w:r>
          </w:p>
        </w:tc>
        <w:tc>
          <w:tcPr>
            <w:tcW w:w="3914" w:type="dxa"/>
            <w:tcBorders>
              <w:top w:val="single" w:color="auto" w:sz="4" w:space="0"/>
              <w:left w:val="single" w:color="auto" w:sz="4" w:space="0"/>
              <w:bottom w:val="single" w:color="auto" w:sz="4" w:space="0"/>
              <w:right w:val="single" w:color="auto" w:sz="4" w:space="0"/>
            </w:tcBorders>
            <w:shd w:val="clear" w:color="auto" w:fill="auto"/>
            <w:tcMar>
              <w:top w:w="150" w:type="dxa"/>
              <w:left w:w="240" w:type="dxa"/>
              <w:bottom w:w="150" w:type="dxa"/>
              <w:right w:w="240" w:type="dxa"/>
            </w:tcMar>
            <w:vAlign w:val="center"/>
          </w:tcPr>
          <w:p w14:paraId="16157B91">
            <w:pPr>
              <w:snapToGrid w:val="0"/>
              <w:spacing w:line="360" w:lineRule="auto"/>
              <w:jc w:val="center"/>
              <w:rPr>
                <w:rFonts w:hint="default" w:ascii="仿宋" w:hAnsi="仿宋" w:eastAsia="仿宋" w:cstheme="minorEastAsia"/>
                <w:sz w:val="24"/>
                <w:szCs w:val="24"/>
                <w:lang w:val="en-US" w:eastAsia="zh-CN"/>
              </w:rPr>
            </w:pPr>
            <w:r>
              <w:rPr>
                <w:rFonts w:hint="eastAsia" w:ascii="仿宋" w:hAnsi="仿宋" w:eastAsia="仿宋" w:cstheme="minorEastAsia"/>
                <w:sz w:val="24"/>
                <w:szCs w:val="24"/>
                <w:lang w:val="en-US" w:eastAsia="zh-CN"/>
              </w:rPr>
              <w:t>包装货、卸货</w:t>
            </w:r>
          </w:p>
        </w:tc>
        <w:tc>
          <w:tcPr>
            <w:tcW w:w="3221" w:type="dxa"/>
            <w:tcBorders>
              <w:top w:val="single" w:color="auto" w:sz="4" w:space="0"/>
              <w:left w:val="single" w:color="auto" w:sz="4" w:space="0"/>
              <w:bottom w:val="single" w:color="auto" w:sz="4" w:space="0"/>
              <w:right w:val="single" w:color="auto" w:sz="4" w:space="0"/>
            </w:tcBorders>
            <w:shd w:val="clear" w:color="auto" w:fill="auto"/>
            <w:tcMar>
              <w:top w:w="150" w:type="dxa"/>
              <w:left w:w="240" w:type="dxa"/>
              <w:bottom w:w="150" w:type="dxa"/>
              <w:right w:w="240" w:type="dxa"/>
            </w:tcMar>
            <w:vAlign w:val="center"/>
          </w:tcPr>
          <w:p w14:paraId="63E40E36">
            <w:pPr>
              <w:snapToGrid w:val="0"/>
              <w:spacing w:line="360" w:lineRule="auto"/>
              <w:ind w:firstLine="480" w:firstLineChars="200"/>
              <w:jc w:val="left"/>
              <w:rPr>
                <w:rFonts w:hint="eastAsia" w:ascii="仿宋" w:hAnsi="仿宋" w:eastAsia="仿宋" w:cstheme="minorEastAsia"/>
                <w:sz w:val="24"/>
                <w:szCs w:val="24"/>
                <w:lang w:val="en-US" w:eastAsia="zh-CN"/>
              </w:rPr>
            </w:pPr>
            <w:r>
              <w:rPr>
                <w:rFonts w:hint="eastAsia" w:ascii="仿宋" w:hAnsi="仿宋" w:eastAsia="仿宋" w:cstheme="minorEastAsia"/>
                <w:sz w:val="24"/>
                <w:szCs w:val="24"/>
                <w:lang w:val="en-US" w:eastAsia="zh-CN"/>
              </w:rPr>
              <w:t>400</w:t>
            </w:r>
            <w:r>
              <w:rPr>
                <w:rFonts w:hint="default" w:ascii="仿宋" w:hAnsi="仿宋" w:eastAsia="仿宋" w:cstheme="minorEastAsia"/>
                <w:sz w:val="24"/>
                <w:szCs w:val="24"/>
                <w:lang w:val="en-US" w:eastAsia="zh-CN"/>
              </w:rPr>
              <w:t xml:space="preserve"> 元/车</w:t>
            </w:r>
            <w:r>
              <w:rPr>
                <w:rFonts w:hint="eastAsia" w:ascii="仿宋" w:hAnsi="仿宋" w:eastAsia="仿宋" w:cstheme="minorEastAsia"/>
                <w:sz w:val="24"/>
                <w:szCs w:val="24"/>
                <w:lang w:val="en-US" w:eastAsia="zh-CN"/>
              </w:rPr>
              <w:t>（不上楼）</w:t>
            </w:r>
          </w:p>
          <w:p w14:paraId="574CFA5A">
            <w:pPr>
              <w:snapToGrid w:val="0"/>
              <w:spacing w:line="360" w:lineRule="auto"/>
              <w:ind w:firstLine="480" w:firstLineChars="200"/>
              <w:jc w:val="left"/>
              <w:rPr>
                <w:rFonts w:hint="default" w:ascii="仿宋" w:hAnsi="仿宋" w:eastAsia="仿宋" w:cstheme="minorEastAsia"/>
                <w:sz w:val="24"/>
                <w:szCs w:val="24"/>
                <w:lang w:val="en-US" w:eastAsia="zh-CN"/>
              </w:rPr>
            </w:pPr>
            <w:r>
              <w:rPr>
                <w:rFonts w:hint="eastAsia" w:ascii="仿宋" w:hAnsi="仿宋" w:eastAsia="仿宋" w:cstheme="minorEastAsia"/>
                <w:sz w:val="24"/>
                <w:szCs w:val="24"/>
                <w:lang w:val="en-US" w:eastAsia="zh-CN"/>
              </w:rPr>
              <w:t>450元/车（上楼）</w:t>
            </w:r>
          </w:p>
        </w:tc>
      </w:tr>
      <w:tr w14:paraId="219A3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90" w:hRule="atLeast"/>
          <w:jc w:val="center"/>
        </w:trPr>
        <w:tc>
          <w:tcPr>
            <w:tcW w:w="2235" w:type="dxa"/>
            <w:tcBorders>
              <w:top w:val="single" w:color="auto" w:sz="4" w:space="0"/>
              <w:left w:val="single" w:color="auto" w:sz="4" w:space="0"/>
              <w:bottom w:val="single" w:color="auto" w:sz="4" w:space="0"/>
              <w:right w:val="single" w:color="auto" w:sz="4" w:space="0"/>
            </w:tcBorders>
            <w:shd w:val="clear" w:color="auto" w:fill="auto"/>
            <w:tcMar>
              <w:top w:w="150" w:type="dxa"/>
              <w:left w:w="0" w:type="dxa"/>
              <w:bottom w:w="150" w:type="dxa"/>
              <w:right w:w="240" w:type="dxa"/>
            </w:tcMar>
            <w:vAlign w:val="center"/>
          </w:tcPr>
          <w:p w14:paraId="2CEAC38F">
            <w:pPr>
              <w:snapToGrid w:val="0"/>
              <w:spacing w:line="360" w:lineRule="auto"/>
              <w:ind w:firstLine="480" w:firstLineChars="200"/>
              <w:jc w:val="left"/>
              <w:rPr>
                <w:rFonts w:hint="default" w:ascii="仿宋" w:hAnsi="仿宋" w:eastAsia="仿宋" w:cstheme="minorEastAsia"/>
                <w:sz w:val="24"/>
                <w:szCs w:val="24"/>
                <w:lang w:val="en-US" w:eastAsia="zh-CN"/>
              </w:rPr>
            </w:pPr>
            <w:r>
              <w:rPr>
                <w:rFonts w:hint="eastAsia" w:ascii="仿宋" w:hAnsi="仿宋" w:eastAsia="仿宋" w:cstheme="minorEastAsia"/>
                <w:sz w:val="24"/>
                <w:szCs w:val="24"/>
                <w:lang w:val="en-US" w:eastAsia="zh-CN"/>
              </w:rPr>
              <w:t>4米平板车</w:t>
            </w:r>
          </w:p>
        </w:tc>
        <w:tc>
          <w:tcPr>
            <w:tcW w:w="3914" w:type="dxa"/>
            <w:tcBorders>
              <w:top w:val="single" w:color="auto" w:sz="4" w:space="0"/>
              <w:left w:val="single" w:color="auto" w:sz="4" w:space="0"/>
              <w:bottom w:val="single" w:color="auto" w:sz="4" w:space="0"/>
              <w:right w:val="single" w:color="auto" w:sz="4" w:space="0"/>
            </w:tcBorders>
            <w:shd w:val="clear" w:color="auto" w:fill="auto"/>
            <w:tcMar>
              <w:top w:w="150" w:type="dxa"/>
              <w:left w:w="240" w:type="dxa"/>
              <w:bottom w:w="150" w:type="dxa"/>
              <w:right w:w="240" w:type="dxa"/>
            </w:tcMar>
            <w:vAlign w:val="center"/>
          </w:tcPr>
          <w:p w14:paraId="2E007A9B">
            <w:pPr>
              <w:snapToGrid w:val="0"/>
              <w:spacing w:line="360" w:lineRule="auto"/>
              <w:jc w:val="center"/>
              <w:rPr>
                <w:rFonts w:hint="default" w:ascii="仿宋" w:hAnsi="仿宋" w:eastAsia="仿宋" w:cstheme="minorEastAsia"/>
                <w:sz w:val="24"/>
                <w:szCs w:val="24"/>
                <w:lang w:val="en-US" w:eastAsia="zh-CN"/>
              </w:rPr>
            </w:pPr>
            <w:r>
              <w:rPr>
                <w:rFonts w:hint="eastAsia" w:ascii="仿宋" w:hAnsi="仿宋" w:eastAsia="仿宋" w:cstheme="minorEastAsia"/>
                <w:sz w:val="24"/>
                <w:szCs w:val="24"/>
                <w:lang w:val="en-US" w:eastAsia="zh-CN"/>
              </w:rPr>
              <w:t>包装货、卸货</w:t>
            </w:r>
          </w:p>
        </w:tc>
        <w:tc>
          <w:tcPr>
            <w:tcW w:w="3221" w:type="dxa"/>
            <w:tcBorders>
              <w:top w:val="single" w:color="auto" w:sz="4" w:space="0"/>
              <w:left w:val="single" w:color="auto" w:sz="4" w:space="0"/>
              <w:bottom w:val="single" w:color="auto" w:sz="4" w:space="0"/>
              <w:right w:val="single" w:color="auto" w:sz="4" w:space="0"/>
            </w:tcBorders>
            <w:shd w:val="clear" w:color="auto" w:fill="auto"/>
            <w:tcMar>
              <w:top w:w="150" w:type="dxa"/>
              <w:left w:w="240" w:type="dxa"/>
              <w:bottom w:w="150" w:type="dxa"/>
              <w:right w:w="240" w:type="dxa"/>
            </w:tcMar>
            <w:vAlign w:val="center"/>
          </w:tcPr>
          <w:p w14:paraId="3A0B5BD2">
            <w:pPr>
              <w:snapToGrid w:val="0"/>
              <w:spacing w:line="360" w:lineRule="auto"/>
              <w:ind w:firstLine="480" w:firstLineChars="200"/>
              <w:jc w:val="left"/>
              <w:rPr>
                <w:rFonts w:hint="eastAsia" w:ascii="仿宋" w:hAnsi="仿宋" w:eastAsia="仿宋" w:cstheme="minorEastAsia"/>
                <w:sz w:val="24"/>
                <w:szCs w:val="24"/>
                <w:lang w:val="en-US" w:eastAsia="zh-CN"/>
              </w:rPr>
            </w:pPr>
            <w:r>
              <w:rPr>
                <w:rFonts w:hint="eastAsia" w:ascii="仿宋" w:hAnsi="仿宋" w:eastAsia="仿宋" w:cstheme="minorEastAsia"/>
                <w:sz w:val="24"/>
                <w:szCs w:val="24"/>
                <w:lang w:val="en-US" w:eastAsia="zh-CN"/>
              </w:rPr>
              <w:t>280元/车（不上楼）</w:t>
            </w:r>
          </w:p>
          <w:p w14:paraId="2E293F38">
            <w:pPr>
              <w:snapToGrid w:val="0"/>
              <w:spacing w:line="360" w:lineRule="auto"/>
              <w:ind w:firstLine="480" w:firstLineChars="200"/>
              <w:jc w:val="left"/>
              <w:rPr>
                <w:rFonts w:hint="default" w:ascii="仿宋" w:hAnsi="仿宋" w:eastAsia="仿宋" w:cstheme="minorEastAsia"/>
                <w:sz w:val="24"/>
                <w:szCs w:val="24"/>
                <w:lang w:val="en-US" w:eastAsia="zh-CN"/>
              </w:rPr>
            </w:pPr>
            <w:r>
              <w:rPr>
                <w:rFonts w:hint="eastAsia" w:ascii="仿宋" w:hAnsi="仿宋" w:eastAsia="仿宋" w:cstheme="minorEastAsia"/>
                <w:sz w:val="24"/>
                <w:szCs w:val="24"/>
                <w:lang w:val="en-US" w:eastAsia="zh-CN"/>
              </w:rPr>
              <w:t>330元/车（上楼）</w:t>
            </w:r>
          </w:p>
        </w:tc>
      </w:tr>
    </w:tbl>
    <w:p w14:paraId="6B5E84A9">
      <w:pPr>
        <w:ind w:firstLine="480" w:firstLineChars="200"/>
        <w:rPr>
          <w:rFonts w:hint="default" w:ascii="仿宋" w:hAnsi="仿宋" w:eastAsia="仿宋" w:cstheme="minorEastAsia"/>
          <w:sz w:val="24"/>
          <w:szCs w:val="24"/>
          <w:lang w:val="en-US" w:eastAsia="zh-CN"/>
        </w:rPr>
      </w:pPr>
      <w:r>
        <w:rPr>
          <w:rFonts w:hint="eastAsia" w:ascii="仿宋" w:hAnsi="仿宋" w:eastAsia="仿宋" w:cstheme="minorEastAsia"/>
          <w:sz w:val="24"/>
          <w:szCs w:val="24"/>
          <w:lang w:val="en-US" w:eastAsia="zh-CN"/>
        </w:rPr>
        <w:t>费用为全包价（含油费、司机及工人工资、车辆保险、搬运工具、基础保护材料）</w:t>
      </w:r>
      <w:r>
        <w:rPr>
          <w:rFonts w:hint="eastAsia" w:ascii="仿宋" w:hAnsi="仿宋" w:eastAsia="仿宋" w:cs="仿宋"/>
          <w:color w:val="000000" w:themeColor="text1"/>
          <w:sz w:val="30"/>
          <w:szCs w:val="30"/>
          <w14:textFill>
            <w14:solidFill>
              <w14:schemeClr w14:val="tx1"/>
            </w14:solidFill>
          </w14:textFill>
        </w:rPr>
        <w:t>。</w:t>
      </w:r>
      <w:r>
        <w:rPr>
          <w:rFonts w:hint="eastAsia" w:ascii="仿宋" w:hAnsi="仿宋" w:eastAsia="仿宋" w:cstheme="minorEastAsia"/>
          <w:color w:val="000000" w:themeColor="text1"/>
          <w:sz w:val="24"/>
          <w:szCs w:val="24"/>
          <w:lang w:val="en-US" w:eastAsia="zh-CN"/>
          <w14:textFill>
            <w14:solidFill>
              <w14:schemeClr w14:val="tx1"/>
            </w14:solidFill>
          </w14:textFill>
        </w:rPr>
        <w:t>投标报价不得高于收费标准（上限值），否则为无效投标。</w:t>
      </w:r>
    </w:p>
    <w:p w14:paraId="2D3BB43D">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7E5ADB90">
      <w:pPr>
        <w:ind w:firstLine="480" w:firstLineChars="20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本合同</w:t>
      </w:r>
      <w:r>
        <w:rPr>
          <w:rFonts w:hint="eastAsia" w:ascii="仿宋" w:hAnsi="仿宋" w:eastAsia="仿宋" w:cs="仿宋"/>
          <w:color w:val="000000" w:themeColor="text1"/>
          <w:kern w:val="0"/>
          <w:sz w:val="24"/>
          <w:szCs w:val="24"/>
          <w:lang w:val="en-US" w:eastAsia="zh-CN"/>
          <w14:textFill>
            <w14:solidFill>
              <w14:schemeClr w14:val="tx1"/>
            </w14:solidFill>
          </w14:textFill>
        </w:rPr>
        <w:t>按实际发生数量进行结算，</w:t>
      </w:r>
      <w:r>
        <w:rPr>
          <w:rFonts w:hint="eastAsia" w:ascii="仿宋" w:hAnsi="仿宋" w:eastAsia="仿宋" w:cs="仿宋"/>
          <w:color w:val="000000" w:themeColor="text1"/>
          <w:kern w:val="0"/>
          <w:sz w:val="24"/>
          <w:szCs w:val="24"/>
          <w14:textFill>
            <w14:solidFill>
              <w14:schemeClr w14:val="tx1"/>
            </w14:solidFill>
          </w14:textFill>
        </w:rPr>
        <w:t>成交供应商收到成交通知后，应按期签订合同。</w:t>
      </w:r>
    </w:p>
    <w:p w14:paraId="60CEE356">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七、付款方式</w:t>
      </w:r>
    </w:p>
    <w:p w14:paraId="5DA5331B">
      <w:pPr>
        <w:ind w:firstLine="480" w:firstLineChars="200"/>
        <w:rPr>
          <w:rFonts w:hint="eastAsia" w:ascii="仿宋" w:hAnsi="仿宋" w:eastAsia="仿宋" w:cstheme="minorEastAsia"/>
          <w:sz w:val="24"/>
          <w:szCs w:val="24"/>
          <w:lang w:val="en-US" w:eastAsia="zh-CN"/>
        </w:rPr>
      </w:pPr>
      <w:r>
        <w:rPr>
          <w:rFonts w:hint="eastAsia" w:ascii="仿宋" w:hAnsi="仿宋" w:eastAsia="仿宋" w:cstheme="minorEastAsia"/>
          <w:sz w:val="24"/>
          <w:szCs w:val="24"/>
          <w:lang w:val="en-US" w:eastAsia="zh-CN"/>
        </w:rPr>
        <w:t>1、按单次搬运服务进行结算。单次服务完成并经学校经办部门验收签字确认后，供应商开具合法有效的发票。</w:t>
      </w:r>
    </w:p>
    <w:p w14:paraId="78F577C2">
      <w:pPr>
        <w:ind w:firstLine="480" w:firstLineChars="200"/>
        <w:rPr>
          <w:rFonts w:hint="eastAsia" w:ascii="仿宋" w:hAnsi="仿宋" w:eastAsia="仿宋" w:cs="仿宋"/>
          <w:color w:val="333333"/>
          <w:kern w:val="0"/>
          <w:sz w:val="24"/>
          <w:szCs w:val="24"/>
        </w:rPr>
      </w:pPr>
      <w:r>
        <w:rPr>
          <w:rFonts w:hint="eastAsia" w:ascii="仿宋" w:hAnsi="仿宋" w:eastAsia="仿宋" w:cstheme="minorEastAsia"/>
          <w:sz w:val="24"/>
          <w:szCs w:val="24"/>
          <w:lang w:val="en-US" w:eastAsia="zh-CN"/>
        </w:rPr>
        <w:t>2、学校在收到完整付款资料（发票、经签字确认的服务确认单）后，办理支付手续，结清该次服务全部费用。</w:t>
      </w:r>
    </w:p>
    <w:p w14:paraId="24767AF6">
      <w:pPr>
        <w:ind w:firstLine="482" w:firstLineChars="200"/>
        <w:rPr>
          <w:rFonts w:hint="eastAsia" w:ascii="仿宋" w:hAnsi="仿宋" w:eastAsia="仿宋" w:cs="宋体"/>
          <w:b/>
          <w:bCs w:val="0"/>
          <w:kern w:val="0"/>
          <w:sz w:val="24"/>
          <w:szCs w:val="24"/>
          <w:lang w:val="en-US" w:eastAsia="zh-CN" w:bidi="ar-SA"/>
        </w:rPr>
      </w:pPr>
      <w:r>
        <w:rPr>
          <w:rFonts w:hint="eastAsia" w:ascii="仿宋" w:hAnsi="仿宋" w:eastAsia="仿宋" w:cs="宋体"/>
          <w:b/>
          <w:bCs w:val="0"/>
          <w:kern w:val="0"/>
          <w:sz w:val="24"/>
          <w:szCs w:val="24"/>
          <w:lang w:val="en-US" w:eastAsia="zh-CN" w:bidi="ar-SA"/>
        </w:rPr>
        <w:t>八、其他事项</w:t>
      </w:r>
    </w:p>
    <w:p w14:paraId="686432FE">
      <w:pPr>
        <w:ind w:firstLine="480" w:firstLineChars="200"/>
        <w:rPr>
          <w:rFonts w:hint="eastAsia" w:ascii="仿宋" w:hAnsi="仿宋" w:eastAsia="仿宋" w:cstheme="minorEastAsia"/>
          <w:sz w:val="24"/>
          <w:szCs w:val="24"/>
          <w:lang w:val="en-US" w:eastAsia="zh-CN"/>
        </w:rPr>
      </w:pPr>
      <w:r>
        <w:rPr>
          <w:rFonts w:hint="eastAsia" w:ascii="仿宋" w:hAnsi="仿宋" w:eastAsia="仿宋" w:cstheme="minorEastAsia"/>
          <w:sz w:val="24"/>
          <w:szCs w:val="24"/>
          <w:lang w:val="en-US" w:eastAsia="zh-CN"/>
        </w:rPr>
        <w:t>1、禁止转包：供应商若中标，不允许将本项目进行分包或转包。一经发现，采购人有权立即终止框架协议，并追究违约责任。</w:t>
      </w:r>
    </w:p>
    <w:p w14:paraId="0C4502B0">
      <w:pPr>
        <w:ind w:firstLine="480" w:firstLineChars="200"/>
        <w:rPr>
          <w:rFonts w:hint="eastAsia" w:ascii="仿宋" w:hAnsi="仿宋" w:eastAsia="仿宋" w:cstheme="minorEastAsia"/>
          <w:sz w:val="24"/>
          <w:szCs w:val="24"/>
          <w:lang w:val="en-US" w:eastAsia="zh-CN"/>
        </w:rPr>
      </w:pPr>
      <w:r>
        <w:rPr>
          <w:rFonts w:hint="eastAsia" w:ascii="仿宋" w:hAnsi="仿宋" w:eastAsia="仿宋" w:cstheme="minorEastAsia"/>
          <w:sz w:val="24"/>
          <w:szCs w:val="24"/>
          <w:lang w:val="en-US" w:eastAsia="zh-CN"/>
        </w:rPr>
        <w:t>2、安全责任：搬运过程中，因搬家公司人员操作不当造成的人身伤害或财产损失，由搬家公司承担全部法律责任及经济赔偿。学校应提供必要的作业场地协调。</w:t>
      </w:r>
    </w:p>
    <w:p w14:paraId="3201462C">
      <w:pPr>
        <w:ind w:firstLine="480" w:firstLineChars="200"/>
        <w:rPr>
          <w:rFonts w:hint="eastAsia" w:ascii="仿宋" w:hAnsi="仿宋" w:eastAsia="仿宋" w:cstheme="minorEastAsia"/>
          <w:sz w:val="24"/>
          <w:szCs w:val="24"/>
          <w:lang w:val="en-US" w:eastAsia="zh-CN"/>
        </w:rPr>
      </w:pPr>
      <w:r>
        <w:rPr>
          <w:rFonts w:hint="eastAsia" w:ascii="仿宋" w:hAnsi="仿宋" w:eastAsia="仿宋" w:cstheme="minorEastAsia"/>
          <w:sz w:val="24"/>
          <w:szCs w:val="24"/>
          <w:lang w:val="en-US" w:eastAsia="zh-CN"/>
        </w:rPr>
        <w:t>3、保险要求：入围供应商需为其参与搬运的人员购买人身意外伤害保险，并提供车辆、货物运输相关保险证明。</w:t>
      </w:r>
    </w:p>
    <w:p w14:paraId="3E080802">
      <w:pPr>
        <w:ind w:firstLine="480" w:firstLineChars="200"/>
        <w:rPr>
          <w:rFonts w:hint="eastAsia" w:ascii="仿宋" w:hAnsi="仿宋" w:eastAsia="仿宋" w:cstheme="minorEastAsia"/>
          <w:sz w:val="24"/>
          <w:szCs w:val="24"/>
          <w:lang w:val="en-US" w:eastAsia="zh-CN"/>
        </w:rPr>
      </w:pPr>
      <w:r>
        <w:rPr>
          <w:rFonts w:hint="eastAsia" w:ascii="仿宋" w:hAnsi="仿宋" w:eastAsia="仿宋" w:cstheme="minorEastAsia"/>
          <w:sz w:val="24"/>
          <w:szCs w:val="24"/>
          <w:lang w:val="en-US" w:eastAsia="zh-CN"/>
        </w:rPr>
        <w:t>4、考核与退出：学校将对入围供应商的服务质量、响应速度、价格执行情况进行年度考核。考核不合格或发生重大责任事故的，学校有权单方面解除框架协议。</w:t>
      </w:r>
    </w:p>
    <w:p w14:paraId="71FBB7BF">
      <w:pPr>
        <w:ind w:firstLine="480" w:firstLineChars="200"/>
        <w:rPr>
          <w:rFonts w:hint="eastAsia" w:ascii="仿宋" w:hAnsi="仿宋" w:eastAsia="仿宋" w:cstheme="minorEastAsia"/>
          <w:sz w:val="24"/>
          <w:szCs w:val="24"/>
          <w:lang w:val="en-US" w:eastAsia="zh-CN"/>
        </w:rPr>
      </w:pPr>
      <w:r>
        <w:rPr>
          <w:rFonts w:hint="eastAsia" w:ascii="仿宋" w:hAnsi="仿宋" w:eastAsia="仿宋" w:cstheme="minorEastAsia"/>
          <w:sz w:val="24"/>
          <w:szCs w:val="24"/>
          <w:lang w:val="en-US" w:eastAsia="zh-CN"/>
        </w:rPr>
        <w:t>5、其他未尽事宜，由双方在具体服务合同或单次确认单中另行约定。</w:t>
      </w:r>
    </w:p>
    <w:p w14:paraId="1F504E54"/>
    <w:p w14:paraId="10AC134B">
      <w:pPr>
        <w:pStyle w:val="18"/>
        <w:ind w:left="0" w:leftChars="0" w:firstLine="0"/>
        <w:jc w:val="center"/>
        <w:rPr>
          <w:rFonts w:hint="eastAsia" w:ascii="仿宋" w:hAnsi="仿宋" w:eastAsia="仿宋"/>
          <w:b/>
          <w:sz w:val="36"/>
          <w:szCs w:val="36"/>
        </w:rPr>
      </w:pPr>
    </w:p>
    <w:p w14:paraId="1F361A1A">
      <w:pPr>
        <w:pStyle w:val="18"/>
        <w:ind w:left="0" w:leftChars="0" w:firstLine="0"/>
        <w:jc w:val="center"/>
        <w:rPr>
          <w:rFonts w:hint="eastAsia" w:ascii="仿宋" w:hAnsi="仿宋" w:eastAsia="仿宋"/>
          <w:b/>
          <w:sz w:val="36"/>
          <w:szCs w:val="36"/>
        </w:rPr>
      </w:pPr>
    </w:p>
    <w:p w14:paraId="423D4BF3">
      <w:pPr>
        <w:pStyle w:val="18"/>
        <w:ind w:left="0" w:leftChars="0" w:firstLine="0"/>
        <w:jc w:val="center"/>
        <w:rPr>
          <w:rFonts w:hint="eastAsia" w:ascii="仿宋" w:hAnsi="仿宋" w:eastAsia="仿宋"/>
          <w:b/>
          <w:sz w:val="36"/>
          <w:szCs w:val="36"/>
        </w:rPr>
      </w:pPr>
    </w:p>
    <w:p w14:paraId="1CEE1774">
      <w:pPr>
        <w:pStyle w:val="18"/>
        <w:ind w:left="0" w:leftChars="0" w:firstLine="0"/>
        <w:jc w:val="center"/>
        <w:rPr>
          <w:rFonts w:hint="eastAsia" w:ascii="仿宋" w:hAnsi="仿宋" w:eastAsia="仿宋"/>
          <w:b/>
          <w:sz w:val="36"/>
          <w:szCs w:val="36"/>
        </w:rPr>
      </w:pPr>
    </w:p>
    <w:p w14:paraId="7306E27B">
      <w:pPr>
        <w:pStyle w:val="18"/>
        <w:ind w:left="0" w:leftChars="0" w:firstLine="0"/>
        <w:jc w:val="center"/>
        <w:rPr>
          <w:rFonts w:hint="eastAsia" w:ascii="仿宋" w:hAnsi="仿宋" w:eastAsia="仿宋"/>
          <w:b/>
          <w:sz w:val="36"/>
          <w:szCs w:val="36"/>
        </w:rPr>
      </w:pPr>
    </w:p>
    <w:p w14:paraId="65F88279">
      <w:pPr>
        <w:pStyle w:val="18"/>
        <w:ind w:left="0" w:leftChars="0" w:firstLine="0"/>
        <w:jc w:val="center"/>
        <w:rPr>
          <w:rFonts w:hint="eastAsia" w:ascii="仿宋" w:hAnsi="仿宋" w:eastAsia="仿宋"/>
          <w:b/>
          <w:sz w:val="36"/>
          <w:szCs w:val="36"/>
        </w:rPr>
      </w:pPr>
    </w:p>
    <w:p w14:paraId="5300B313">
      <w:pPr>
        <w:pStyle w:val="2"/>
        <w:rPr>
          <w:rFonts w:hint="eastAsia" w:ascii="仿宋" w:hAnsi="仿宋" w:eastAsia="仿宋"/>
          <w:b/>
          <w:sz w:val="36"/>
          <w:szCs w:val="36"/>
        </w:rPr>
      </w:pPr>
    </w:p>
    <w:p w14:paraId="59E822AF">
      <w:pPr>
        <w:pStyle w:val="2"/>
        <w:rPr>
          <w:rFonts w:hint="eastAsia" w:ascii="仿宋" w:hAnsi="仿宋" w:eastAsia="仿宋"/>
          <w:b/>
          <w:sz w:val="36"/>
          <w:szCs w:val="36"/>
        </w:rPr>
      </w:pPr>
    </w:p>
    <w:p w14:paraId="31183DEE">
      <w:pPr>
        <w:pStyle w:val="2"/>
        <w:rPr>
          <w:rFonts w:hint="eastAsia" w:ascii="仿宋" w:hAnsi="仿宋" w:eastAsia="仿宋"/>
          <w:b/>
          <w:sz w:val="36"/>
          <w:szCs w:val="36"/>
        </w:rPr>
      </w:pPr>
    </w:p>
    <w:p w14:paraId="223FEA38">
      <w:pPr>
        <w:pStyle w:val="18"/>
        <w:ind w:left="0" w:leftChars="0" w:firstLine="0"/>
        <w:jc w:val="center"/>
        <w:rPr>
          <w:rFonts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ascii="仿宋" w:hAnsi="仿宋" w:eastAsia="仿宋"/>
          <w:b/>
          <w:sz w:val="24"/>
          <w:szCs w:val="24"/>
        </w:rPr>
      </w:pPr>
      <w:r>
        <w:rPr>
          <w:rFonts w:hint="eastAsia" w:ascii="仿宋" w:hAnsi="仿宋" w:eastAsia="仿宋"/>
          <w:b/>
          <w:sz w:val="24"/>
          <w:szCs w:val="24"/>
        </w:rPr>
        <w:t>1.询比小组</w:t>
      </w:r>
    </w:p>
    <w:p w14:paraId="2EF6FFB2">
      <w:pPr>
        <w:spacing w:line="360" w:lineRule="auto"/>
        <w:ind w:firstLine="480" w:firstLineChars="200"/>
        <w:rPr>
          <w:rFonts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ascii="仿宋" w:hAnsi="仿宋" w:eastAsia="仿宋"/>
          <w:b/>
          <w:sz w:val="24"/>
          <w:szCs w:val="24"/>
        </w:rPr>
      </w:pPr>
      <w:r>
        <w:rPr>
          <w:rFonts w:hint="eastAsia" w:ascii="仿宋" w:hAnsi="仿宋" w:eastAsia="仿宋"/>
          <w:b/>
          <w:sz w:val="24"/>
          <w:szCs w:val="24"/>
        </w:rPr>
        <w:t>2.评审方法</w:t>
      </w:r>
    </w:p>
    <w:p w14:paraId="1D76FA35">
      <w:pPr>
        <w:spacing w:line="360" w:lineRule="auto"/>
        <w:ind w:firstLine="480" w:firstLineChars="200"/>
        <w:rPr>
          <w:rFonts w:hint="eastAsia" w:ascii="仿宋" w:hAnsi="仿宋" w:eastAsia="仿宋" w:cs="Times New Roman"/>
          <w:sz w:val="24"/>
          <w:szCs w:val="24"/>
        </w:rPr>
      </w:pPr>
      <w:r>
        <w:rPr>
          <w:rFonts w:hint="eastAsia" w:ascii="仿宋" w:hAnsi="仿宋" w:eastAsia="仿宋" w:cs="Times New Roman"/>
          <w:sz w:val="24"/>
          <w:szCs w:val="24"/>
        </w:rPr>
        <w:t>2.1评审方法：综合评分法，即响应文件能够最大限度的满足询比采购文件规定的各项综合评价标准且经评审得分</w:t>
      </w:r>
      <w:r>
        <w:rPr>
          <w:rFonts w:hint="eastAsia" w:ascii="仿宋" w:hAnsi="仿宋" w:eastAsia="仿宋" w:cs="Times New Roman"/>
          <w:sz w:val="24"/>
          <w:szCs w:val="24"/>
          <w:lang w:val="en-US" w:eastAsia="zh-CN"/>
        </w:rPr>
        <w:t>前三位</w:t>
      </w:r>
      <w:r>
        <w:rPr>
          <w:rFonts w:hint="eastAsia" w:ascii="仿宋" w:hAnsi="仿宋" w:eastAsia="仿宋" w:cs="Times New Roman"/>
          <w:sz w:val="24"/>
          <w:szCs w:val="24"/>
        </w:rPr>
        <w:t>的供应商为成交供应商的评标方法。</w:t>
      </w:r>
    </w:p>
    <w:p w14:paraId="722CD4F1">
      <w:pPr>
        <w:spacing w:line="360" w:lineRule="auto"/>
        <w:ind w:firstLine="480" w:firstLineChars="200"/>
        <w:rPr>
          <w:rFonts w:hint="eastAsia" w:ascii="仿宋" w:hAnsi="仿宋" w:eastAsia="仿宋" w:cs="Times New Roman"/>
          <w:sz w:val="24"/>
          <w:szCs w:val="24"/>
        </w:rPr>
      </w:pPr>
      <w:r>
        <w:rPr>
          <w:rFonts w:hint="eastAsia" w:ascii="仿宋" w:hAnsi="仿宋" w:eastAsia="仿宋" w:cs="Times New Roman"/>
          <w:sz w:val="24"/>
          <w:szCs w:val="24"/>
        </w:rPr>
        <w:t>2.2本采购项目的评审因素和标准见表1</w:t>
      </w:r>
    </w:p>
    <w:p w14:paraId="7B29EF3C">
      <w:pPr>
        <w:snapToGrid w:val="0"/>
        <w:spacing w:line="360" w:lineRule="auto"/>
        <w:ind w:firstLine="480" w:firstLineChars="200"/>
        <w:jc w:val="left"/>
        <w:rPr>
          <w:rFonts w:hint="eastAsia" w:ascii="仿宋" w:hAnsi="仿宋" w:eastAsia="仿宋"/>
          <w:color w:val="auto"/>
          <w:sz w:val="24"/>
          <w:szCs w:val="24"/>
          <w:lang w:val="en-US" w:eastAsia="zh-CN"/>
        </w:rPr>
      </w:pPr>
      <w:r>
        <w:rPr>
          <w:rFonts w:hint="eastAsia" w:ascii="仿宋" w:hAnsi="仿宋" w:eastAsia="仿宋"/>
          <w:color w:val="auto"/>
          <w:sz w:val="24"/>
          <w:szCs w:val="24"/>
          <w:lang w:val="en-US" w:eastAsia="zh-CN"/>
        </w:rPr>
        <w:t>2.3投标报价说明：</w:t>
      </w:r>
      <w:r>
        <w:rPr>
          <w:rFonts w:hint="eastAsia" w:ascii="仿宋" w:hAnsi="仿宋" w:eastAsia="仿宋" w:cs="Times New Roman"/>
          <w:sz w:val="24"/>
          <w:szCs w:val="24"/>
        </w:rPr>
        <w:t>投标人单车报价不得高于单车费用限价；全部有效投标里，最低单车投标报价为本项目最终成交</w:t>
      </w:r>
      <w:r>
        <w:rPr>
          <w:rFonts w:hint="eastAsia" w:ascii="仿宋" w:hAnsi="仿宋" w:eastAsia="仿宋" w:cs="Times New Roman"/>
          <w:sz w:val="24"/>
          <w:szCs w:val="24"/>
          <w:lang w:val="en-US" w:eastAsia="zh-CN"/>
        </w:rPr>
        <w:t>结算</w:t>
      </w:r>
      <w:r>
        <w:rPr>
          <w:rFonts w:hint="eastAsia" w:ascii="仿宋" w:hAnsi="仿宋" w:eastAsia="仿宋" w:cs="Times New Roman"/>
          <w:sz w:val="24"/>
          <w:szCs w:val="24"/>
        </w:rPr>
        <w:t>价格。</w:t>
      </w:r>
    </w:p>
    <w:p w14:paraId="74E22D22">
      <w:pPr>
        <w:spacing w:line="360" w:lineRule="auto"/>
        <w:ind w:firstLine="482" w:firstLineChars="200"/>
        <w:rPr>
          <w:rFonts w:ascii="仿宋" w:hAnsi="仿宋" w:eastAsia="仿宋"/>
          <w:b/>
          <w:sz w:val="24"/>
          <w:szCs w:val="24"/>
        </w:rPr>
      </w:pPr>
      <w:r>
        <w:rPr>
          <w:rFonts w:hint="eastAsia" w:ascii="仿宋" w:hAnsi="仿宋" w:eastAsia="仿宋"/>
          <w:b/>
          <w:sz w:val="24"/>
          <w:szCs w:val="24"/>
        </w:rPr>
        <w:t>3.比较与评价</w:t>
      </w:r>
    </w:p>
    <w:p w14:paraId="62FFDF99">
      <w:pPr>
        <w:spacing w:line="360" w:lineRule="auto"/>
        <w:ind w:firstLine="480" w:firstLineChars="200"/>
        <w:rPr>
          <w:rFonts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3F3E0DEE">
      <w:pPr>
        <w:spacing w:line="360" w:lineRule="auto"/>
        <w:ind w:firstLine="480" w:firstLineChars="200"/>
        <w:rPr>
          <w:rFonts w:ascii="仿宋" w:hAnsi="仿宋" w:eastAsia="仿宋"/>
          <w:color w:val="auto"/>
          <w:sz w:val="24"/>
          <w:szCs w:val="24"/>
        </w:rPr>
      </w:pPr>
      <w:r>
        <w:rPr>
          <w:rFonts w:hint="eastAsia" w:ascii="仿宋" w:hAnsi="仿宋" w:eastAsia="仿宋"/>
          <w:color w:val="auto"/>
          <w:sz w:val="24"/>
          <w:szCs w:val="24"/>
        </w:rPr>
        <w:t>3.2最终报价评价。询比小组以最终报价为基础。</w:t>
      </w:r>
    </w:p>
    <w:p w14:paraId="26FD6BFF">
      <w:pPr>
        <w:spacing w:line="360" w:lineRule="auto"/>
        <w:ind w:firstLine="480" w:firstLineChars="200"/>
        <w:rPr>
          <w:rFonts w:ascii="仿宋" w:hAnsi="仿宋" w:eastAsia="仿宋"/>
          <w:sz w:val="24"/>
          <w:szCs w:val="24"/>
        </w:rPr>
      </w:pPr>
      <w:r>
        <w:rPr>
          <w:rFonts w:hint="eastAsia" w:ascii="仿宋" w:hAnsi="仿宋" w:eastAsia="仿宋"/>
          <w:sz w:val="24"/>
          <w:szCs w:val="24"/>
        </w:rPr>
        <w:t>3.3价格分采用按评审因素和标准表格内评分标准执行。</w:t>
      </w:r>
    </w:p>
    <w:p w14:paraId="634AEBA5">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3.4评审时，询比小组各成员应当独立对每个供应商的响应文件进行评价、评分，然后汇总每个</w:t>
      </w:r>
      <w:r>
        <w:rPr>
          <w:rFonts w:hint="eastAsia" w:ascii="仿宋" w:hAnsi="仿宋" w:eastAsia="仿宋"/>
          <w:sz w:val="24"/>
          <w:szCs w:val="24"/>
          <w:u w:val="none"/>
        </w:rPr>
        <w:t>供应商项评分因素的得分。</w:t>
      </w:r>
    </w:p>
    <w:p w14:paraId="70779EC7">
      <w:pPr>
        <w:pStyle w:val="18"/>
        <w:spacing w:before="0" w:beforeAutospacing="0" w:after="0" w:line="240" w:lineRule="atLeast"/>
        <w:ind w:left="0" w:leftChars="0" w:firstLine="0"/>
        <w:rPr>
          <w:rFonts w:ascii="仿宋" w:hAnsi="仿宋" w:eastAsia="仿宋"/>
          <w:b/>
          <w:sz w:val="28"/>
          <w:szCs w:val="28"/>
        </w:rPr>
      </w:pPr>
    </w:p>
    <w:p w14:paraId="056FE710">
      <w:pPr>
        <w:pStyle w:val="18"/>
        <w:spacing w:before="0" w:beforeAutospacing="0" w:after="0" w:line="240" w:lineRule="atLeast"/>
        <w:ind w:left="0" w:leftChars="0" w:firstLine="0"/>
        <w:rPr>
          <w:rFonts w:ascii="仿宋" w:hAnsi="仿宋" w:eastAsia="仿宋"/>
          <w:b/>
          <w:sz w:val="28"/>
          <w:szCs w:val="28"/>
        </w:rPr>
      </w:pPr>
      <w:r>
        <w:rPr>
          <w:rFonts w:ascii="仿宋" w:hAnsi="仿宋" w:eastAsia="仿宋"/>
          <w:b/>
          <w:sz w:val="28"/>
          <w:szCs w:val="28"/>
        </w:rPr>
        <w:t>表</w:t>
      </w:r>
      <w:r>
        <w:rPr>
          <w:rFonts w:hint="eastAsia" w:ascii="仿宋" w:hAnsi="仿宋" w:eastAsia="仿宋"/>
          <w:b/>
          <w:sz w:val="28"/>
          <w:szCs w:val="28"/>
        </w:rPr>
        <w:t>1 评审因素和标准</w:t>
      </w:r>
    </w:p>
    <w:tbl>
      <w:tblPr>
        <w:tblStyle w:val="20"/>
        <w:tblW w:w="9801"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28" w:type="dxa"/>
          <w:left w:w="108" w:type="dxa"/>
          <w:bottom w:w="28" w:type="dxa"/>
          <w:right w:w="108" w:type="dxa"/>
        </w:tblCellMar>
      </w:tblPr>
      <w:tblGrid>
        <w:gridCol w:w="559"/>
        <w:gridCol w:w="1302"/>
        <w:gridCol w:w="704"/>
        <w:gridCol w:w="7236"/>
      </w:tblGrid>
      <w:tr w14:paraId="608006F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blHeader/>
          <w:jc w:val="center"/>
        </w:trPr>
        <w:tc>
          <w:tcPr>
            <w:tcW w:w="559" w:type="dxa"/>
            <w:tcBorders>
              <w:top w:val="single" w:color="auto" w:sz="4" w:space="0"/>
              <w:left w:val="single" w:color="auto" w:sz="4" w:space="0"/>
            </w:tcBorders>
            <w:vAlign w:val="center"/>
          </w:tcPr>
          <w:p w14:paraId="3FB5E375">
            <w:pPr>
              <w:adjustRightInd w:val="0"/>
              <w:snapToGrid w:val="0"/>
              <w:spacing w:line="276" w:lineRule="auto"/>
              <w:jc w:val="center"/>
              <w:rPr>
                <w:rFonts w:ascii="黑体" w:hAnsi="黑体" w:eastAsia="黑体"/>
                <w:bCs/>
                <w:kern w:val="0"/>
                <w:sz w:val="24"/>
                <w:szCs w:val="24"/>
              </w:rPr>
            </w:pPr>
            <w:r>
              <w:rPr>
                <w:rFonts w:hint="eastAsia" w:ascii="黑体" w:hAnsi="黑体" w:eastAsia="黑体"/>
                <w:bCs/>
                <w:kern w:val="0"/>
                <w:sz w:val="24"/>
                <w:szCs w:val="24"/>
              </w:rPr>
              <w:t>序号</w:t>
            </w:r>
          </w:p>
        </w:tc>
        <w:tc>
          <w:tcPr>
            <w:tcW w:w="1302" w:type="dxa"/>
            <w:tcBorders>
              <w:top w:val="single" w:color="auto" w:sz="4" w:space="0"/>
            </w:tcBorders>
            <w:vAlign w:val="center"/>
          </w:tcPr>
          <w:p w14:paraId="53289C6E">
            <w:pPr>
              <w:adjustRightInd w:val="0"/>
              <w:snapToGrid w:val="0"/>
              <w:spacing w:line="276" w:lineRule="auto"/>
              <w:jc w:val="center"/>
              <w:rPr>
                <w:rFonts w:ascii="黑体" w:hAnsi="黑体" w:eastAsia="黑体"/>
                <w:bCs/>
                <w:kern w:val="0"/>
                <w:sz w:val="24"/>
                <w:szCs w:val="20"/>
              </w:rPr>
            </w:pPr>
            <w:r>
              <w:rPr>
                <w:rFonts w:hint="eastAsia" w:ascii="黑体" w:hAnsi="黑体" w:eastAsia="黑体"/>
                <w:bCs/>
                <w:kern w:val="0"/>
                <w:sz w:val="24"/>
                <w:szCs w:val="20"/>
              </w:rPr>
              <w:t>评分因素</w:t>
            </w:r>
          </w:p>
        </w:tc>
        <w:tc>
          <w:tcPr>
            <w:tcW w:w="704" w:type="dxa"/>
            <w:tcBorders>
              <w:top w:val="single" w:color="auto" w:sz="4" w:space="0"/>
            </w:tcBorders>
            <w:vAlign w:val="center"/>
          </w:tcPr>
          <w:p w14:paraId="3FD14CD8">
            <w:pPr>
              <w:adjustRightInd w:val="0"/>
              <w:snapToGrid w:val="0"/>
              <w:spacing w:line="276" w:lineRule="auto"/>
              <w:jc w:val="center"/>
              <w:rPr>
                <w:rFonts w:ascii="黑体" w:hAnsi="黑体" w:eastAsia="黑体"/>
                <w:bCs/>
                <w:kern w:val="0"/>
                <w:sz w:val="24"/>
                <w:szCs w:val="24"/>
              </w:rPr>
            </w:pPr>
            <w:r>
              <w:rPr>
                <w:rFonts w:hint="eastAsia" w:ascii="黑体" w:hAnsi="黑体" w:eastAsia="黑体"/>
                <w:bCs/>
                <w:kern w:val="0"/>
                <w:sz w:val="24"/>
                <w:szCs w:val="24"/>
              </w:rPr>
              <w:t>分值</w:t>
            </w:r>
          </w:p>
        </w:tc>
        <w:tc>
          <w:tcPr>
            <w:tcW w:w="7236" w:type="dxa"/>
            <w:tcBorders>
              <w:top w:val="single" w:color="auto" w:sz="4" w:space="0"/>
              <w:right w:val="single" w:color="auto" w:sz="4" w:space="0"/>
            </w:tcBorders>
            <w:vAlign w:val="center"/>
          </w:tcPr>
          <w:p w14:paraId="46E875D5">
            <w:pPr>
              <w:adjustRightInd w:val="0"/>
              <w:snapToGrid w:val="0"/>
              <w:spacing w:line="276" w:lineRule="auto"/>
              <w:jc w:val="center"/>
              <w:rPr>
                <w:rFonts w:ascii="黑体" w:hAnsi="黑体" w:eastAsia="黑体"/>
                <w:bCs/>
                <w:kern w:val="0"/>
                <w:sz w:val="24"/>
                <w:szCs w:val="24"/>
              </w:rPr>
            </w:pPr>
            <w:r>
              <w:rPr>
                <w:rFonts w:hint="eastAsia" w:ascii="黑体" w:hAnsi="黑体" w:eastAsia="黑体"/>
                <w:bCs/>
                <w:kern w:val="0"/>
                <w:sz w:val="24"/>
                <w:szCs w:val="24"/>
              </w:rPr>
              <w:t>评分标准</w:t>
            </w:r>
          </w:p>
        </w:tc>
      </w:tr>
      <w:tr w14:paraId="2C946A6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559" w:type="dxa"/>
            <w:tcBorders>
              <w:left w:val="single" w:color="auto" w:sz="4" w:space="0"/>
            </w:tcBorders>
            <w:vAlign w:val="center"/>
          </w:tcPr>
          <w:p w14:paraId="54F0E9E0">
            <w:pPr>
              <w:pStyle w:val="16"/>
              <w:keepNext w:val="0"/>
              <w:keepLines w:val="0"/>
              <w:widowControl/>
              <w:suppressLineNumbers w:val="0"/>
              <w:spacing w:before="0" w:beforeAutospacing="0" w:after="0" w:afterAutospacing="0"/>
              <w:ind w:left="0" w:leftChars="0" w:right="0" w:rightChars="0"/>
              <w:jc w:val="center"/>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1</w:t>
            </w:r>
          </w:p>
        </w:tc>
        <w:tc>
          <w:tcPr>
            <w:tcW w:w="1302" w:type="dxa"/>
            <w:vAlign w:val="center"/>
          </w:tcPr>
          <w:p w14:paraId="5121ACAA">
            <w:pPr>
              <w:pStyle w:val="16"/>
              <w:keepNext w:val="0"/>
              <w:keepLines w:val="0"/>
              <w:widowControl/>
              <w:suppressLineNumbers w:val="0"/>
              <w:spacing w:before="0" w:beforeAutospacing="0" w:after="0" w:afterAutospacing="0"/>
              <w:ind w:left="0" w:leftChars="0" w:right="0" w:rightChars="0"/>
              <w:jc w:val="center"/>
              <w:rPr>
                <w:rFonts w:ascii="仿宋" w:hAnsi="仿宋" w:eastAsia="仿宋" w:cs="仿宋"/>
                <w:b w:val="0"/>
                <w:bCs w:val="0"/>
                <w:i w:val="0"/>
                <w:iCs w:val="0"/>
                <w:color w:val="000000" w:themeColor="text1"/>
                <w:spacing w:val="0"/>
                <w:w w:val="100"/>
                <w:kern w:val="2"/>
                <w:sz w:val="24"/>
                <w:szCs w:val="24"/>
                <w:vertAlign w:val="baseline"/>
                <w14:textFill>
                  <w14:solidFill>
                    <w14:schemeClr w14:val="tx1"/>
                  </w14:solidFill>
                </w14:textFill>
              </w:rPr>
            </w:pPr>
            <w:r>
              <w:rPr>
                <w:rFonts w:hint="eastAsia" w:ascii="仿宋" w:hAnsi="仿宋" w:eastAsia="仿宋" w:cs="仿宋"/>
                <w:b w:val="0"/>
                <w:bCs w:val="0"/>
                <w:i w:val="0"/>
                <w:iCs w:val="0"/>
                <w:color w:val="000000" w:themeColor="text1"/>
                <w:spacing w:val="0"/>
                <w:w w:val="100"/>
                <w:kern w:val="2"/>
                <w:sz w:val="24"/>
                <w:szCs w:val="24"/>
                <w:vertAlign w:val="baseline"/>
                <w14:textFill>
                  <w14:solidFill>
                    <w14:schemeClr w14:val="tx1"/>
                  </w14:solidFill>
                </w14:textFill>
              </w:rPr>
              <w:t>报价</w:t>
            </w:r>
          </w:p>
        </w:tc>
        <w:tc>
          <w:tcPr>
            <w:tcW w:w="704" w:type="dxa"/>
            <w:vAlign w:val="center"/>
          </w:tcPr>
          <w:p w14:paraId="35526F8D">
            <w:pPr>
              <w:jc w:val="center"/>
              <w:rPr>
                <w:rFonts w:hint="default" w:ascii="仿宋" w:hAnsi="仿宋" w:eastAsia="仿宋" w:cs="仿宋"/>
                <w:b w:val="0"/>
                <w:bCs w:val="0"/>
                <w:i w:val="0"/>
                <w:iCs w:val="0"/>
                <w:color w:val="000000" w:themeColor="text1"/>
                <w:spacing w:val="0"/>
                <w:w w:val="100"/>
                <w:kern w:val="2"/>
                <w:sz w:val="24"/>
                <w:szCs w:val="24"/>
                <w:vertAlign w:val="baseline"/>
                <w:lang w:val="en-US" w:eastAsia="zh-CN"/>
                <w14:textFill>
                  <w14:solidFill>
                    <w14:schemeClr w14:val="tx1"/>
                  </w14:solidFill>
                </w14:textFill>
              </w:rPr>
            </w:pPr>
            <w:r>
              <w:rPr>
                <w:rFonts w:hint="eastAsia" w:ascii="仿宋" w:hAnsi="仿宋" w:eastAsia="仿宋" w:cs="宋体"/>
                <w:color w:val="000000" w:themeColor="text1"/>
                <w:sz w:val="24"/>
                <w:szCs w:val="24"/>
                <w:lang w:val="en-US" w:eastAsia="zh-CN"/>
                <w14:textFill>
                  <w14:solidFill>
                    <w14:schemeClr w14:val="tx1"/>
                  </w14:solidFill>
                </w14:textFill>
              </w:rPr>
              <w:t>30</w:t>
            </w:r>
          </w:p>
        </w:tc>
        <w:tc>
          <w:tcPr>
            <w:tcW w:w="7236" w:type="dxa"/>
            <w:tcBorders>
              <w:right w:val="single" w:color="auto" w:sz="4" w:space="0"/>
            </w:tcBorders>
            <w:vAlign w:val="center"/>
          </w:tcPr>
          <w:p w14:paraId="30A596EE">
            <w:pPr>
              <w:pStyle w:val="16"/>
              <w:keepNext w:val="0"/>
              <w:keepLines w:val="0"/>
              <w:widowControl/>
              <w:suppressLineNumbers w:val="0"/>
              <w:spacing w:before="0" w:beforeAutospacing="0" w:after="0" w:afterAutospacing="0"/>
              <w:ind w:left="0" w:leftChars="0" w:right="0" w:rightChars="0"/>
              <w:jc w:val="left"/>
              <w:rPr>
                <w:rFonts w:hint="default" w:ascii="仿宋" w:hAnsi="仿宋" w:eastAsia="仿宋" w:cs="仿宋"/>
                <w:b w:val="0"/>
                <w:bCs w:val="0"/>
                <w:i w:val="0"/>
                <w:iCs w:val="0"/>
                <w:color w:val="000000" w:themeColor="text1"/>
                <w:spacing w:val="0"/>
                <w:w w:val="100"/>
                <w:sz w:val="24"/>
                <w:szCs w:val="24"/>
                <w:vertAlign w:val="baseline"/>
                <w:lang w:val="en-US" w:eastAsia="zh-CN"/>
                <w14:textFill>
                  <w14:solidFill>
                    <w14:schemeClr w14:val="tx1"/>
                  </w14:solidFill>
                </w14:textFill>
              </w:rPr>
            </w:pPr>
            <w:r>
              <w:rPr>
                <w:rFonts w:hint="eastAsia" w:ascii="仿宋" w:hAnsi="仿宋" w:eastAsia="仿宋" w:cs="仿宋"/>
                <w:b w:val="0"/>
                <w:bCs w:val="0"/>
                <w:i w:val="0"/>
                <w:iCs w:val="0"/>
                <w:color w:val="000000" w:themeColor="text1"/>
                <w:spacing w:val="0"/>
                <w:w w:val="100"/>
                <w:sz w:val="24"/>
                <w:szCs w:val="24"/>
                <w:vertAlign w:val="baseline"/>
                <w14:textFill>
                  <w14:solidFill>
                    <w14:schemeClr w14:val="tx1"/>
                  </w14:solidFill>
                </w14:textFill>
              </w:rPr>
              <w:t>经评委会一致认定满足招标文件要求且投标价格最低的投标报价为评标基准价，其价格得分计</w:t>
            </w:r>
            <w:r>
              <w:rPr>
                <w:rFonts w:hint="eastAsia" w:ascii="仿宋" w:hAnsi="仿宋" w:eastAsia="仿宋" w:cs="仿宋"/>
                <w:b w:val="0"/>
                <w:bCs w:val="0"/>
                <w:i w:val="0"/>
                <w:iCs w:val="0"/>
                <w:color w:val="000000" w:themeColor="text1"/>
                <w:spacing w:val="0"/>
                <w:w w:val="100"/>
                <w:sz w:val="24"/>
                <w:szCs w:val="24"/>
                <w:vertAlign w:val="baseline"/>
                <w:lang w:val="en-US" w:eastAsia="zh-CN"/>
                <w14:textFill>
                  <w14:solidFill>
                    <w14:schemeClr w14:val="tx1"/>
                  </w14:solidFill>
                </w14:textFill>
              </w:rPr>
              <w:t>30</w:t>
            </w:r>
            <w:r>
              <w:rPr>
                <w:rFonts w:hint="eastAsia" w:ascii="仿宋" w:hAnsi="仿宋" w:eastAsia="仿宋" w:cs="仿宋"/>
                <w:b w:val="0"/>
                <w:bCs w:val="0"/>
                <w:i w:val="0"/>
                <w:iCs w:val="0"/>
                <w:color w:val="000000" w:themeColor="text1"/>
                <w:spacing w:val="0"/>
                <w:w w:val="100"/>
                <w:sz w:val="24"/>
                <w:szCs w:val="24"/>
                <w:vertAlign w:val="baseline"/>
                <w14:textFill>
                  <w14:solidFill>
                    <w14:schemeClr w14:val="tx1"/>
                  </w14:solidFill>
                </w14:textFill>
              </w:rPr>
              <w:t>分。其他投标人的价格得分统一按公式计算：报价得分=（评标基准价/投标报价）×价格权重。</w:t>
            </w:r>
            <w:r>
              <w:rPr>
                <w:rFonts w:hint="eastAsia" w:ascii="仿宋" w:hAnsi="仿宋" w:eastAsia="仿宋" w:cs="仿宋"/>
                <w:b w:val="0"/>
                <w:bCs w:val="0"/>
                <w:i w:val="0"/>
                <w:iCs w:val="0"/>
                <w:color w:val="000000" w:themeColor="text1"/>
                <w:spacing w:val="0"/>
                <w:w w:val="100"/>
                <w:sz w:val="24"/>
                <w:szCs w:val="24"/>
                <w:vertAlign w:val="baseline"/>
                <w:lang w:val="en-US" w:eastAsia="zh-CN"/>
                <w14:textFill>
                  <w14:solidFill>
                    <w14:schemeClr w14:val="tx1"/>
                  </w14:solidFill>
                </w14:textFill>
              </w:rPr>
              <w:t>最终报价得分为四项报价总分的平均值。</w:t>
            </w:r>
          </w:p>
        </w:tc>
      </w:tr>
      <w:tr w14:paraId="04FF5A6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559" w:type="dxa"/>
            <w:tcBorders>
              <w:left w:val="single" w:color="auto" w:sz="4" w:space="0"/>
            </w:tcBorders>
            <w:vAlign w:val="center"/>
          </w:tcPr>
          <w:p w14:paraId="32315791">
            <w:pPr>
              <w:jc w:val="left"/>
              <w:rPr>
                <w:rFonts w:hint="default"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2</w:t>
            </w:r>
          </w:p>
        </w:tc>
        <w:tc>
          <w:tcPr>
            <w:tcW w:w="1302" w:type="dxa"/>
            <w:vAlign w:val="center"/>
          </w:tcPr>
          <w:p w14:paraId="00C9ADFF">
            <w:pPr>
              <w:pStyle w:val="16"/>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b w:val="0"/>
                <w:bCs w:val="0"/>
                <w:i w:val="0"/>
                <w:iCs w:val="0"/>
                <w:color w:val="000000"/>
                <w:spacing w:val="0"/>
                <w:w w:val="100"/>
                <w:kern w:val="2"/>
                <w:sz w:val="24"/>
                <w:szCs w:val="24"/>
                <w:vertAlign w:val="baseline"/>
              </w:rPr>
            </w:pPr>
            <w:r>
              <w:rPr>
                <w:rFonts w:hint="eastAsia" w:ascii="仿宋" w:hAnsi="仿宋" w:eastAsia="仿宋" w:cs="仿宋"/>
                <w:b w:val="0"/>
                <w:bCs w:val="0"/>
                <w:i w:val="0"/>
                <w:iCs w:val="0"/>
                <w:color w:val="000000"/>
                <w:spacing w:val="0"/>
                <w:w w:val="100"/>
                <w:kern w:val="2"/>
                <w:sz w:val="24"/>
                <w:szCs w:val="24"/>
                <w:vertAlign w:val="baseline"/>
              </w:rPr>
              <w:t>服务方案</w:t>
            </w:r>
          </w:p>
        </w:tc>
        <w:tc>
          <w:tcPr>
            <w:tcW w:w="704" w:type="dxa"/>
            <w:vAlign w:val="center"/>
          </w:tcPr>
          <w:p w14:paraId="52B92FE2">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40</w:t>
            </w:r>
          </w:p>
        </w:tc>
        <w:tc>
          <w:tcPr>
            <w:tcW w:w="7236" w:type="dxa"/>
            <w:tcBorders>
              <w:right w:val="single" w:color="auto" w:sz="4" w:space="0"/>
            </w:tcBorders>
            <w:vAlign w:val="center"/>
          </w:tcPr>
          <w:p w14:paraId="05FCB522">
            <w:pPr>
              <w:adjustRightInd w:val="0"/>
              <w:snapToGrid w:val="0"/>
              <w:spacing w:line="276" w:lineRule="auto"/>
              <w:rPr>
                <w:rFonts w:hint="eastAsia" w:ascii="仿宋" w:hAnsi="仿宋" w:eastAsia="仿宋" w:cs="宋体"/>
                <w:sz w:val="24"/>
                <w:szCs w:val="24"/>
              </w:rPr>
            </w:pPr>
            <w:r>
              <w:rPr>
                <w:rFonts w:hint="eastAsia" w:ascii="仿宋" w:hAnsi="仿宋" w:eastAsia="仿宋" w:cs="宋体"/>
                <w:sz w:val="24"/>
                <w:szCs w:val="24"/>
              </w:rPr>
              <w:t>供应商根据本项目实施特点及技术要求，结合学院校区情况制定实施方案、方案至少包括：①项目理解与现状分析；②</w:t>
            </w:r>
            <w:r>
              <w:rPr>
                <w:rFonts w:hint="eastAsia" w:ascii="仿宋" w:hAnsi="仿宋" w:eastAsia="仿宋" w:cs="宋体"/>
                <w:sz w:val="24"/>
                <w:szCs w:val="24"/>
                <w:lang w:val="en-US" w:eastAsia="zh-CN"/>
              </w:rPr>
              <w:t>搬运</w:t>
            </w:r>
            <w:r>
              <w:rPr>
                <w:rFonts w:hint="eastAsia" w:ascii="仿宋" w:hAnsi="仿宋" w:eastAsia="仿宋" w:cs="宋体"/>
                <w:sz w:val="24"/>
                <w:szCs w:val="24"/>
              </w:rPr>
              <w:t>流程与实施步骤</w:t>
            </w:r>
            <w:r>
              <w:rPr>
                <w:rFonts w:hint="eastAsia" w:ascii="仿宋" w:hAnsi="仿宋" w:eastAsia="仿宋" w:cs="宋体"/>
                <w:sz w:val="24"/>
                <w:szCs w:val="24"/>
                <w:lang w:eastAsia="zh-CN"/>
              </w:rPr>
              <w:t>，</w:t>
            </w:r>
            <w:r>
              <w:rPr>
                <w:rFonts w:hint="eastAsia" w:ascii="仿宋" w:hAnsi="仿宋" w:eastAsia="仿宋" w:cs="宋体"/>
                <w:sz w:val="24"/>
                <w:szCs w:val="24"/>
              </w:rPr>
              <w:t>打包/防护方案</w:t>
            </w:r>
            <w:r>
              <w:rPr>
                <w:rFonts w:hint="eastAsia" w:ascii="仿宋" w:hAnsi="仿宋" w:eastAsia="仿宋" w:cs="宋体"/>
                <w:sz w:val="24"/>
                <w:szCs w:val="24"/>
                <w:lang w:eastAsia="zh-CN"/>
              </w:rPr>
              <w:t>；③</w:t>
            </w:r>
            <w:r>
              <w:rPr>
                <w:rFonts w:hint="eastAsia" w:ascii="仿宋" w:hAnsi="仿宋" w:eastAsia="仿宋" w:cs="宋体"/>
                <w:sz w:val="24"/>
                <w:szCs w:val="24"/>
              </w:rPr>
              <w:t>安全文明</w:t>
            </w:r>
            <w:r>
              <w:rPr>
                <w:rFonts w:hint="eastAsia" w:ascii="仿宋" w:hAnsi="仿宋" w:eastAsia="仿宋" w:cs="宋体"/>
                <w:sz w:val="24"/>
                <w:szCs w:val="24"/>
                <w:lang w:val="en-US" w:eastAsia="zh-CN"/>
              </w:rPr>
              <w:t>搬运</w:t>
            </w:r>
            <w:r>
              <w:rPr>
                <w:rFonts w:hint="eastAsia" w:ascii="仿宋" w:hAnsi="仿宋" w:eastAsia="仿宋" w:cs="宋体"/>
                <w:sz w:val="24"/>
                <w:szCs w:val="24"/>
              </w:rPr>
              <w:t>措施</w:t>
            </w:r>
            <w:r>
              <w:rPr>
                <w:rFonts w:hint="eastAsia" w:ascii="仿宋" w:hAnsi="仿宋" w:eastAsia="仿宋" w:cs="宋体"/>
                <w:sz w:val="24"/>
                <w:szCs w:val="24"/>
                <w:lang w:eastAsia="zh-CN"/>
              </w:rPr>
              <w:t>；④</w:t>
            </w:r>
            <w:r>
              <w:rPr>
                <w:rFonts w:hint="eastAsia" w:ascii="仿宋" w:hAnsi="仿宋" w:eastAsia="仿宋" w:cs="宋体"/>
                <w:sz w:val="24"/>
                <w:szCs w:val="24"/>
              </w:rPr>
              <w:t>质量保证措施</w:t>
            </w:r>
            <w:r>
              <w:rPr>
                <w:rFonts w:hint="eastAsia" w:ascii="仿宋" w:hAnsi="仿宋" w:eastAsia="仿宋" w:cs="宋体"/>
                <w:sz w:val="24"/>
                <w:szCs w:val="24"/>
                <w:lang w:eastAsia="zh-CN"/>
              </w:rPr>
              <w:t>；⑤</w:t>
            </w:r>
            <w:r>
              <w:rPr>
                <w:rFonts w:hint="eastAsia" w:ascii="仿宋" w:hAnsi="仿宋" w:eastAsia="仿宋" w:cs="宋体"/>
                <w:sz w:val="24"/>
                <w:szCs w:val="24"/>
              </w:rPr>
              <w:t>车辆与人员配置</w:t>
            </w:r>
            <w:r>
              <w:rPr>
                <w:rFonts w:hint="eastAsia" w:ascii="仿宋" w:hAnsi="仿宋" w:eastAsia="仿宋" w:cs="宋体"/>
                <w:sz w:val="24"/>
                <w:szCs w:val="24"/>
                <w:lang w:eastAsia="zh-CN"/>
              </w:rPr>
              <w:t>、</w:t>
            </w:r>
            <w:r>
              <w:rPr>
                <w:rFonts w:hint="eastAsia" w:ascii="仿宋" w:hAnsi="仿宋" w:eastAsia="仿宋" w:cs="宋体"/>
                <w:sz w:val="24"/>
                <w:szCs w:val="24"/>
              </w:rPr>
              <w:t>售后服务</w:t>
            </w:r>
            <w:r>
              <w:rPr>
                <w:rFonts w:hint="eastAsia" w:ascii="仿宋" w:hAnsi="仿宋" w:eastAsia="仿宋" w:cs="宋体"/>
                <w:sz w:val="24"/>
                <w:szCs w:val="24"/>
                <w:lang w:val="en-US" w:eastAsia="zh-CN"/>
              </w:rPr>
              <w:t>及</w:t>
            </w:r>
            <w:r>
              <w:rPr>
                <w:rFonts w:hint="eastAsia" w:ascii="仿宋" w:hAnsi="仿宋" w:eastAsia="仿宋" w:cs="宋体"/>
                <w:sz w:val="24"/>
                <w:szCs w:val="24"/>
              </w:rPr>
              <w:t>应急预案。</w:t>
            </w:r>
          </w:p>
          <w:p w14:paraId="7CC6F0A6">
            <w:pPr>
              <w:adjustRightInd w:val="0"/>
              <w:snapToGrid w:val="0"/>
              <w:spacing w:line="276" w:lineRule="auto"/>
              <w:rPr>
                <w:rFonts w:ascii="仿宋" w:hAnsi="仿宋" w:eastAsia="仿宋" w:cs="宋体"/>
                <w:color w:val="0000FF"/>
                <w:sz w:val="24"/>
                <w:szCs w:val="24"/>
              </w:rPr>
            </w:pPr>
            <w:r>
              <w:rPr>
                <w:rFonts w:hint="eastAsia" w:ascii="仿宋" w:hAnsi="仿宋" w:eastAsia="仿宋" w:cs="宋体"/>
                <w:sz w:val="24"/>
                <w:szCs w:val="24"/>
              </w:rPr>
              <w:t>评审小组根据方案的完整性、合理性及操作性等进行评价，以上①~</w:t>
            </w:r>
            <w:r>
              <w:rPr>
                <w:rFonts w:hint="eastAsia" w:ascii="仿宋" w:hAnsi="仿宋" w:eastAsia="仿宋" w:cs="宋体"/>
                <w:sz w:val="24"/>
                <w:szCs w:val="24"/>
                <w:lang w:eastAsia="zh-CN"/>
              </w:rPr>
              <w:t>⑤</w:t>
            </w:r>
            <w:r>
              <w:rPr>
                <w:rFonts w:hint="eastAsia" w:ascii="仿宋" w:hAnsi="仿宋" w:eastAsia="仿宋" w:cs="宋体"/>
                <w:sz w:val="24"/>
                <w:szCs w:val="24"/>
              </w:rPr>
              <w:t>条方案内容全面、科学合理的每</w:t>
            </w:r>
            <w:r>
              <w:rPr>
                <w:rFonts w:hint="eastAsia" w:ascii="仿宋" w:hAnsi="仿宋" w:eastAsia="仿宋" w:cs="宋体"/>
                <w:color w:val="000000" w:themeColor="text1"/>
                <w:sz w:val="24"/>
                <w:szCs w:val="24"/>
                <w14:textFill>
                  <w14:solidFill>
                    <w14:schemeClr w14:val="tx1"/>
                  </w14:solidFill>
                </w14:textFill>
              </w:rPr>
              <w:t>条得</w:t>
            </w:r>
            <w:r>
              <w:rPr>
                <w:rFonts w:hint="eastAsia" w:ascii="仿宋" w:hAnsi="仿宋" w:eastAsia="仿宋" w:cs="宋体"/>
                <w:color w:val="000000" w:themeColor="text1"/>
                <w:sz w:val="24"/>
                <w:szCs w:val="24"/>
                <w:lang w:val="en-US" w:eastAsia="zh-CN"/>
                <w14:textFill>
                  <w14:solidFill>
                    <w14:schemeClr w14:val="tx1"/>
                  </w14:solidFill>
                </w14:textFill>
              </w:rPr>
              <w:t>8</w:t>
            </w:r>
            <w:r>
              <w:rPr>
                <w:rFonts w:hint="eastAsia" w:ascii="仿宋" w:hAnsi="仿宋" w:eastAsia="仿宋" w:cs="宋体"/>
                <w:color w:val="000000" w:themeColor="text1"/>
                <w:sz w:val="24"/>
                <w:szCs w:val="24"/>
                <w14:textFill>
                  <w14:solidFill>
                    <w14:schemeClr w14:val="tx1"/>
                  </w14:solidFill>
                </w14:textFill>
              </w:rPr>
              <w:t>分，方案较完整、能满足基本保障要求的每条得</w:t>
            </w:r>
            <w:r>
              <w:rPr>
                <w:rFonts w:hint="eastAsia" w:ascii="仿宋" w:hAnsi="仿宋" w:eastAsia="仿宋" w:cs="宋体"/>
                <w:color w:val="000000" w:themeColor="text1"/>
                <w:sz w:val="24"/>
                <w:szCs w:val="24"/>
                <w:lang w:val="en-US" w:eastAsia="zh-CN"/>
                <w14:textFill>
                  <w14:solidFill>
                    <w14:schemeClr w14:val="tx1"/>
                  </w14:solidFill>
                </w14:textFill>
              </w:rPr>
              <w:t>8</w:t>
            </w:r>
            <w:r>
              <w:rPr>
                <w:rFonts w:hint="eastAsia" w:ascii="仿宋" w:hAnsi="仿宋" w:eastAsia="仿宋" w:cs="宋体"/>
                <w:color w:val="000000" w:themeColor="text1"/>
                <w:sz w:val="24"/>
                <w:szCs w:val="24"/>
                <w14:textFill>
                  <w14:solidFill>
                    <w14:schemeClr w14:val="tx1"/>
                  </w14:solidFill>
                </w14:textFill>
              </w:rPr>
              <w:t>分，</w:t>
            </w:r>
            <w:r>
              <w:rPr>
                <w:rFonts w:hint="eastAsia" w:ascii="仿宋" w:hAnsi="仿宋" w:eastAsia="仿宋" w:cs="宋体"/>
                <w:color w:val="000000" w:themeColor="text1"/>
                <w:sz w:val="24"/>
                <w:szCs w:val="24"/>
                <w:lang w:val="en-US" w:eastAsia="zh-CN"/>
                <w14:textFill>
                  <w14:solidFill>
                    <w14:schemeClr w14:val="tx1"/>
                  </w14:solidFill>
                </w14:textFill>
              </w:rPr>
              <w:t>每缺少一项内容扣8分，每有一处缺陷扣2分，每项得缺陷扣分最多扣完本项分值。</w:t>
            </w:r>
          </w:p>
          <w:p w14:paraId="28196E78">
            <w:pPr>
              <w:jc w:val="left"/>
              <w:rPr>
                <w:rFonts w:hint="eastAsia" w:ascii="仿宋" w:hAnsi="仿宋" w:eastAsia="仿宋" w:cs="宋体"/>
                <w:sz w:val="24"/>
                <w:szCs w:val="24"/>
              </w:rPr>
            </w:pPr>
            <w:r>
              <w:rPr>
                <w:rFonts w:hint="eastAsia" w:ascii="仿宋" w:hAnsi="仿宋" w:eastAsia="仿宋" w:cs="宋体"/>
                <w:b/>
                <w:bCs/>
                <w:color w:val="000000" w:themeColor="text1"/>
                <w:sz w:val="24"/>
                <w:szCs w:val="24"/>
                <w14:textFill>
                  <w14:solidFill>
                    <w14:schemeClr w14:val="tx1"/>
                  </w14:solidFill>
                </w14:textFill>
              </w:rPr>
              <w:t>本项满分</w:t>
            </w:r>
            <w:r>
              <w:rPr>
                <w:rFonts w:hint="eastAsia" w:ascii="仿宋" w:hAnsi="仿宋" w:eastAsia="仿宋" w:cs="宋体"/>
                <w:b/>
                <w:bCs/>
                <w:color w:val="000000" w:themeColor="text1"/>
                <w:sz w:val="24"/>
                <w:szCs w:val="24"/>
                <w:lang w:val="en-US" w:eastAsia="zh-CN"/>
                <w14:textFill>
                  <w14:solidFill>
                    <w14:schemeClr w14:val="tx1"/>
                  </w14:solidFill>
                </w14:textFill>
              </w:rPr>
              <w:t>40</w:t>
            </w:r>
            <w:r>
              <w:rPr>
                <w:rFonts w:hint="eastAsia" w:ascii="仿宋" w:hAnsi="仿宋" w:eastAsia="仿宋" w:cs="宋体"/>
                <w:b/>
                <w:bCs/>
                <w:color w:val="000000" w:themeColor="text1"/>
                <w:sz w:val="24"/>
                <w:szCs w:val="24"/>
                <w14:textFill>
                  <w14:solidFill>
                    <w14:schemeClr w14:val="tx1"/>
                  </w14:solidFill>
                </w14:textFill>
              </w:rPr>
              <w:t>分。</w:t>
            </w:r>
          </w:p>
        </w:tc>
      </w:tr>
      <w:tr w14:paraId="02057F9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559" w:type="dxa"/>
            <w:tcBorders>
              <w:left w:val="single" w:color="auto" w:sz="4" w:space="0"/>
            </w:tcBorders>
            <w:vAlign w:val="center"/>
          </w:tcPr>
          <w:p w14:paraId="2FF1DB27">
            <w:pPr>
              <w:jc w:val="left"/>
              <w:rPr>
                <w:rFonts w:hint="default"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3</w:t>
            </w:r>
          </w:p>
        </w:tc>
        <w:tc>
          <w:tcPr>
            <w:tcW w:w="1302" w:type="dxa"/>
            <w:vAlign w:val="center"/>
          </w:tcPr>
          <w:p w14:paraId="4C2BC5B0">
            <w:pPr>
              <w:pStyle w:val="16"/>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b w:val="0"/>
                <w:bCs w:val="0"/>
                <w:i w:val="0"/>
                <w:iCs w:val="0"/>
                <w:color w:val="000000"/>
                <w:spacing w:val="0"/>
                <w:w w:val="100"/>
                <w:kern w:val="2"/>
                <w:sz w:val="24"/>
                <w:szCs w:val="24"/>
                <w:vertAlign w:val="baseline"/>
              </w:rPr>
            </w:pPr>
            <w:r>
              <w:rPr>
                <w:rFonts w:hint="eastAsia" w:ascii="仿宋" w:hAnsi="仿宋" w:eastAsia="仿宋" w:cs="仿宋"/>
                <w:b w:val="0"/>
                <w:bCs w:val="0"/>
                <w:i w:val="0"/>
                <w:iCs w:val="0"/>
                <w:color w:val="000000"/>
                <w:spacing w:val="0"/>
                <w:w w:val="100"/>
                <w:kern w:val="2"/>
                <w:sz w:val="24"/>
                <w:szCs w:val="24"/>
                <w:vertAlign w:val="baseline"/>
              </w:rPr>
              <w:t>服务团队能力</w:t>
            </w:r>
          </w:p>
        </w:tc>
        <w:tc>
          <w:tcPr>
            <w:tcW w:w="704" w:type="dxa"/>
            <w:vAlign w:val="center"/>
          </w:tcPr>
          <w:p w14:paraId="464BCF46">
            <w:pPr>
              <w:jc w:val="center"/>
              <w:rPr>
                <w:rFonts w:ascii="宋体" w:hAnsi="宋体"/>
                <w:kern w:val="0"/>
                <w:sz w:val="24"/>
                <w:szCs w:val="20"/>
              </w:rPr>
            </w:pPr>
            <w:r>
              <w:rPr>
                <w:rFonts w:hint="eastAsia" w:ascii="仿宋" w:hAnsi="仿宋" w:eastAsia="仿宋" w:cs="宋体"/>
                <w:sz w:val="24"/>
                <w:szCs w:val="24"/>
                <w:lang w:val="en-US" w:eastAsia="zh-CN"/>
              </w:rPr>
              <w:t>10</w:t>
            </w:r>
          </w:p>
        </w:tc>
        <w:tc>
          <w:tcPr>
            <w:tcW w:w="7236" w:type="dxa"/>
            <w:tcBorders>
              <w:right w:val="single" w:color="auto" w:sz="4" w:space="0"/>
            </w:tcBorders>
            <w:vAlign w:val="center"/>
          </w:tcPr>
          <w:p w14:paraId="0FBBF9C5">
            <w:pPr>
              <w:keepNext w:val="0"/>
              <w:keepLines w:val="0"/>
              <w:widowControl/>
              <w:numPr>
                <w:ilvl w:val="0"/>
                <w:numId w:val="0"/>
              </w:numPr>
              <w:suppressLineNumbers w:val="0"/>
              <w:jc w:val="left"/>
              <w:rPr>
                <w:rFonts w:hint="eastAsia" w:ascii="仿宋" w:hAnsi="仿宋" w:eastAsia="仿宋" w:cs="宋体"/>
                <w:color w:val="000000" w:themeColor="text1"/>
                <w:sz w:val="24"/>
                <w:szCs w:val="24"/>
                <w:lang w:val="en-US" w:eastAsia="zh-CN"/>
                <w14:textFill>
                  <w14:solidFill>
                    <w14:schemeClr w14:val="tx1"/>
                  </w14:solidFill>
                </w14:textFill>
              </w:rPr>
            </w:pPr>
            <w:r>
              <w:rPr>
                <w:rFonts w:hint="eastAsia" w:ascii="仿宋" w:hAnsi="仿宋" w:eastAsia="仿宋" w:cs="宋体"/>
                <w:kern w:val="2"/>
                <w:sz w:val="24"/>
                <w:szCs w:val="24"/>
                <w:lang w:val="en-US" w:eastAsia="zh-CN" w:bidi="ar-SA"/>
              </w:rPr>
              <w:t>（1）</w:t>
            </w:r>
            <w:r>
              <w:rPr>
                <w:rFonts w:hint="eastAsia" w:ascii="仿宋" w:hAnsi="仿宋" w:eastAsia="仿宋" w:cs="宋体"/>
                <w:sz w:val="24"/>
                <w:szCs w:val="24"/>
                <w:lang w:val="en-US" w:eastAsia="zh-CN"/>
              </w:rPr>
              <w:t>配备专属现场项目负责人，全程驻场统筹校园物资搬运工作，对</w:t>
            </w:r>
            <w:r>
              <w:rPr>
                <w:rFonts w:hint="eastAsia" w:ascii="仿宋" w:hAnsi="仿宋" w:eastAsia="仿宋" w:cs="宋体"/>
                <w:color w:val="000000" w:themeColor="text1"/>
                <w:sz w:val="24"/>
                <w:szCs w:val="24"/>
                <w:lang w:val="en-US" w:eastAsia="zh-CN"/>
                <w14:textFill>
                  <w14:solidFill>
                    <w14:schemeClr w14:val="tx1"/>
                  </w14:solidFill>
                </w14:textFill>
              </w:rPr>
              <w:t>接校方管理人员，得2分；</w:t>
            </w:r>
          </w:p>
          <w:p w14:paraId="2977ADA8">
            <w:pPr>
              <w:keepNext w:val="0"/>
              <w:keepLines w:val="0"/>
              <w:widowControl/>
              <w:numPr>
                <w:ilvl w:val="0"/>
                <w:numId w:val="0"/>
              </w:numPr>
              <w:suppressLineNumbers w:val="0"/>
              <w:jc w:val="left"/>
              <w:rPr>
                <w:rFonts w:hint="eastAsia" w:ascii="仿宋" w:hAnsi="仿宋" w:eastAsia="仿宋" w:cs="宋体"/>
                <w:color w:val="000000" w:themeColor="text1"/>
                <w:sz w:val="24"/>
                <w:szCs w:val="24"/>
                <w14:textFill>
                  <w14:solidFill>
                    <w14:schemeClr w14:val="tx1"/>
                  </w14:solidFill>
                </w14:textFill>
              </w:rPr>
            </w:pPr>
            <w:r>
              <w:rPr>
                <w:rFonts w:hint="eastAsia" w:ascii="仿宋" w:hAnsi="仿宋" w:eastAsia="仿宋" w:cs="宋体"/>
                <w:color w:val="000000" w:themeColor="text1"/>
                <w:kern w:val="2"/>
                <w:sz w:val="24"/>
                <w:szCs w:val="24"/>
                <w:lang w:val="en-US" w:eastAsia="zh-CN" w:bidi="ar-SA"/>
                <w14:textFill>
                  <w14:solidFill>
                    <w14:schemeClr w14:val="tx1"/>
                  </w14:solidFill>
                </w14:textFill>
              </w:rPr>
              <w:t>（2）</w:t>
            </w:r>
            <w:r>
              <w:rPr>
                <w:rFonts w:hint="eastAsia" w:ascii="仿宋" w:hAnsi="仿宋" w:eastAsia="仿宋" w:cs="宋体"/>
                <w:color w:val="000000" w:themeColor="text1"/>
                <w:sz w:val="24"/>
                <w:szCs w:val="24"/>
                <w:lang w:val="en-US" w:eastAsia="zh-CN"/>
                <w14:textFill>
                  <w14:solidFill>
                    <w14:schemeClr w14:val="tx1"/>
                  </w14:solidFill>
                </w14:textFill>
              </w:rPr>
              <w:t>自有固定团队</w:t>
            </w:r>
            <w:r>
              <w:rPr>
                <w:rFonts w:hint="default" w:ascii="Arial" w:hAnsi="Arial" w:eastAsia="仿宋" w:cs="Arial"/>
                <w:color w:val="000000" w:themeColor="text1"/>
                <w:sz w:val="24"/>
                <w:szCs w:val="24"/>
                <w:lang w:val="en-US" w:eastAsia="zh-CN"/>
                <w14:textFill>
                  <w14:solidFill>
                    <w14:schemeClr w14:val="tx1"/>
                  </w14:solidFill>
                </w14:textFill>
              </w:rPr>
              <w:t>≥</w:t>
            </w:r>
            <w:r>
              <w:rPr>
                <w:rFonts w:hint="eastAsia" w:ascii="仿宋" w:hAnsi="仿宋" w:eastAsia="仿宋" w:cs="宋体"/>
                <w:color w:val="000000" w:themeColor="text1"/>
                <w:sz w:val="24"/>
                <w:szCs w:val="24"/>
                <w:lang w:val="en-US" w:eastAsia="zh-CN"/>
                <w14:textFill>
                  <w14:solidFill>
                    <w14:schemeClr w14:val="tx1"/>
                  </w14:solidFill>
                </w14:textFill>
              </w:rPr>
              <w:t>10人、货运司机持证，可满足大批量集中搬迁需求，得2分；</w:t>
            </w:r>
          </w:p>
          <w:p w14:paraId="1E9FBBC7">
            <w:pPr>
              <w:keepNext w:val="0"/>
              <w:keepLines w:val="0"/>
              <w:widowControl/>
              <w:numPr>
                <w:ilvl w:val="0"/>
                <w:numId w:val="0"/>
              </w:numPr>
              <w:suppressLineNumbers w:val="0"/>
              <w:jc w:val="left"/>
              <w:rPr>
                <w:rFonts w:hint="eastAsia" w:ascii="仿宋" w:hAnsi="仿宋" w:eastAsia="仿宋" w:cs="宋体"/>
                <w:color w:val="000000" w:themeColor="text1"/>
                <w:sz w:val="24"/>
                <w:szCs w:val="24"/>
                <w14:textFill>
                  <w14:solidFill>
                    <w14:schemeClr w14:val="tx1"/>
                  </w14:solidFill>
                </w14:textFill>
              </w:rPr>
            </w:pPr>
            <w:r>
              <w:rPr>
                <w:rFonts w:hint="eastAsia" w:ascii="仿宋" w:hAnsi="仿宋" w:eastAsia="仿宋" w:cs="宋体"/>
                <w:color w:val="000000" w:themeColor="text1"/>
                <w:kern w:val="2"/>
                <w:sz w:val="24"/>
                <w:szCs w:val="24"/>
                <w:lang w:val="en-US" w:eastAsia="zh-CN" w:bidi="ar-SA"/>
                <w14:textFill>
                  <w14:solidFill>
                    <w14:schemeClr w14:val="tx1"/>
                  </w14:solidFill>
                </w14:textFill>
              </w:rPr>
              <w:t>（3）</w:t>
            </w:r>
            <w:r>
              <w:rPr>
                <w:rFonts w:hint="eastAsia" w:ascii="仿宋" w:hAnsi="仿宋" w:eastAsia="仿宋" w:cs="宋体"/>
                <w:color w:val="000000" w:themeColor="text1"/>
                <w:sz w:val="24"/>
                <w:szCs w:val="24"/>
                <w:lang w:val="en-US" w:eastAsia="zh-CN"/>
                <w14:textFill>
                  <w14:solidFill>
                    <w14:schemeClr w14:val="tx1"/>
                  </w14:solidFill>
                </w14:textFill>
              </w:rPr>
              <w:t>所有作业人员均开展岗前安全培训，并提供培训记录及佐证照片，得2分；</w:t>
            </w:r>
          </w:p>
          <w:p w14:paraId="7E765459">
            <w:pPr>
              <w:keepNext w:val="0"/>
              <w:keepLines w:val="0"/>
              <w:widowControl/>
              <w:numPr>
                <w:ilvl w:val="0"/>
                <w:numId w:val="0"/>
              </w:numPr>
              <w:suppressLineNumbers w:val="0"/>
              <w:jc w:val="left"/>
              <w:rPr>
                <w:rFonts w:hint="eastAsia" w:ascii="仿宋" w:hAnsi="仿宋" w:eastAsia="仿宋" w:cs="宋体"/>
                <w:sz w:val="24"/>
                <w:szCs w:val="24"/>
              </w:rPr>
            </w:pPr>
            <w:r>
              <w:rPr>
                <w:rFonts w:hint="eastAsia" w:ascii="仿宋" w:hAnsi="仿宋" w:eastAsia="仿宋" w:cs="宋体"/>
                <w:kern w:val="2"/>
                <w:sz w:val="24"/>
                <w:szCs w:val="24"/>
                <w:lang w:val="en-US" w:eastAsia="zh-CN" w:bidi="ar-SA"/>
              </w:rPr>
              <w:t>（4）</w:t>
            </w:r>
            <w:r>
              <w:rPr>
                <w:rFonts w:hint="eastAsia" w:ascii="仿宋" w:hAnsi="仿宋" w:eastAsia="仿宋" w:cs="宋体"/>
                <w:sz w:val="24"/>
                <w:szCs w:val="24"/>
                <w:lang w:val="en-US" w:eastAsia="zh-CN"/>
              </w:rPr>
              <w:t>承诺作业人员统一着装、持证上岗，遵守校园门禁、通行及场地管理规定，无关人员入校，得2分；</w:t>
            </w:r>
          </w:p>
          <w:p w14:paraId="5090EC66">
            <w:pPr>
              <w:keepNext w:val="0"/>
              <w:keepLines w:val="0"/>
              <w:widowControl/>
              <w:numPr>
                <w:ilvl w:val="0"/>
                <w:numId w:val="0"/>
              </w:numPr>
              <w:suppressLineNumbers w:val="0"/>
              <w:jc w:val="left"/>
              <w:rPr>
                <w:rFonts w:hint="eastAsia" w:ascii="仿宋" w:hAnsi="仿宋" w:eastAsia="仿宋" w:cs="宋体"/>
                <w:sz w:val="24"/>
                <w:szCs w:val="24"/>
              </w:rPr>
            </w:pPr>
            <w:r>
              <w:rPr>
                <w:rFonts w:hint="eastAsia" w:ascii="仿宋" w:hAnsi="仿宋" w:eastAsia="仿宋" w:cs="宋体"/>
                <w:kern w:val="2"/>
                <w:sz w:val="24"/>
                <w:szCs w:val="24"/>
                <w:lang w:val="en-US" w:eastAsia="zh-CN" w:bidi="ar-SA"/>
              </w:rPr>
              <w:t>（5）</w:t>
            </w:r>
            <w:r>
              <w:rPr>
                <w:rFonts w:hint="eastAsia" w:ascii="仿宋" w:hAnsi="仿宋" w:eastAsia="仿宋" w:cs="宋体"/>
                <w:sz w:val="24"/>
                <w:szCs w:val="24"/>
                <w:lang w:val="en-US" w:eastAsia="zh-CN"/>
              </w:rPr>
              <w:t>配备专项物品看护、现场秩序维护人员，适配校区人员密集场景，得2分。</w:t>
            </w:r>
          </w:p>
          <w:p w14:paraId="6F26B7EA">
            <w:pPr>
              <w:jc w:val="left"/>
              <w:rPr>
                <w:rFonts w:hint="eastAsia" w:ascii="仿宋" w:hAnsi="仿宋" w:eastAsia="仿宋" w:cs="宋体"/>
                <w:sz w:val="24"/>
                <w:szCs w:val="24"/>
              </w:rPr>
            </w:pPr>
            <w:r>
              <w:rPr>
                <w:rFonts w:hint="eastAsia" w:ascii="仿宋" w:hAnsi="仿宋" w:eastAsia="仿宋" w:cs="宋体"/>
                <w:b/>
                <w:bCs/>
                <w:color w:val="000000" w:themeColor="text1"/>
                <w:sz w:val="24"/>
                <w:szCs w:val="24"/>
                <w14:textFill>
                  <w14:solidFill>
                    <w14:schemeClr w14:val="tx1"/>
                  </w14:solidFill>
                </w14:textFill>
              </w:rPr>
              <w:t>本项满分</w:t>
            </w:r>
            <w:r>
              <w:rPr>
                <w:rFonts w:hint="eastAsia" w:ascii="仿宋" w:hAnsi="仿宋" w:eastAsia="仿宋" w:cs="宋体"/>
                <w:b/>
                <w:bCs/>
                <w:color w:val="000000" w:themeColor="text1"/>
                <w:sz w:val="24"/>
                <w:szCs w:val="24"/>
                <w:lang w:val="en-US" w:eastAsia="zh-CN"/>
                <w14:textFill>
                  <w14:solidFill>
                    <w14:schemeClr w14:val="tx1"/>
                  </w14:solidFill>
                </w14:textFill>
              </w:rPr>
              <w:t>1</w:t>
            </w:r>
            <w:r>
              <w:rPr>
                <w:rFonts w:hint="eastAsia" w:ascii="仿宋" w:hAnsi="仿宋" w:eastAsia="仿宋" w:cs="宋体"/>
                <w:b/>
                <w:bCs/>
                <w:color w:val="000000" w:themeColor="text1"/>
                <w:sz w:val="24"/>
                <w:szCs w:val="24"/>
                <w14:textFill>
                  <w14:solidFill>
                    <w14:schemeClr w14:val="tx1"/>
                  </w14:solidFill>
                </w14:textFill>
              </w:rPr>
              <w:t>0分。</w:t>
            </w:r>
          </w:p>
          <w:p w14:paraId="4EC3D94D">
            <w:pPr>
              <w:rPr>
                <w:rFonts w:ascii="Times New Roman" w:hAnsi="Times New Roman"/>
                <w:iCs/>
                <w:szCs w:val="21"/>
              </w:rPr>
            </w:pPr>
            <w:r>
              <w:rPr>
                <w:rFonts w:hint="eastAsia" w:ascii="仿宋" w:hAnsi="仿宋" w:eastAsia="仿宋" w:cs="宋体"/>
                <w:b/>
                <w:bCs/>
                <w:sz w:val="24"/>
                <w:szCs w:val="24"/>
              </w:rPr>
              <w:t>【评审依据】：须在响应文件中提供服务人员由本单位缴纳的近三个月内任意一个月社保缴纳证明扫描件，并加盖供应商单位公章；未提供或所提供社保材料不符合要求、材料不全的，本项不得分。</w:t>
            </w:r>
          </w:p>
        </w:tc>
      </w:tr>
      <w:tr w14:paraId="3AC5E45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559" w:type="dxa"/>
            <w:tcBorders>
              <w:left w:val="single" w:color="auto" w:sz="4" w:space="0"/>
            </w:tcBorders>
            <w:vAlign w:val="center"/>
          </w:tcPr>
          <w:p w14:paraId="4BF94067">
            <w:pPr>
              <w:jc w:val="left"/>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4</w:t>
            </w:r>
          </w:p>
        </w:tc>
        <w:tc>
          <w:tcPr>
            <w:tcW w:w="1302" w:type="dxa"/>
            <w:vAlign w:val="center"/>
          </w:tcPr>
          <w:p w14:paraId="3885A697">
            <w:pPr>
              <w:jc w:val="center"/>
              <w:rPr>
                <w:rFonts w:hint="default" w:ascii="仿宋" w:hAnsi="仿宋" w:eastAsia="仿宋" w:cs="宋体"/>
                <w:sz w:val="24"/>
                <w:szCs w:val="24"/>
                <w:lang w:val="en-US"/>
              </w:rPr>
            </w:pPr>
            <w:r>
              <w:rPr>
                <w:rFonts w:hint="eastAsia" w:ascii="仿宋" w:hAnsi="仿宋" w:eastAsia="仿宋" w:cs="宋体"/>
                <w:sz w:val="24"/>
                <w:szCs w:val="24"/>
                <w:lang w:val="en-US" w:eastAsia="zh-CN"/>
              </w:rPr>
              <w:t>履约能力</w:t>
            </w:r>
          </w:p>
        </w:tc>
        <w:tc>
          <w:tcPr>
            <w:tcW w:w="704" w:type="dxa"/>
            <w:vAlign w:val="center"/>
          </w:tcPr>
          <w:p w14:paraId="3774F0FB">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10</w:t>
            </w:r>
          </w:p>
        </w:tc>
        <w:tc>
          <w:tcPr>
            <w:tcW w:w="7236" w:type="dxa"/>
            <w:tcBorders>
              <w:right w:val="single" w:color="auto" w:sz="4" w:space="0"/>
            </w:tcBorders>
            <w:vAlign w:val="center"/>
          </w:tcPr>
          <w:p w14:paraId="6E9592EE">
            <w:pPr>
              <w:jc w:val="left"/>
              <w:rPr>
                <w:rFonts w:hint="eastAsia" w:ascii="仿宋" w:hAnsi="仿宋" w:eastAsia="仿宋" w:cs="宋体"/>
                <w:sz w:val="24"/>
                <w:szCs w:val="24"/>
                <w:lang w:eastAsia="zh-CN"/>
              </w:rPr>
            </w:pPr>
            <w:r>
              <w:rPr>
                <w:rFonts w:hint="eastAsia" w:ascii="仿宋" w:hAnsi="仿宋" w:eastAsia="仿宋" w:cs="宋体"/>
                <w:sz w:val="24"/>
                <w:szCs w:val="24"/>
              </w:rPr>
              <w:t>供应商提供自202</w:t>
            </w:r>
            <w:r>
              <w:rPr>
                <w:rFonts w:hint="eastAsia" w:ascii="仿宋" w:hAnsi="仿宋" w:eastAsia="仿宋" w:cs="宋体"/>
                <w:sz w:val="24"/>
                <w:szCs w:val="24"/>
                <w:lang w:val="en-US" w:eastAsia="zh-CN"/>
              </w:rPr>
              <w:t>4</w:t>
            </w:r>
            <w:r>
              <w:rPr>
                <w:rFonts w:hint="eastAsia" w:ascii="仿宋" w:hAnsi="仿宋" w:eastAsia="仿宋" w:cs="宋体"/>
                <w:sz w:val="24"/>
                <w:szCs w:val="24"/>
              </w:rPr>
              <w:t>年</w:t>
            </w:r>
            <w:r>
              <w:rPr>
                <w:rFonts w:hint="eastAsia" w:ascii="仿宋" w:hAnsi="仿宋" w:eastAsia="仿宋" w:cs="宋体"/>
                <w:sz w:val="24"/>
                <w:szCs w:val="24"/>
                <w:lang w:val="en-US" w:eastAsia="zh-CN"/>
              </w:rPr>
              <w:t>6</w:t>
            </w:r>
            <w:r>
              <w:rPr>
                <w:rFonts w:hint="eastAsia" w:ascii="仿宋" w:hAnsi="仿宋" w:eastAsia="仿宋" w:cs="宋体"/>
                <w:sz w:val="24"/>
                <w:szCs w:val="24"/>
              </w:rPr>
              <w:t>月至本项目响应文件递交截止时间（以合同签订日期为准）具有</w:t>
            </w:r>
            <w:r>
              <w:rPr>
                <w:rFonts w:hint="eastAsia" w:ascii="仿宋" w:hAnsi="仿宋" w:eastAsia="仿宋" w:cs="宋体"/>
                <w:sz w:val="24"/>
                <w:szCs w:val="24"/>
                <w:lang w:val="en-US" w:eastAsia="zh-CN"/>
              </w:rPr>
              <w:t>高校、机关、事业单位等物资搬运</w:t>
            </w:r>
            <w:r>
              <w:rPr>
                <w:rFonts w:hint="eastAsia" w:ascii="仿宋" w:hAnsi="仿宋" w:eastAsia="仿宋" w:cs="宋体"/>
                <w:sz w:val="24"/>
                <w:szCs w:val="24"/>
              </w:rPr>
              <w:t>服务项目</w:t>
            </w:r>
            <w:r>
              <w:rPr>
                <w:rFonts w:hint="eastAsia" w:ascii="仿宋" w:hAnsi="仿宋" w:eastAsia="仿宋" w:cs="宋体"/>
                <w:sz w:val="24"/>
                <w:szCs w:val="24"/>
                <w:lang w:val="en-US" w:eastAsia="zh-CN"/>
              </w:rPr>
              <w:t>业绩</w:t>
            </w:r>
            <w:r>
              <w:rPr>
                <w:rFonts w:hint="eastAsia" w:ascii="仿宋" w:hAnsi="仿宋" w:eastAsia="仿宋" w:cs="宋体"/>
                <w:sz w:val="24"/>
                <w:szCs w:val="24"/>
              </w:rPr>
              <w:t>的,每提供一个</w:t>
            </w:r>
            <w:r>
              <w:rPr>
                <w:rFonts w:hint="eastAsia" w:ascii="仿宋" w:hAnsi="仿宋" w:eastAsia="仿宋" w:cs="宋体"/>
                <w:sz w:val="24"/>
                <w:szCs w:val="24"/>
                <w:lang w:val="en-US" w:eastAsia="zh-CN"/>
              </w:rPr>
              <w:t>（含验收证明）</w:t>
            </w:r>
            <w:r>
              <w:rPr>
                <w:rFonts w:hint="eastAsia" w:ascii="仿宋" w:hAnsi="仿宋" w:eastAsia="仿宋" w:cs="宋体"/>
                <w:sz w:val="24"/>
                <w:szCs w:val="24"/>
              </w:rPr>
              <w:t>加</w:t>
            </w:r>
            <w:r>
              <w:rPr>
                <w:rFonts w:hint="eastAsia" w:ascii="仿宋" w:hAnsi="仿宋" w:eastAsia="仿宋" w:cs="宋体"/>
                <w:sz w:val="24"/>
                <w:szCs w:val="24"/>
                <w:lang w:val="en-US" w:eastAsia="zh-CN"/>
              </w:rPr>
              <w:t>2</w:t>
            </w:r>
            <w:r>
              <w:rPr>
                <w:rFonts w:hint="eastAsia" w:ascii="仿宋" w:hAnsi="仿宋" w:eastAsia="仿宋" w:cs="宋体"/>
                <w:sz w:val="24"/>
                <w:szCs w:val="24"/>
              </w:rPr>
              <w:t>分</w:t>
            </w: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最高10分。</w:t>
            </w:r>
          </w:p>
          <w:p w14:paraId="4E3601D4">
            <w:pPr>
              <w:jc w:val="left"/>
              <w:rPr>
                <w:rFonts w:hint="eastAsia" w:ascii="仿宋" w:hAnsi="仿宋" w:eastAsia="仿宋" w:cs="宋体"/>
                <w:color w:val="000000" w:themeColor="text1"/>
                <w:sz w:val="24"/>
                <w:szCs w:val="24"/>
                <w14:textFill>
                  <w14:solidFill>
                    <w14:schemeClr w14:val="tx1"/>
                  </w14:solidFill>
                </w14:textFill>
              </w:rPr>
            </w:pPr>
            <w:r>
              <w:rPr>
                <w:rFonts w:hint="eastAsia" w:ascii="仿宋" w:hAnsi="仿宋" w:eastAsia="仿宋" w:cs="宋体"/>
                <w:b/>
                <w:bCs/>
                <w:color w:val="000000" w:themeColor="text1"/>
                <w:sz w:val="24"/>
                <w:szCs w:val="24"/>
                <w14:textFill>
                  <w14:solidFill>
                    <w14:schemeClr w14:val="tx1"/>
                  </w14:solidFill>
                </w14:textFill>
              </w:rPr>
              <w:t>本项满分</w:t>
            </w:r>
            <w:r>
              <w:rPr>
                <w:rFonts w:hint="eastAsia" w:ascii="仿宋" w:hAnsi="仿宋" w:eastAsia="仿宋" w:cs="宋体"/>
                <w:b/>
                <w:bCs/>
                <w:color w:val="000000" w:themeColor="text1"/>
                <w:sz w:val="24"/>
                <w:szCs w:val="24"/>
                <w:lang w:val="en-US" w:eastAsia="zh-CN"/>
                <w14:textFill>
                  <w14:solidFill>
                    <w14:schemeClr w14:val="tx1"/>
                  </w14:solidFill>
                </w14:textFill>
              </w:rPr>
              <w:t>10</w:t>
            </w:r>
            <w:r>
              <w:rPr>
                <w:rFonts w:hint="eastAsia" w:ascii="仿宋" w:hAnsi="仿宋" w:eastAsia="仿宋" w:cs="宋体"/>
                <w:b/>
                <w:bCs/>
                <w:color w:val="000000" w:themeColor="text1"/>
                <w:sz w:val="24"/>
                <w:szCs w:val="24"/>
                <w14:textFill>
                  <w14:solidFill>
                    <w14:schemeClr w14:val="tx1"/>
                  </w14:solidFill>
                </w14:textFill>
              </w:rPr>
              <w:t>分。</w:t>
            </w:r>
          </w:p>
          <w:p w14:paraId="0ABFD87A">
            <w:pPr>
              <w:adjustRightInd w:val="0"/>
              <w:snapToGrid w:val="0"/>
              <w:spacing w:line="276" w:lineRule="auto"/>
              <w:rPr>
                <w:rFonts w:ascii="宋体" w:hAnsi="宋体" w:cs="宋体"/>
                <w:kern w:val="0"/>
                <w:sz w:val="24"/>
                <w:szCs w:val="20"/>
              </w:rPr>
            </w:pPr>
            <w:r>
              <w:rPr>
                <w:rFonts w:hint="eastAsia" w:ascii="仿宋" w:hAnsi="仿宋" w:eastAsia="仿宋" w:cs="宋体"/>
                <w:b/>
                <w:bCs/>
                <w:sz w:val="24"/>
                <w:szCs w:val="24"/>
              </w:rPr>
              <w:t>【评审依据】：响应文件中提供合同复印件并加盖供应商公章。（合同复印件需提供合同首页、标的或内容所在页、签字盖章页）</w:t>
            </w:r>
            <w:r>
              <w:rPr>
                <w:rFonts w:hint="eastAsia" w:ascii="仿宋" w:hAnsi="仿宋" w:eastAsia="仿宋" w:cs="宋体"/>
                <w:b/>
                <w:bCs/>
                <w:color w:val="000000" w:themeColor="text1"/>
                <w:sz w:val="24"/>
                <w:szCs w:val="24"/>
                <w14:textFill>
                  <w14:solidFill>
                    <w14:schemeClr w14:val="tx1"/>
                  </w14:solidFill>
                </w14:textFill>
              </w:rPr>
              <w:t>同一单位不重复计分。</w:t>
            </w:r>
          </w:p>
        </w:tc>
      </w:tr>
      <w:tr w14:paraId="013582F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559" w:type="dxa"/>
            <w:tcBorders>
              <w:left w:val="single" w:color="auto" w:sz="4" w:space="0"/>
            </w:tcBorders>
            <w:vAlign w:val="center"/>
          </w:tcPr>
          <w:p w14:paraId="3EE00D5B">
            <w:pPr>
              <w:jc w:val="left"/>
              <w:rPr>
                <w:rFonts w:hint="default"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5</w:t>
            </w:r>
          </w:p>
        </w:tc>
        <w:tc>
          <w:tcPr>
            <w:tcW w:w="1302" w:type="dxa"/>
            <w:vAlign w:val="center"/>
          </w:tcPr>
          <w:p w14:paraId="596C703F">
            <w:pPr>
              <w:jc w:val="center"/>
              <w:rPr>
                <w:rFonts w:hint="eastAsia" w:ascii="仿宋" w:hAnsi="仿宋" w:eastAsia="仿宋" w:cs="宋体"/>
                <w:sz w:val="24"/>
                <w:szCs w:val="24"/>
              </w:rPr>
            </w:pPr>
            <w:r>
              <w:rPr>
                <w:rFonts w:hint="eastAsia" w:ascii="仿宋" w:hAnsi="仿宋" w:eastAsia="仿宋" w:cs="宋体"/>
                <w:sz w:val="24"/>
                <w:szCs w:val="24"/>
                <w:lang w:val="en-US" w:eastAsia="zh-CN"/>
              </w:rPr>
              <w:t>综合</w:t>
            </w:r>
            <w:r>
              <w:rPr>
                <w:rFonts w:hint="eastAsia" w:ascii="仿宋" w:hAnsi="仿宋" w:eastAsia="仿宋" w:cs="宋体"/>
                <w:sz w:val="24"/>
                <w:szCs w:val="24"/>
              </w:rPr>
              <w:t>实力</w:t>
            </w:r>
          </w:p>
        </w:tc>
        <w:tc>
          <w:tcPr>
            <w:tcW w:w="704" w:type="dxa"/>
            <w:vAlign w:val="center"/>
          </w:tcPr>
          <w:p w14:paraId="301B109B">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10</w:t>
            </w:r>
          </w:p>
        </w:tc>
        <w:tc>
          <w:tcPr>
            <w:tcW w:w="7236" w:type="dxa"/>
            <w:tcBorders>
              <w:right w:val="single" w:color="auto" w:sz="4" w:space="0"/>
            </w:tcBorders>
            <w:vAlign w:val="center"/>
          </w:tcPr>
          <w:p w14:paraId="05F9EF79">
            <w:pPr>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自有合规货运车辆≥5台，附车辆行驶证、营运证，资料齐全的计4分</w:t>
            </w:r>
            <w:bookmarkStart w:id="10" w:name="_GoBack"/>
            <w:r>
              <w:rPr>
                <w:rFonts w:hint="eastAsia" w:ascii="仿宋" w:hAnsi="仿宋" w:eastAsia="仿宋" w:cs="宋体"/>
                <w:color w:val="000000" w:themeColor="text1"/>
                <w:sz w:val="24"/>
                <w:szCs w:val="24"/>
                <w:lang w:val="en-US" w:eastAsia="zh-CN"/>
                <w14:textFill>
                  <w14:solidFill>
                    <w14:schemeClr w14:val="tx1"/>
                  </w14:solidFill>
                </w14:textFill>
              </w:rPr>
              <w:t>；车辆数量</w:t>
            </w:r>
            <w:r>
              <w:rPr>
                <w:rFonts w:hint="default" w:ascii="Arial" w:hAnsi="Arial" w:eastAsia="仿宋" w:cs="Arial"/>
                <w:color w:val="000000" w:themeColor="text1"/>
                <w:sz w:val="24"/>
                <w:szCs w:val="24"/>
                <w:lang w:val="en-US" w:eastAsia="zh-CN"/>
                <w14:textFill>
                  <w14:solidFill>
                    <w14:schemeClr w14:val="tx1"/>
                  </w14:solidFill>
                </w14:textFill>
              </w:rPr>
              <w:t>≤</w:t>
            </w:r>
            <w:r>
              <w:rPr>
                <w:rFonts w:hint="eastAsia" w:ascii="仿宋" w:hAnsi="仿宋" w:eastAsia="仿宋" w:cs="宋体"/>
                <w:color w:val="000000" w:themeColor="text1"/>
                <w:sz w:val="24"/>
                <w:szCs w:val="24"/>
                <w:lang w:val="en-US" w:eastAsia="zh-CN"/>
                <w14:textFill>
                  <w14:solidFill>
                    <w14:schemeClr w14:val="tx1"/>
                  </w14:solidFill>
                </w14:textFill>
              </w:rPr>
              <w:t>5台计2分，无证件不</w:t>
            </w:r>
            <w:bookmarkEnd w:id="10"/>
            <w:r>
              <w:rPr>
                <w:rFonts w:hint="eastAsia" w:ascii="仿宋" w:hAnsi="仿宋" w:eastAsia="仿宋" w:cs="宋体"/>
                <w:sz w:val="24"/>
                <w:szCs w:val="24"/>
                <w:lang w:val="en-US" w:eastAsia="zh-CN"/>
              </w:rPr>
              <w:t>得分。</w:t>
            </w:r>
          </w:p>
          <w:p w14:paraId="231761DB">
            <w:pPr>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公司全员投保、货物运输险</w:t>
            </w:r>
            <w:r>
              <w:rPr>
                <w:rFonts w:hint="eastAsia" w:ascii="仿宋" w:hAnsi="仿宋" w:eastAsia="仿宋" w:cs="宋体"/>
                <w:color w:val="0000FF"/>
                <w:sz w:val="24"/>
                <w:szCs w:val="24"/>
                <w:lang w:val="en-US" w:eastAsia="zh-CN"/>
              </w:rPr>
              <w:t>、</w:t>
            </w:r>
            <w:r>
              <w:rPr>
                <w:rFonts w:hint="eastAsia" w:ascii="仿宋" w:hAnsi="仿宋" w:eastAsia="仿宋" w:cs="宋体"/>
                <w:sz w:val="24"/>
                <w:szCs w:val="24"/>
                <w:lang w:val="en-US" w:eastAsia="zh-CN"/>
              </w:rPr>
              <w:t>机动车第三者责任险，保险额度充足且在有效期内，保单齐全计6分；缺任意一类保险不得分。</w:t>
            </w:r>
          </w:p>
          <w:p w14:paraId="4715C912">
            <w:pPr>
              <w:jc w:val="left"/>
              <w:rPr>
                <w:rFonts w:hint="eastAsia" w:ascii="仿宋" w:hAnsi="仿宋" w:eastAsia="仿宋" w:cs="宋体"/>
                <w:b/>
                <w:bCs/>
                <w:color w:val="000000" w:themeColor="text1"/>
                <w:sz w:val="24"/>
                <w:szCs w:val="24"/>
                <w:lang w:val="en-US" w:eastAsia="zh-CN"/>
                <w14:textFill>
                  <w14:solidFill>
                    <w14:schemeClr w14:val="tx1"/>
                  </w14:solidFill>
                </w14:textFill>
              </w:rPr>
            </w:pPr>
            <w:r>
              <w:rPr>
                <w:rFonts w:hint="eastAsia" w:ascii="仿宋" w:hAnsi="仿宋" w:eastAsia="仿宋" w:cs="宋体"/>
                <w:b/>
                <w:bCs/>
                <w:color w:val="000000" w:themeColor="text1"/>
                <w:sz w:val="24"/>
                <w:szCs w:val="24"/>
                <w:lang w:val="en-US" w:eastAsia="zh-CN"/>
                <w14:textFill>
                  <w14:solidFill>
                    <w14:schemeClr w14:val="tx1"/>
                  </w14:solidFill>
                </w14:textFill>
              </w:rPr>
              <w:t>本项满分10分。</w:t>
            </w:r>
          </w:p>
          <w:p w14:paraId="1958DD7B">
            <w:pPr>
              <w:rPr>
                <w:rFonts w:ascii="宋体" w:hAnsi="宋体" w:cs="宋体"/>
                <w:kern w:val="0"/>
                <w:sz w:val="24"/>
                <w:szCs w:val="20"/>
              </w:rPr>
            </w:pPr>
            <w:r>
              <w:rPr>
                <w:rFonts w:hint="eastAsia" w:ascii="仿宋" w:hAnsi="仿宋" w:eastAsia="仿宋" w:cs="宋体"/>
                <w:b/>
                <w:bCs/>
                <w:color w:val="000000" w:themeColor="text1"/>
                <w:sz w:val="24"/>
                <w:szCs w:val="24"/>
                <w:lang w:val="en-US" w:eastAsia="zh-CN"/>
                <w14:textFill>
                  <w14:solidFill>
                    <w14:schemeClr w14:val="tx1"/>
                  </w14:solidFill>
                </w14:textFill>
              </w:rPr>
              <w:t>（提供有效期内的复印件并加盖公章，否则不计分）</w:t>
            </w:r>
          </w:p>
        </w:tc>
      </w:tr>
    </w:tbl>
    <w:p w14:paraId="1F838AB8"/>
    <w:p w14:paraId="2CE8C035"/>
    <w:p w14:paraId="450018AE"/>
    <w:p w14:paraId="4FB94FB7">
      <w:pPr>
        <w:pStyle w:val="2"/>
        <w:rPr>
          <w:rFonts w:ascii="宋体" w:hAnsi="宋体" w:eastAsia="仿宋" w:cs="宋体"/>
          <w:b/>
          <w:color w:val="333333"/>
          <w:kern w:val="0"/>
          <w:sz w:val="36"/>
          <w:szCs w:val="36"/>
        </w:rPr>
      </w:pPr>
    </w:p>
    <w:p w14:paraId="1D98A5FF">
      <w:pPr>
        <w:pStyle w:val="2"/>
        <w:rPr>
          <w:rFonts w:ascii="宋体" w:hAnsi="宋体" w:eastAsia="仿宋" w:cs="宋体"/>
          <w:b/>
          <w:color w:val="333333"/>
          <w:kern w:val="0"/>
          <w:sz w:val="36"/>
          <w:szCs w:val="36"/>
        </w:rPr>
      </w:pPr>
    </w:p>
    <w:p w14:paraId="3B8C6314">
      <w:pPr>
        <w:pStyle w:val="18"/>
        <w:ind w:left="0" w:leftChars="0" w:firstLine="0"/>
        <w:jc w:val="center"/>
        <w:rPr>
          <w:rFonts w:hint="eastAsia" w:ascii="宋体" w:hAnsi="宋体" w:eastAsia="仿宋" w:cs="宋体"/>
          <w:b/>
          <w:color w:val="333333"/>
          <w:kern w:val="0"/>
          <w:sz w:val="36"/>
          <w:szCs w:val="36"/>
        </w:rPr>
      </w:pPr>
    </w:p>
    <w:p w14:paraId="5077E8EB">
      <w:pPr>
        <w:pStyle w:val="18"/>
        <w:ind w:left="0" w:leftChars="0" w:firstLine="0"/>
        <w:jc w:val="center"/>
        <w:rPr>
          <w:rFonts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2E83347C">
      <w:pPr>
        <w:adjustRightInd w:val="0"/>
        <w:snapToGrid w:val="0"/>
        <w:spacing w:line="360" w:lineRule="auto"/>
        <w:ind w:firstLine="482" w:firstLineChars="200"/>
        <w:jc w:val="left"/>
        <w:outlineLvl w:val="0"/>
        <w:rPr>
          <w:rFonts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18F19F73">
      <w:pPr>
        <w:pStyle w:val="18"/>
        <w:spacing w:before="0" w:beforeAutospacing="0" w:after="0" w:line="360" w:lineRule="auto"/>
        <w:ind w:left="0" w:leftChars="0" w:firstLine="482" w:firstLineChars="200"/>
        <w:jc w:val="left"/>
        <w:rPr>
          <w:rFonts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bCs/>
          <w:sz w:val="24"/>
          <w:szCs w:val="24"/>
        </w:rPr>
        <w:t>见</w:t>
      </w:r>
      <w:r>
        <w:rPr>
          <w:rFonts w:hint="eastAsia" w:ascii="仿宋" w:hAnsi="仿宋" w:eastAsia="仿宋"/>
          <w:sz w:val="24"/>
          <w:szCs w:val="24"/>
        </w:rPr>
        <w:t>附件2</w:t>
      </w:r>
    </w:p>
    <w:p w14:paraId="083C3535"/>
    <w:p w14:paraId="14FCD1CB">
      <w:pPr>
        <w:pStyle w:val="18"/>
        <w:ind w:left="0" w:leftChars="0" w:firstLine="0"/>
        <w:jc w:val="right"/>
        <w:rPr>
          <w:rFonts w:ascii="宋体" w:hAnsi="宋体" w:eastAsia="仿宋" w:cs="宋体"/>
          <w:b/>
          <w:color w:val="333333"/>
          <w:kern w:val="0"/>
          <w:sz w:val="36"/>
          <w:szCs w:val="36"/>
        </w:rPr>
        <w:sectPr>
          <w:headerReference r:id="rId3" w:type="default"/>
          <w:footerReference r:id="rId5" w:type="default"/>
          <w:headerReference r:id="rId4" w:type="even"/>
          <w:footerReference r:id="rId6" w:type="even"/>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4DFEE8F5">
      <w:pPr>
        <w:pStyle w:val="18"/>
        <w:ind w:left="0" w:leftChars="0" w:firstLine="0"/>
        <w:jc w:val="center"/>
        <w:rPr>
          <w:rFonts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35"/>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35"/>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35"/>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A33CA12">
      <w:pPr>
        <w:pStyle w:val="35"/>
        <w:shd w:val="clear" w:color="auto" w:fill="FFFFFF"/>
        <w:spacing w:before="0" w:beforeAutospacing="0" w:after="0" w:afterAutospacing="0" w:line="360" w:lineRule="auto"/>
        <w:ind w:firstLine="480" w:firstLineChars="200"/>
        <w:rPr>
          <w:rFonts w:ascii="仿宋" w:hAnsi="仿宋" w:eastAsia="仿宋" w:cs="Times New Roman"/>
          <w:color w:val="auto"/>
          <w:kern w:val="2"/>
        </w:rPr>
      </w:pPr>
      <w:r>
        <w:rPr>
          <w:rFonts w:hint="eastAsia" w:ascii="仿宋" w:hAnsi="仿宋" w:eastAsia="仿宋" w:cs="Times New Roman"/>
          <w:color w:val="auto"/>
          <w:kern w:val="2"/>
        </w:rPr>
        <w:t>4、报价不得超过采购预算价格，否则为无效投标。</w:t>
      </w:r>
    </w:p>
    <w:p w14:paraId="5FC3736A">
      <w:pPr>
        <w:pStyle w:val="11"/>
        <w:adjustRightInd w:val="0"/>
        <w:snapToGrid w:val="0"/>
        <w:spacing w:line="360" w:lineRule="auto"/>
        <w:rPr>
          <w:rFonts w:ascii="仿宋_GB2312" w:hAnsi="宋体" w:eastAsia="仿宋_GB2312"/>
          <w:b/>
        </w:rPr>
      </w:pPr>
    </w:p>
    <w:p w14:paraId="495F3925">
      <w:pPr>
        <w:pStyle w:val="11"/>
        <w:adjustRightInd w:val="0"/>
        <w:snapToGrid w:val="0"/>
        <w:spacing w:line="360" w:lineRule="auto"/>
        <w:rPr>
          <w:rFonts w:ascii="仿宋_GB2312" w:hAnsi="宋体" w:eastAsia="仿宋_GB2312"/>
          <w:b/>
        </w:rPr>
      </w:pPr>
    </w:p>
    <w:p w14:paraId="33EE1F5B">
      <w:pPr>
        <w:pStyle w:val="11"/>
        <w:adjustRightInd w:val="0"/>
        <w:snapToGrid w:val="0"/>
        <w:spacing w:line="360" w:lineRule="auto"/>
        <w:rPr>
          <w:rFonts w:ascii="仿宋_GB2312" w:hAnsi="宋体" w:eastAsia="仿宋_GB2312"/>
          <w:b/>
        </w:rPr>
      </w:pPr>
    </w:p>
    <w:p w14:paraId="6BA60C6A">
      <w:pPr>
        <w:pStyle w:val="11"/>
        <w:adjustRightInd w:val="0"/>
        <w:snapToGrid w:val="0"/>
        <w:spacing w:line="360" w:lineRule="auto"/>
        <w:rPr>
          <w:rFonts w:ascii="仿宋_GB2312" w:hAnsi="宋体" w:eastAsia="仿宋_GB2312"/>
          <w:b/>
        </w:rPr>
      </w:pPr>
    </w:p>
    <w:p w14:paraId="0F92DE75">
      <w:pPr>
        <w:pStyle w:val="11"/>
        <w:adjustRightInd w:val="0"/>
        <w:snapToGrid w:val="0"/>
        <w:spacing w:line="360" w:lineRule="auto"/>
        <w:rPr>
          <w:rFonts w:ascii="仿宋" w:hAnsi="仿宋" w:eastAsia="仿宋"/>
          <w:b/>
          <w:sz w:val="24"/>
          <w:szCs w:val="24"/>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2CCC1DC8">
      <w:pPr>
        <w:pStyle w:val="11"/>
        <w:adjustRightInd w:val="0"/>
        <w:snapToGrid w:val="0"/>
        <w:spacing w:line="360" w:lineRule="auto"/>
        <w:rPr>
          <w:rFonts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563661CD">
      <w:pPr>
        <w:adjustRightInd w:val="0"/>
        <w:snapToGrid w:val="0"/>
        <w:spacing w:line="360" w:lineRule="auto"/>
        <w:rPr>
          <w:rFonts w:ascii="仿宋_GB2312" w:hAnsi="宋体" w:eastAsia="仿宋_GB2312"/>
          <w:sz w:val="24"/>
          <w:szCs w:val="24"/>
        </w:rPr>
      </w:pPr>
    </w:p>
    <w:p w14:paraId="3B40E189">
      <w:pPr>
        <w:adjustRightInd w:val="0"/>
        <w:snapToGrid w:val="0"/>
        <w:spacing w:line="360" w:lineRule="auto"/>
        <w:rPr>
          <w:rFonts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w:t>
      </w:r>
      <w:r>
        <w:rPr>
          <w:rFonts w:hint="eastAsia" w:ascii="仿宋" w:hAnsi="仿宋" w:eastAsia="仿宋"/>
          <w:sz w:val="24"/>
          <w:szCs w:val="24"/>
        </w:rPr>
        <w:t>项目名称)的询比采购文件的全部内容，知悉参加询比的风险，我方承诺接受询比采购文件的全部条款且无任何异议。</w:t>
      </w:r>
    </w:p>
    <w:p w14:paraId="6FC4EBF3">
      <w:pPr>
        <w:pStyle w:val="11"/>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11"/>
        <w:adjustRightInd w:val="0"/>
        <w:snapToGrid w:val="0"/>
        <w:spacing w:line="360" w:lineRule="auto"/>
        <w:ind w:firstLine="480" w:firstLineChars="200"/>
        <w:rPr>
          <w:rFonts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11"/>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11"/>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2E26A803">
      <w:pPr>
        <w:pStyle w:val="11"/>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1C248E1D">
      <w:pPr>
        <w:adjustRightInd w:val="0"/>
        <w:snapToGrid w:val="0"/>
        <w:spacing w:line="360" w:lineRule="auto"/>
        <w:ind w:right="24"/>
        <w:rPr>
          <w:rFonts w:ascii="仿宋" w:hAnsi="仿宋" w:eastAsia="仿宋"/>
          <w:bCs/>
          <w:sz w:val="24"/>
          <w:szCs w:val="24"/>
        </w:rPr>
      </w:pPr>
    </w:p>
    <w:p w14:paraId="124491FF">
      <w:pPr>
        <w:adjustRightInd w:val="0"/>
        <w:snapToGrid w:val="0"/>
        <w:spacing w:line="360" w:lineRule="auto"/>
        <w:ind w:right="24"/>
        <w:rPr>
          <w:rFonts w:ascii="仿宋" w:hAnsi="仿宋" w:eastAsia="仿宋"/>
          <w:bCs/>
          <w:sz w:val="24"/>
          <w:szCs w:val="24"/>
        </w:rPr>
      </w:pPr>
    </w:p>
    <w:p w14:paraId="5DB1CD06">
      <w:pPr>
        <w:adjustRightInd w:val="0"/>
        <w:snapToGrid w:val="0"/>
        <w:spacing w:line="360" w:lineRule="auto"/>
        <w:ind w:right="24"/>
        <w:rPr>
          <w:rFonts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法定代表人身份证明(法定代表人参加询比)</w:t>
      </w:r>
    </w:p>
    <w:p w14:paraId="0D2C89B2">
      <w:pPr>
        <w:adjustRightInd w:val="0"/>
        <w:snapToGrid w:val="0"/>
        <w:spacing w:line="360" w:lineRule="auto"/>
        <w:ind w:right="24"/>
        <w:rPr>
          <w:rFonts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：法定代表人授权书(委托代理人参加询比)</w:t>
      </w:r>
    </w:p>
    <w:p w14:paraId="6B7C009A">
      <w:pPr>
        <w:pStyle w:val="11"/>
        <w:adjustRightInd w:val="0"/>
        <w:snapToGrid w:val="0"/>
        <w:spacing w:line="360" w:lineRule="auto"/>
        <w:rPr>
          <w:rFonts w:ascii="仿宋" w:hAnsi="仿宋" w:eastAsia="仿宋"/>
          <w:sz w:val="24"/>
          <w:szCs w:val="24"/>
        </w:rPr>
      </w:pPr>
    </w:p>
    <w:p w14:paraId="5B8CF27D">
      <w:pPr>
        <w:pStyle w:val="11"/>
        <w:adjustRightInd w:val="0"/>
        <w:snapToGrid w:val="0"/>
        <w:spacing w:line="360" w:lineRule="auto"/>
        <w:rPr>
          <w:rFonts w:ascii="仿宋" w:hAnsi="仿宋" w:eastAsia="仿宋"/>
          <w:sz w:val="24"/>
          <w:szCs w:val="24"/>
        </w:rPr>
      </w:pPr>
    </w:p>
    <w:p w14:paraId="0E155071">
      <w:pPr>
        <w:pStyle w:val="11"/>
        <w:adjustRightInd w:val="0"/>
        <w:snapToGrid w:val="0"/>
        <w:spacing w:line="360" w:lineRule="auto"/>
        <w:rPr>
          <w:rFonts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06A9744">
      <w:pPr>
        <w:adjustRightInd w:val="0"/>
        <w:snapToGrid w:val="0"/>
        <w:spacing w:line="360" w:lineRule="auto"/>
        <w:ind w:right="24"/>
        <w:rPr>
          <w:rFonts w:ascii="仿宋" w:hAnsi="仿宋" w:eastAsia="仿宋"/>
          <w:bCs/>
          <w:sz w:val="24"/>
        </w:rPr>
      </w:pPr>
    </w:p>
    <w:p w14:paraId="53E8A92D">
      <w:pPr>
        <w:adjustRightInd w:val="0"/>
        <w:snapToGrid w:val="0"/>
        <w:spacing w:line="360" w:lineRule="auto"/>
        <w:ind w:right="24"/>
        <w:rPr>
          <w:rFonts w:ascii="仿宋_GB2312" w:hAnsi="华文中宋" w:eastAsia="仿宋_GB2312"/>
          <w:bCs/>
          <w:sz w:val="24"/>
        </w:rPr>
      </w:pPr>
    </w:p>
    <w:p w14:paraId="7FC44160">
      <w:pPr>
        <w:adjustRightInd w:val="0"/>
        <w:snapToGrid w:val="0"/>
        <w:spacing w:line="360" w:lineRule="auto"/>
        <w:ind w:right="24"/>
        <w:rPr>
          <w:rFonts w:ascii="仿宋_GB2312" w:hAnsi="华文中宋" w:eastAsia="仿宋_GB2312"/>
          <w:bCs/>
          <w:sz w:val="24"/>
        </w:rPr>
      </w:pPr>
    </w:p>
    <w:p w14:paraId="2F5415D5">
      <w:pPr>
        <w:adjustRightInd w:val="0"/>
        <w:snapToGrid w:val="0"/>
        <w:spacing w:line="360" w:lineRule="auto"/>
        <w:ind w:right="24"/>
        <w:rPr>
          <w:szCs w:val="21"/>
        </w:rPr>
      </w:pPr>
    </w:p>
    <w:p w14:paraId="1196C8BE">
      <w:pPr>
        <w:adjustRightInd w:val="0"/>
        <w:snapToGrid w:val="0"/>
        <w:spacing w:line="360" w:lineRule="auto"/>
        <w:ind w:right="24"/>
        <w:rPr>
          <w:rFonts w:ascii="仿宋" w:hAnsi="仿宋" w:eastAsia="仿宋"/>
          <w:bCs/>
          <w:sz w:val="24"/>
          <w:szCs w:val="24"/>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36AF8E5A">
      <w:pPr>
        <w:adjustRightInd w:val="0"/>
        <w:snapToGrid w:val="0"/>
        <w:spacing w:line="360" w:lineRule="auto"/>
        <w:ind w:right="24"/>
        <w:rPr>
          <w:rFonts w:ascii="仿宋" w:hAnsi="仿宋" w:eastAsia="仿宋"/>
          <w:bCs/>
          <w:sz w:val="24"/>
          <w:szCs w:val="24"/>
        </w:rPr>
      </w:pPr>
      <w:r>
        <w:rPr>
          <w:rFonts w:hint="eastAsia" w:ascii="仿宋" w:hAnsi="仿宋" w:eastAsia="仿宋"/>
          <w:bCs/>
          <w:sz w:val="24"/>
          <w:szCs w:val="24"/>
        </w:rPr>
        <w:t>附1：</w:t>
      </w:r>
    </w:p>
    <w:p w14:paraId="0B167DF4">
      <w:pPr>
        <w:adjustRightInd w:val="0"/>
        <w:snapToGrid w:val="0"/>
        <w:spacing w:line="360" w:lineRule="auto"/>
        <w:ind w:right="24"/>
        <w:jc w:val="center"/>
        <w:rPr>
          <w:rFonts w:ascii="仿宋" w:hAnsi="仿宋" w:eastAsia="仿宋"/>
          <w:b/>
          <w:sz w:val="24"/>
          <w:szCs w:val="24"/>
        </w:rPr>
      </w:pPr>
      <w:r>
        <w:rPr>
          <w:rFonts w:hint="eastAsia" w:ascii="仿宋" w:hAnsi="仿宋" w:eastAsia="仿宋"/>
          <w:b/>
          <w:sz w:val="24"/>
          <w:szCs w:val="24"/>
        </w:rPr>
        <w:t>法定代表人身份证明(法定代表人参加询比)</w:t>
      </w:r>
    </w:p>
    <w:p w14:paraId="704A8298">
      <w:pPr>
        <w:snapToGrid w:val="0"/>
        <w:spacing w:line="480" w:lineRule="auto"/>
        <w:rPr>
          <w:rFonts w:ascii="仿宋" w:hAnsi="仿宋" w:eastAsia="仿宋"/>
          <w:sz w:val="24"/>
          <w:szCs w:val="24"/>
        </w:rPr>
      </w:pPr>
    </w:p>
    <w:p w14:paraId="225D67E6">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sz w:val="24"/>
          <w:szCs w:val="24"/>
        </w:rPr>
        <w:t>附：法定代表人身份证复印件</w:t>
      </w:r>
    </w:p>
    <w:p w14:paraId="26FEDB98">
      <w:pPr>
        <w:snapToGrid w:val="0"/>
        <w:spacing w:line="480" w:lineRule="auto"/>
        <w:rPr>
          <w:rFonts w:ascii="仿宋" w:hAnsi="仿宋" w:eastAsia="仿宋"/>
          <w:sz w:val="24"/>
          <w:szCs w:val="24"/>
        </w:rPr>
      </w:pPr>
    </w:p>
    <w:p w14:paraId="4EAB8206">
      <w:pPr>
        <w:snapToGrid w:val="0"/>
        <w:rPr>
          <w:rFonts w:ascii="仿宋" w:hAnsi="仿宋" w:eastAsia="仿宋"/>
          <w:sz w:val="24"/>
          <w:szCs w:val="24"/>
        </w:rPr>
      </w:pPr>
    </w:p>
    <w:p w14:paraId="67C67ED1">
      <w:pPr>
        <w:snapToGrid w:val="0"/>
        <w:rPr>
          <w:rFonts w:ascii="仿宋" w:hAnsi="仿宋" w:eastAsia="仿宋"/>
          <w:sz w:val="24"/>
          <w:szCs w:val="24"/>
        </w:rPr>
      </w:pPr>
    </w:p>
    <w:p w14:paraId="172E056E">
      <w:pPr>
        <w:snapToGrid w:val="0"/>
        <w:rPr>
          <w:rFonts w:ascii="仿宋" w:hAnsi="仿宋" w:eastAsia="仿宋"/>
          <w:sz w:val="24"/>
          <w:szCs w:val="24"/>
        </w:rPr>
      </w:pPr>
    </w:p>
    <w:p w14:paraId="336B8B31">
      <w:pPr>
        <w:snapToGrid w:val="0"/>
        <w:rPr>
          <w:rFonts w:ascii="仿宋" w:hAnsi="仿宋" w:eastAsia="仿宋"/>
          <w:sz w:val="24"/>
          <w:szCs w:val="24"/>
        </w:rPr>
      </w:pPr>
    </w:p>
    <w:p w14:paraId="7FB434E6">
      <w:pPr>
        <w:adjustRightInd w:val="0"/>
        <w:snapToGrid w:val="0"/>
        <w:spacing w:line="360" w:lineRule="auto"/>
        <w:rPr>
          <w:rFonts w:ascii="仿宋" w:hAnsi="仿宋" w:eastAsia="仿宋"/>
          <w:sz w:val="24"/>
          <w:szCs w:val="24"/>
        </w:rPr>
      </w:pPr>
    </w:p>
    <w:p w14:paraId="244CD4E8">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544BD96">
      <w:pPr>
        <w:adjustRightInd w:val="0"/>
        <w:snapToGrid w:val="0"/>
        <w:spacing w:before="156" w:beforeLines="50" w:line="360" w:lineRule="auto"/>
        <w:rPr>
          <w:rFonts w:ascii="仿宋_GB2312" w:hAnsi="宋体" w:eastAsia="仿宋_GB2312"/>
          <w:sz w:val="24"/>
          <w:szCs w:val="24"/>
        </w:rPr>
      </w:pPr>
    </w:p>
    <w:p w14:paraId="325667BA">
      <w:pPr>
        <w:adjustRightInd w:val="0"/>
        <w:snapToGrid w:val="0"/>
        <w:spacing w:before="156" w:beforeLines="50" w:line="360" w:lineRule="auto"/>
        <w:rPr>
          <w:rFonts w:ascii="仿宋_GB2312" w:hAnsi="宋体" w:eastAsia="仿宋_GB2312"/>
          <w:sz w:val="24"/>
          <w:szCs w:val="24"/>
        </w:rPr>
      </w:pPr>
    </w:p>
    <w:p w14:paraId="6BDE129F">
      <w:pPr>
        <w:adjustRightInd w:val="0"/>
        <w:snapToGrid w:val="0"/>
        <w:spacing w:before="156" w:beforeLines="50" w:line="360" w:lineRule="auto"/>
        <w:rPr>
          <w:rFonts w:ascii="仿宋_GB2312" w:hAnsi="宋体" w:eastAsia="仿宋_GB2312"/>
          <w:sz w:val="24"/>
          <w:szCs w:val="24"/>
        </w:rPr>
      </w:pPr>
      <w:r>
        <w:rPr>
          <w:rFonts w:hint="eastAsia" w:ascii="仿宋_GB2312" w:hAnsi="宋体" w:eastAsia="仿宋_GB2312"/>
          <w:sz w:val="24"/>
          <w:szCs w:val="24"/>
        </w:rPr>
        <w:br w:type="page"/>
      </w:r>
    </w:p>
    <w:p w14:paraId="75B8A198">
      <w:pPr>
        <w:adjustRightInd w:val="0"/>
        <w:snapToGrid w:val="0"/>
        <w:spacing w:line="360" w:lineRule="auto"/>
        <w:ind w:right="24"/>
        <w:rPr>
          <w:rFonts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w:t>
      </w:r>
    </w:p>
    <w:p w14:paraId="656A6B8E">
      <w:pPr>
        <w:adjustRightInd w:val="0"/>
        <w:snapToGrid w:val="0"/>
        <w:spacing w:line="360" w:lineRule="auto"/>
        <w:ind w:right="24"/>
        <w:jc w:val="center"/>
        <w:rPr>
          <w:rFonts w:ascii="仿宋" w:hAnsi="仿宋" w:eastAsia="仿宋"/>
          <w:b/>
          <w:sz w:val="24"/>
          <w:szCs w:val="24"/>
        </w:rPr>
      </w:pPr>
      <w:r>
        <w:rPr>
          <w:rFonts w:hint="eastAsia" w:ascii="仿宋" w:hAnsi="仿宋" w:eastAsia="仿宋"/>
          <w:b/>
          <w:sz w:val="24"/>
          <w:szCs w:val="24"/>
        </w:rPr>
        <w:t>法定代表人授权书(委托代理人参加询比)</w:t>
      </w:r>
    </w:p>
    <w:p w14:paraId="1F74DEA9">
      <w:pPr>
        <w:adjustRightInd w:val="0"/>
        <w:snapToGrid w:val="0"/>
        <w:spacing w:line="360" w:lineRule="auto"/>
        <w:jc w:val="center"/>
        <w:rPr>
          <w:rFonts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6A6004FF">
      <w:pPr>
        <w:spacing w:line="360" w:lineRule="exact"/>
        <w:rPr>
          <w:rFonts w:ascii="仿宋_GB2312" w:eastAsia="仿宋_GB2312"/>
          <w:b/>
          <w:sz w:val="24"/>
          <w:szCs w:val="24"/>
        </w:rPr>
      </w:pPr>
    </w:p>
    <w:p w14:paraId="200B769C">
      <w:pPr>
        <w:pStyle w:val="18"/>
      </w:pPr>
    </w:p>
    <w:p w14:paraId="10CB8852"/>
    <w:p w14:paraId="7F870902"/>
    <w:p w14:paraId="24C77AE7">
      <w:pPr>
        <w:pStyle w:val="18"/>
        <w:ind w:left="0" w:leftChars="0" w:firstLine="0"/>
        <w:rPr>
          <w:rFonts w:ascii="仿宋" w:hAnsi="仿宋" w:eastAsia="仿宋"/>
          <w:b/>
        </w:rPr>
      </w:pPr>
      <w:r>
        <w:rPr>
          <w:rFonts w:ascii="仿宋" w:hAnsi="仿宋" w:eastAsia="仿宋"/>
          <w:b/>
        </w:rPr>
        <w:t>附件2</w:t>
      </w:r>
      <w:r>
        <w:rPr>
          <w:rFonts w:hint="eastAsia" w:ascii="仿宋" w:hAnsi="仿宋" w:eastAsia="仿宋"/>
          <w:b/>
        </w:rPr>
        <w:t>：</w:t>
      </w:r>
    </w:p>
    <w:p w14:paraId="6C227076">
      <w:pPr>
        <w:jc w:val="center"/>
        <w:rPr>
          <w:rFonts w:ascii="仿宋" w:hAnsi="仿宋" w:eastAsia="仿宋"/>
          <w:b/>
          <w:sz w:val="32"/>
          <w:szCs w:val="32"/>
        </w:rPr>
      </w:pPr>
      <w:r>
        <w:rPr>
          <w:rFonts w:ascii="仿宋" w:hAnsi="仿宋" w:eastAsia="仿宋"/>
          <w:b/>
          <w:sz w:val="32"/>
          <w:szCs w:val="32"/>
        </w:rPr>
        <w:t>报价函</w:t>
      </w:r>
    </w:p>
    <w:p w14:paraId="024507CD">
      <w:pPr>
        <w:rPr>
          <w:rFonts w:ascii="仿宋" w:hAnsi="仿宋" w:eastAsia="仿宋"/>
          <w:sz w:val="24"/>
          <w:szCs w:val="24"/>
        </w:rPr>
      </w:pPr>
      <w:r>
        <w:rPr>
          <w:rFonts w:hint="eastAsia" w:ascii="仿宋" w:hAnsi="仿宋" w:eastAsia="仿宋"/>
          <w:sz w:val="24"/>
          <w:szCs w:val="24"/>
        </w:rPr>
        <w:t xml:space="preserve">                               </w:t>
      </w:r>
    </w:p>
    <w:p w14:paraId="31423733">
      <w:pPr>
        <w:spacing w:line="480" w:lineRule="auto"/>
        <w:jc w:val="left"/>
        <w:rPr>
          <w:rFonts w:ascii="仿宋" w:hAnsi="仿宋" w:eastAsia="仿宋" w:cs="宋体"/>
          <w:sz w:val="24"/>
          <w:szCs w:val="24"/>
        </w:rPr>
      </w:pPr>
      <w:r>
        <w:rPr>
          <w:rFonts w:hint="eastAsia" w:ascii="仿宋" w:hAnsi="仿宋" w:eastAsia="仿宋" w:cs="宋体"/>
          <w:sz w:val="24"/>
          <w:szCs w:val="24"/>
        </w:rPr>
        <w:t>湖南铁道职业技术学院：</w:t>
      </w:r>
    </w:p>
    <w:p w14:paraId="730A79EB">
      <w:pPr>
        <w:spacing w:line="480" w:lineRule="auto"/>
        <w:ind w:firstLine="640"/>
        <w:jc w:val="left"/>
        <w:rPr>
          <w:rFonts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rPr>
        <w:t xml:space="preserve">        项目</w:t>
      </w:r>
      <w:r>
        <w:rPr>
          <w:rFonts w:hint="eastAsia" w:ascii="仿宋" w:hAnsi="仿宋" w:eastAsia="仿宋"/>
          <w:sz w:val="24"/>
          <w:szCs w:val="24"/>
        </w:rPr>
        <w:t>询比文件，清楚文件中关于本项目的相关采购需求。</w:t>
      </w:r>
    </w:p>
    <w:p w14:paraId="4A649621">
      <w:pPr>
        <w:spacing w:line="480" w:lineRule="auto"/>
        <w:ind w:firstLine="480" w:firstLineChars="200"/>
        <w:jc w:val="left"/>
        <w:rPr>
          <w:rFonts w:hint="eastAsia" w:ascii="仿宋" w:hAnsi="仿宋" w:eastAsia="仿宋" w:cs="宋体"/>
          <w:sz w:val="24"/>
          <w:szCs w:val="24"/>
          <w:lang w:eastAsia="zh-CN"/>
        </w:rPr>
      </w:pPr>
      <w:r>
        <w:rPr>
          <w:rFonts w:hint="eastAsia" w:ascii="仿宋" w:hAnsi="仿宋" w:eastAsia="仿宋" w:cs="宋体"/>
          <w:sz w:val="24"/>
          <w:szCs w:val="24"/>
        </w:rPr>
        <w:t>我司最终报价</w:t>
      </w:r>
      <w:r>
        <w:rPr>
          <w:rFonts w:hint="eastAsia" w:ascii="仿宋" w:hAnsi="仿宋" w:eastAsia="仿宋" w:cs="宋体"/>
          <w:sz w:val="24"/>
          <w:szCs w:val="24"/>
          <w:lang w:eastAsia="zh-CN"/>
        </w:rPr>
        <w:t>：</w:t>
      </w:r>
    </w:p>
    <w:tbl>
      <w:tblPr>
        <w:tblStyle w:val="19"/>
        <w:tblW w:w="1096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2235"/>
        <w:gridCol w:w="3509"/>
        <w:gridCol w:w="3027"/>
        <w:gridCol w:w="2192"/>
      </w:tblGrid>
      <w:tr w14:paraId="701CD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72" w:hRule="atLeast"/>
          <w:tblHeader/>
          <w:jc w:val="center"/>
        </w:trPr>
        <w:tc>
          <w:tcPr>
            <w:tcW w:w="2235" w:type="dxa"/>
            <w:tcBorders>
              <w:top w:val="single" w:color="auto" w:sz="4" w:space="0"/>
              <w:left w:val="single" w:color="auto" w:sz="4" w:space="0"/>
              <w:bottom w:val="single" w:color="auto" w:sz="4" w:space="0"/>
              <w:right w:val="single" w:color="auto" w:sz="4" w:space="0"/>
            </w:tcBorders>
            <w:noWrap w:val="0"/>
            <w:tcMar>
              <w:top w:w="150" w:type="dxa"/>
              <w:left w:w="0" w:type="dxa"/>
              <w:bottom w:w="150" w:type="dxa"/>
              <w:right w:w="240" w:type="dxa"/>
            </w:tcMar>
            <w:vAlign w:val="center"/>
          </w:tcPr>
          <w:p w14:paraId="6FCDBF31">
            <w:pPr>
              <w:spacing w:line="480" w:lineRule="auto"/>
              <w:ind w:firstLine="640"/>
              <w:jc w:val="both"/>
              <w:rPr>
                <w:rFonts w:hint="eastAsia" w:ascii="仿宋" w:hAnsi="仿宋" w:eastAsia="仿宋" w:cs="Times New Roman"/>
                <w:b/>
                <w:bCs/>
                <w:sz w:val="24"/>
                <w:szCs w:val="24"/>
              </w:rPr>
            </w:pPr>
            <w:r>
              <w:rPr>
                <w:rFonts w:hint="eastAsia" w:ascii="仿宋" w:hAnsi="仿宋" w:eastAsia="仿宋" w:cs="Times New Roman"/>
                <w:b/>
                <w:bCs/>
                <w:sz w:val="24"/>
                <w:szCs w:val="24"/>
                <w:lang w:val="en-US" w:eastAsia="zh-CN"/>
              </w:rPr>
              <w:t>车辆类型</w:t>
            </w:r>
          </w:p>
        </w:tc>
        <w:tc>
          <w:tcPr>
            <w:tcW w:w="3509" w:type="dxa"/>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2509B2FC">
            <w:pPr>
              <w:spacing w:line="480" w:lineRule="auto"/>
              <w:jc w:val="center"/>
              <w:rPr>
                <w:rFonts w:hint="eastAsia" w:ascii="仿宋" w:hAnsi="仿宋" w:eastAsia="仿宋" w:cs="Times New Roman"/>
                <w:b/>
                <w:bCs/>
                <w:sz w:val="24"/>
                <w:szCs w:val="24"/>
                <w:lang w:val="en-US" w:eastAsia="zh-CN"/>
              </w:rPr>
            </w:pPr>
            <w:r>
              <w:rPr>
                <w:rFonts w:hint="eastAsia" w:ascii="仿宋" w:hAnsi="仿宋" w:eastAsia="仿宋" w:cs="Times New Roman"/>
                <w:b/>
                <w:bCs/>
                <w:sz w:val="24"/>
                <w:szCs w:val="24"/>
                <w:lang w:val="en-US" w:eastAsia="zh-CN"/>
              </w:rPr>
              <w:t>单车收费标准（上限值）</w:t>
            </w:r>
          </w:p>
        </w:tc>
        <w:tc>
          <w:tcPr>
            <w:tcW w:w="3027" w:type="dxa"/>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3BE5CD14">
            <w:pPr>
              <w:spacing w:line="480" w:lineRule="auto"/>
              <w:jc w:val="center"/>
              <w:rPr>
                <w:rFonts w:hint="default" w:ascii="仿宋" w:hAnsi="仿宋" w:eastAsia="仿宋" w:cs="Times New Roman"/>
                <w:b/>
                <w:bCs/>
                <w:sz w:val="24"/>
                <w:szCs w:val="24"/>
                <w:lang w:val="en-US" w:eastAsia="zh-CN"/>
              </w:rPr>
            </w:pPr>
            <w:r>
              <w:rPr>
                <w:rFonts w:hint="eastAsia" w:ascii="仿宋" w:hAnsi="仿宋" w:eastAsia="仿宋" w:cs="Times New Roman"/>
                <w:b/>
                <w:bCs/>
                <w:sz w:val="24"/>
                <w:szCs w:val="24"/>
                <w:lang w:val="en-US" w:eastAsia="zh-CN"/>
              </w:rPr>
              <w:t>搬运说明</w:t>
            </w:r>
          </w:p>
        </w:tc>
        <w:tc>
          <w:tcPr>
            <w:tcW w:w="2192" w:type="dxa"/>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6B4B6117">
            <w:pPr>
              <w:spacing w:line="480" w:lineRule="auto"/>
              <w:jc w:val="center"/>
              <w:rPr>
                <w:rFonts w:hint="default" w:ascii="仿宋" w:hAnsi="仿宋" w:eastAsia="仿宋" w:cs="Times New Roman"/>
                <w:b/>
                <w:bCs/>
                <w:sz w:val="24"/>
                <w:szCs w:val="24"/>
                <w:lang w:val="en-US" w:eastAsia="zh-CN"/>
              </w:rPr>
            </w:pPr>
            <w:r>
              <w:rPr>
                <w:rFonts w:hint="eastAsia" w:ascii="仿宋" w:hAnsi="仿宋" w:eastAsia="仿宋" w:cs="Times New Roman"/>
                <w:b/>
                <w:bCs/>
                <w:sz w:val="24"/>
                <w:szCs w:val="24"/>
                <w:lang w:val="en-US" w:eastAsia="zh-CN"/>
              </w:rPr>
              <w:t>最终报价</w:t>
            </w:r>
          </w:p>
        </w:tc>
      </w:tr>
      <w:tr w14:paraId="07CD3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38" w:hRule="atLeast"/>
          <w:jc w:val="center"/>
        </w:trPr>
        <w:tc>
          <w:tcPr>
            <w:tcW w:w="2235" w:type="dxa"/>
            <w:vMerge w:val="restart"/>
            <w:tcBorders>
              <w:top w:val="single" w:color="auto" w:sz="4" w:space="0"/>
              <w:left w:val="single" w:color="auto" w:sz="4" w:space="0"/>
              <w:right w:val="single" w:color="auto" w:sz="4" w:space="0"/>
            </w:tcBorders>
            <w:noWrap w:val="0"/>
            <w:tcMar>
              <w:top w:w="150" w:type="dxa"/>
              <w:left w:w="0" w:type="dxa"/>
              <w:bottom w:w="150" w:type="dxa"/>
              <w:right w:w="240" w:type="dxa"/>
            </w:tcMar>
            <w:vAlign w:val="center"/>
          </w:tcPr>
          <w:p w14:paraId="2777F2CD">
            <w:pPr>
              <w:spacing w:line="480" w:lineRule="auto"/>
              <w:ind w:firstLine="640"/>
              <w:jc w:val="both"/>
              <w:rPr>
                <w:rFonts w:hint="eastAsia" w:ascii="仿宋" w:hAnsi="仿宋" w:eastAsia="仿宋" w:cs="Times New Roman"/>
                <w:sz w:val="24"/>
                <w:szCs w:val="24"/>
              </w:rPr>
            </w:pPr>
            <w:r>
              <w:rPr>
                <w:rFonts w:hint="eastAsia" w:ascii="仿宋" w:hAnsi="仿宋" w:eastAsia="仿宋" w:cs="Times New Roman"/>
                <w:sz w:val="24"/>
                <w:szCs w:val="24"/>
                <w:lang w:val="en-US" w:eastAsia="zh-CN"/>
              </w:rPr>
              <w:t>4.2米货车</w:t>
            </w:r>
          </w:p>
        </w:tc>
        <w:tc>
          <w:tcPr>
            <w:tcW w:w="3509" w:type="dxa"/>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5222DB8D">
            <w:pPr>
              <w:spacing w:line="480" w:lineRule="auto"/>
              <w:jc w:val="center"/>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400元/车（不上楼）</w:t>
            </w:r>
          </w:p>
        </w:tc>
        <w:tc>
          <w:tcPr>
            <w:tcW w:w="3027" w:type="dxa"/>
            <w:vMerge w:val="restart"/>
            <w:tcBorders>
              <w:top w:val="single" w:color="auto" w:sz="4" w:space="0"/>
              <w:left w:val="single" w:color="auto" w:sz="4" w:space="0"/>
              <w:right w:val="single" w:color="auto" w:sz="4" w:space="0"/>
            </w:tcBorders>
            <w:noWrap w:val="0"/>
            <w:tcMar>
              <w:top w:w="150" w:type="dxa"/>
              <w:left w:w="240" w:type="dxa"/>
              <w:bottom w:w="150" w:type="dxa"/>
              <w:right w:w="240" w:type="dxa"/>
            </w:tcMar>
            <w:vAlign w:val="center"/>
          </w:tcPr>
          <w:p w14:paraId="51D6F4C4">
            <w:pPr>
              <w:spacing w:line="480" w:lineRule="auto"/>
              <w:ind w:firstLine="640"/>
              <w:jc w:val="left"/>
              <w:rPr>
                <w:rFonts w:hint="eastAsia" w:ascii="仿宋" w:hAnsi="仿宋" w:eastAsia="仿宋"/>
                <w:sz w:val="24"/>
                <w:szCs w:val="24"/>
                <w:lang w:val="en-US" w:eastAsia="zh-CN"/>
              </w:rPr>
            </w:pPr>
            <w:r>
              <w:rPr>
                <w:rFonts w:hint="eastAsia" w:ascii="仿宋" w:hAnsi="仿宋" w:eastAsia="仿宋"/>
                <w:sz w:val="24"/>
                <w:szCs w:val="24"/>
                <w:lang w:val="en-US" w:eastAsia="zh-CN"/>
              </w:rPr>
              <w:t>包装货、卸货</w:t>
            </w:r>
          </w:p>
        </w:tc>
        <w:tc>
          <w:tcPr>
            <w:tcW w:w="2192" w:type="dxa"/>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600CC746">
            <w:pPr>
              <w:spacing w:line="480" w:lineRule="auto"/>
              <w:ind w:firstLine="640"/>
              <w:jc w:val="center"/>
              <w:rPr>
                <w:rFonts w:hint="eastAsia" w:ascii="仿宋" w:hAnsi="仿宋" w:eastAsia="仿宋" w:cs="Times New Roman"/>
                <w:sz w:val="24"/>
                <w:szCs w:val="24"/>
                <w:lang w:val="en-US" w:eastAsia="zh-CN"/>
              </w:rPr>
            </w:pPr>
          </w:p>
        </w:tc>
      </w:tr>
      <w:tr w14:paraId="3B703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2235" w:type="dxa"/>
            <w:vMerge w:val="continue"/>
            <w:tcBorders>
              <w:left w:val="single" w:color="auto" w:sz="4" w:space="0"/>
              <w:bottom w:val="single" w:color="auto" w:sz="4" w:space="0"/>
              <w:right w:val="single" w:color="auto" w:sz="4" w:space="0"/>
            </w:tcBorders>
            <w:noWrap w:val="0"/>
            <w:tcMar>
              <w:top w:w="150" w:type="dxa"/>
              <w:left w:w="0" w:type="dxa"/>
              <w:bottom w:w="150" w:type="dxa"/>
              <w:right w:w="240" w:type="dxa"/>
            </w:tcMar>
            <w:vAlign w:val="center"/>
          </w:tcPr>
          <w:p w14:paraId="2F5E52B3">
            <w:pPr>
              <w:spacing w:line="480" w:lineRule="auto"/>
              <w:ind w:firstLine="640"/>
              <w:jc w:val="both"/>
              <w:rPr>
                <w:rFonts w:hint="eastAsia" w:ascii="仿宋" w:hAnsi="仿宋" w:eastAsia="仿宋" w:cs="Times New Roman"/>
                <w:sz w:val="24"/>
                <w:szCs w:val="24"/>
              </w:rPr>
            </w:pPr>
          </w:p>
        </w:tc>
        <w:tc>
          <w:tcPr>
            <w:tcW w:w="3509" w:type="dxa"/>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570F8B0D">
            <w:pPr>
              <w:spacing w:line="480" w:lineRule="auto"/>
              <w:jc w:val="center"/>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450元/车（上楼）</w:t>
            </w:r>
          </w:p>
        </w:tc>
        <w:tc>
          <w:tcPr>
            <w:tcW w:w="3027" w:type="dxa"/>
            <w:vMerge w:val="continue"/>
            <w:tcBorders>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6C61C7B4">
            <w:pPr>
              <w:spacing w:line="480" w:lineRule="auto"/>
              <w:ind w:firstLine="640"/>
              <w:jc w:val="left"/>
              <w:rPr>
                <w:rFonts w:hint="eastAsia" w:ascii="仿宋" w:hAnsi="仿宋" w:eastAsia="仿宋"/>
                <w:sz w:val="24"/>
                <w:szCs w:val="24"/>
                <w:lang w:val="en-US" w:eastAsia="zh-CN"/>
              </w:rPr>
            </w:pPr>
          </w:p>
        </w:tc>
        <w:tc>
          <w:tcPr>
            <w:tcW w:w="2192" w:type="dxa"/>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58D52966">
            <w:pPr>
              <w:spacing w:line="480" w:lineRule="auto"/>
              <w:ind w:firstLine="640"/>
              <w:jc w:val="center"/>
              <w:rPr>
                <w:rFonts w:hint="eastAsia" w:ascii="仿宋" w:hAnsi="仿宋" w:eastAsia="仿宋" w:cs="Times New Roman"/>
                <w:sz w:val="24"/>
                <w:szCs w:val="24"/>
                <w:lang w:val="en-US" w:eastAsia="zh-CN"/>
              </w:rPr>
            </w:pPr>
          </w:p>
        </w:tc>
      </w:tr>
      <w:tr w14:paraId="46A89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2235" w:type="dxa"/>
            <w:vMerge w:val="restart"/>
            <w:tcBorders>
              <w:top w:val="single" w:color="auto" w:sz="4" w:space="0"/>
              <w:left w:val="single" w:color="auto" w:sz="4" w:space="0"/>
              <w:right w:val="single" w:color="auto" w:sz="4" w:space="0"/>
            </w:tcBorders>
            <w:shd w:val="clear" w:color="auto" w:fill="auto"/>
            <w:noWrap w:val="0"/>
            <w:tcMar>
              <w:top w:w="150" w:type="dxa"/>
              <w:left w:w="0" w:type="dxa"/>
              <w:bottom w:w="150" w:type="dxa"/>
              <w:right w:w="240" w:type="dxa"/>
            </w:tcMar>
            <w:vAlign w:val="center"/>
          </w:tcPr>
          <w:p w14:paraId="5A719F74">
            <w:pPr>
              <w:spacing w:line="480" w:lineRule="auto"/>
              <w:ind w:firstLine="640" w:firstLineChars="0"/>
              <w:jc w:val="both"/>
              <w:rPr>
                <w:rFonts w:hint="eastAsia" w:ascii="仿宋" w:hAnsi="仿宋" w:eastAsia="仿宋" w:cs="Times New Roman"/>
                <w:kern w:val="2"/>
                <w:sz w:val="24"/>
                <w:szCs w:val="24"/>
                <w:lang w:val="en-US" w:eastAsia="zh-CN" w:bidi="ar-SA"/>
              </w:rPr>
            </w:pPr>
            <w:r>
              <w:rPr>
                <w:rFonts w:hint="eastAsia" w:ascii="仿宋" w:hAnsi="仿宋" w:eastAsia="仿宋" w:cs="Times New Roman"/>
                <w:sz w:val="24"/>
                <w:szCs w:val="24"/>
                <w:lang w:val="en-US" w:eastAsia="zh-CN"/>
              </w:rPr>
              <w:t>4米平板车</w:t>
            </w:r>
          </w:p>
        </w:tc>
        <w:tc>
          <w:tcPr>
            <w:tcW w:w="3509"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240" w:type="dxa"/>
              <w:bottom w:w="150" w:type="dxa"/>
              <w:right w:w="240" w:type="dxa"/>
            </w:tcMar>
            <w:vAlign w:val="center"/>
          </w:tcPr>
          <w:p w14:paraId="64E99810">
            <w:pPr>
              <w:spacing w:line="480" w:lineRule="auto"/>
              <w:jc w:val="center"/>
              <w:rPr>
                <w:rFonts w:hint="eastAsia" w:ascii="仿宋" w:hAnsi="仿宋" w:eastAsia="仿宋" w:cs="Times New Roman"/>
                <w:kern w:val="2"/>
                <w:sz w:val="24"/>
                <w:szCs w:val="24"/>
                <w:lang w:val="en-US" w:eastAsia="zh-CN" w:bidi="ar-SA"/>
              </w:rPr>
            </w:pPr>
            <w:r>
              <w:rPr>
                <w:rFonts w:hint="eastAsia" w:ascii="仿宋" w:hAnsi="仿宋" w:eastAsia="仿宋" w:cs="Times New Roman"/>
                <w:sz w:val="24"/>
                <w:szCs w:val="24"/>
                <w:lang w:val="en-US" w:eastAsia="zh-CN"/>
              </w:rPr>
              <w:t>280元/车（不上楼）</w:t>
            </w:r>
          </w:p>
        </w:tc>
        <w:tc>
          <w:tcPr>
            <w:tcW w:w="3027" w:type="dxa"/>
            <w:vMerge w:val="restart"/>
            <w:tcBorders>
              <w:top w:val="single" w:color="auto" w:sz="4" w:space="0"/>
              <w:left w:val="single" w:color="auto" w:sz="4" w:space="0"/>
              <w:right w:val="single" w:color="auto" w:sz="4" w:space="0"/>
            </w:tcBorders>
            <w:shd w:val="clear" w:color="auto" w:fill="auto"/>
            <w:noWrap w:val="0"/>
            <w:tcMar>
              <w:top w:w="150" w:type="dxa"/>
              <w:left w:w="240" w:type="dxa"/>
              <w:bottom w:w="150" w:type="dxa"/>
              <w:right w:w="240" w:type="dxa"/>
            </w:tcMar>
            <w:vAlign w:val="center"/>
          </w:tcPr>
          <w:p w14:paraId="07BCFC34">
            <w:pPr>
              <w:spacing w:line="480" w:lineRule="auto"/>
              <w:ind w:firstLine="640" w:firstLineChars="0"/>
              <w:jc w:val="left"/>
              <w:rPr>
                <w:rFonts w:hint="eastAsia" w:ascii="仿宋" w:hAnsi="仿宋" w:eastAsia="仿宋" w:cs="Times New Roman"/>
                <w:kern w:val="2"/>
                <w:sz w:val="24"/>
                <w:szCs w:val="24"/>
                <w:lang w:val="en-US" w:eastAsia="zh-CN" w:bidi="ar-SA"/>
              </w:rPr>
            </w:pPr>
            <w:r>
              <w:rPr>
                <w:rFonts w:hint="eastAsia" w:ascii="仿宋" w:hAnsi="仿宋" w:eastAsia="仿宋"/>
                <w:sz w:val="24"/>
                <w:szCs w:val="24"/>
                <w:lang w:val="en-US" w:eastAsia="zh-CN"/>
              </w:rPr>
              <w:t>包装货、卸货</w:t>
            </w:r>
          </w:p>
        </w:tc>
        <w:tc>
          <w:tcPr>
            <w:tcW w:w="2192" w:type="dxa"/>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1C716BA8">
            <w:pPr>
              <w:spacing w:line="480" w:lineRule="auto"/>
              <w:ind w:firstLine="640"/>
              <w:jc w:val="center"/>
              <w:rPr>
                <w:rFonts w:hint="eastAsia" w:ascii="仿宋" w:hAnsi="仿宋" w:eastAsia="仿宋" w:cs="Times New Roman"/>
                <w:sz w:val="24"/>
                <w:szCs w:val="24"/>
                <w:lang w:val="en-US" w:eastAsia="zh-CN"/>
              </w:rPr>
            </w:pPr>
          </w:p>
        </w:tc>
      </w:tr>
      <w:tr w14:paraId="5FA0F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2235" w:type="dxa"/>
            <w:vMerge w:val="continue"/>
            <w:tcBorders>
              <w:left w:val="single" w:color="auto" w:sz="4" w:space="0"/>
              <w:bottom w:val="single" w:color="auto" w:sz="4" w:space="0"/>
              <w:right w:val="single" w:color="auto" w:sz="4" w:space="0"/>
            </w:tcBorders>
            <w:shd w:val="clear" w:color="auto" w:fill="auto"/>
            <w:noWrap w:val="0"/>
            <w:tcMar>
              <w:top w:w="150" w:type="dxa"/>
              <w:left w:w="0" w:type="dxa"/>
              <w:bottom w:w="150" w:type="dxa"/>
              <w:right w:w="240" w:type="dxa"/>
            </w:tcMar>
            <w:vAlign w:val="center"/>
          </w:tcPr>
          <w:p w14:paraId="43D1AF75">
            <w:pPr>
              <w:spacing w:line="480" w:lineRule="auto"/>
              <w:ind w:firstLine="640" w:firstLineChars="0"/>
              <w:jc w:val="both"/>
              <w:rPr>
                <w:rFonts w:hint="eastAsia" w:ascii="仿宋" w:hAnsi="仿宋" w:eastAsia="仿宋" w:cs="Times New Roman"/>
                <w:sz w:val="24"/>
                <w:szCs w:val="24"/>
                <w:lang w:val="en-US" w:eastAsia="zh-CN"/>
              </w:rPr>
            </w:pPr>
          </w:p>
        </w:tc>
        <w:tc>
          <w:tcPr>
            <w:tcW w:w="3509" w:type="dxa"/>
            <w:tcBorders>
              <w:top w:val="single" w:color="auto" w:sz="4" w:space="0"/>
              <w:left w:val="single" w:color="auto" w:sz="4" w:space="0"/>
              <w:bottom w:val="single" w:color="auto" w:sz="4" w:space="0"/>
              <w:right w:val="single" w:color="auto" w:sz="4" w:space="0"/>
            </w:tcBorders>
            <w:shd w:val="clear" w:color="auto" w:fill="auto"/>
            <w:noWrap w:val="0"/>
            <w:tcMar>
              <w:top w:w="150" w:type="dxa"/>
              <w:left w:w="240" w:type="dxa"/>
              <w:bottom w:w="150" w:type="dxa"/>
              <w:right w:w="240" w:type="dxa"/>
            </w:tcMar>
            <w:vAlign w:val="center"/>
          </w:tcPr>
          <w:p w14:paraId="26BD0203">
            <w:pPr>
              <w:spacing w:line="480" w:lineRule="auto"/>
              <w:jc w:val="center"/>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330元/车（上楼）</w:t>
            </w:r>
          </w:p>
        </w:tc>
        <w:tc>
          <w:tcPr>
            <w:tcW w:w="3027" w:type="dxa"/>
            <w:vMerge w:val="continue"/>
            <w:tcBorders>
              <w:left w:val="single" w:color="auto" w:sz="4" w:space="0"/>
              <w:bottom w:val="single" w:color="auto" w:sz="4" w:space="0"/>
              <w:right w:val="single" w:color="auto" w:sz="4" w:space="0"/>
            </w:tcBorders>
            <w:shd w:val="clear" w:color="auto" w:fill="auto"/>
            <w:noWrap w:val="0"/>
            <w:tcMar>
              <w:top w:w="150" w:type="dxa"/>
              <w:left w:w="240" w:type="dxa"/>
              <w:bottom w:w="150" w:type="dxa"/>
              <w:right w:w="240" w:type="dxa"/>
            </w:tcMar>
            <w:vAlign w:val="center"/>
          </w:tcPr>
          <w:p w14:paraId="40E4A016">
            <w:pPr>
              <w:spacing w:line="480" w:lineRule="auto"/>
              <w:ind w:firstLine="640" w:firstLineChars="0"/>
              <w:jc w:val="left"/>
              <w:rPr>
                <w:rFonts w:hint="eastAsia" w:ascii="仿宋" w:hAnsi="仿宋" w:eastAsia="仿宋"/>
                <w:sz w:val="24"/>
                <w:szCs w:val="24"/>
                <w:lang w:val="en-US" w:eastAsia="zh-CN"/>
              </w:rPr>
            </w:pPr>
          </w:p>
        </w:tc>
        <w:tc>
          <w:tcPr>
            <w:tcW w:w="2192" w:type="dxa"/>
            <w:tcBorders>
              <w:top w:val="single" w:color="auto" w:sz="4" w:space="0"/>
              <w:left w:val="single" w:color="auto" w:sz="4" w:space="0"/>
              <w:bottom w:val="single" w:color="auto" w:sz="4" w:space="0"/>
              <w:right w:val="single" w:color="auto" w:sz="4" w:space="0"/>
            </w:tcBorders>
            <w:noWrap w:val="0"/>
            <w:tcMar>
              <w:top w:w="150" w:type="dxa"/>
              <w:left w:w="240" w:type="dxa"/>
              <w:bottom w:w="150" w:type="dxa"/>
              <w:right w:w="240" w:type="dxa"/>
            </w:tcMar>
            <w:vAlign w:val="center"/>
          </w:tcPr>
          <w:p w14:paraId="18DB514F">
            <w:pPr>
              <w:spacing w:line="480" w:lineRule="auto"/>
              <w:ind w:firstLine="640"/>
              <w:jc w:val="center"/>
              <w:rPr>
                <w:rFonts w:hint="eastAsia" w:ascii="仿宋" w:hAnsi="仿宋" w:eastAsia="仿宋" w:cs="Times New Roman"/>
                <w:sz w:val="24"/>
                <w:szCs w:val="24"/>
                <w:lang w:val="en-US" w:eastAsia="zh-CN"/>
              </w:rPr>
            </w:pPr>
          </w:p>
        </w:tc>
      </w:tr>
    </w:tbl>
    <w:p w14:paraId="03B9FC27">
      <w:pPr>
        <w:pStyle w:val="18"/>
        <w:rPr>
          <w:rFonts w:ascii="仿宋" w:hAnsi="仿宋" w:eastAsia="仿宋"/>
        </w:rPr>
      </w:pPr>
    </w:p>
    <w:p w14:paraId="4FD0CF5F">
      <w:pPr>
        <w:pStyle w:val="18"/>
        <w:ind w:left="0" w:leftChars="0" w:firstLine="0"/>
        <w:rPr>
          <w:rFonts w:ascii="仿宋" w:hAnsi="仿宋" w:eastAsia="仿宋"/>
        </w:rPr>
      </w:pPr>
    </w:p>
    <w:p w14:paraId="29CCF2CD">
      <w:pPr>
        <w:spacing w:line="360" w:lineRule="auto"/>
        <w:ind w:firstLine="640"/>
        <w:jc w:val="left"/>
        <w:rPr>
          <w:rFonts w:ascii="仿宋" w:hAnsi="仿宋" w:eastAsia="仿宋"/>
          <w:sz w:val="24"/>
          <w:szCs w:val="24"/>
        </w:rPr>
      </w:pPr>
    </w:p>
    <w:p w14:paraId="268EBA23">
      <w:pPr>
        <w:spacing w:line="480" w:lineRule="auto"/>
        <w:ind w:firstLine="3600" w:firstLineChars="1500"/>
        <w:jc w:val="left"/>
        <w:rPr>
          <w:rFonts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0C6A9736">
      <w:pPr>
        <w:spacing w:line="480" w:lineRule="auto"/>
        <w:ind w:firstLine="5520" w:firstLineChars="2300"/>
        <w:jc w:val="left"/>
        <w:rPr>
          <w:rFonts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p w14:paraId="4DD2CCE3">
      <w:pPr>
        <w:rPr>
          <w:rFonts w:hint="eastAsia" w:ascii="仿宋" w:hAnsi="仿宋" w:eastAsia="仿宋"/>
          <w:sz w:val="24"/>
          <w:szCs w:val="24"/>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黑体"/>
    <w:panose1 w:val="00000000000000000000"/>
    <w:charset w:val="86"/>
    <w:family w:val="script"/>
    <w:pitch w:val="default"/>
    <w:sig w:usb0="00000000" w:usb1="00000000" w:usb2="00000000" w:usb3="00000000" w:csb0="00040000" w:csb1="00000000"/>
  </w:font>
  <w:font w:name="方正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4"/>
          <w:jc w:val="center"/>
        </w:pPr>
        <w:r>
          <w:fldChar w:fldCharType="begin"/>
        </w:r>
        <w:r>
          <w:instrText xml:space="preserve">PAGE   \* MERGEFORMAT</w:instrText>
        </w:r>
        <w:r>
          <w:fldChar w:fldCharType="separate"/>
        </w:r>
        <w:r>
          <w:rPr>
            <w:lang w:val="zh-CN"/>
          </w:rPr>
          <w:t>2</w:t>
        </w:r>
        <w:r>
          <w:fldChar w:fldCharType="end"/>
        </w:r>
      </w:p>
    </w:sdtContent>
  </w:sdt>
  <w:p w14:paraId="4ACC8206">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4"/>
      <w:framePr w:wrap="around" w:vAnchor="text" w:hAnchor="margin" w:xAlign="center" w:y="1"/>
      <w:rPr>
        <w:rStyle w:val="23"/>
      </w:rPr>
    </w:pPr>
    <w:r>
      <w:fldChar w:fldCharType="begin"/>
    </w:r>
    <w:r>
      <w:rPr>
        <w:rStyle w:val="23"/>
      </w:rPr>
      <w:instrText xml:space="preserve">PAGE  </w:instrText>
    </w:r>
    <w:r>
      <w:fldChar w:fldCharType="end"/>
    </w:r>
  </w:p>
  <w:p w14:paraId="7B4CFFC0">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5"/>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D0C054"/>
    <w:multiLevelType w:val="singleLevel"/>
    <w:tmpl w:val="BFD0C054"/>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2BEF"/>
    <w:rsid w:val="00010F62"/>
    <w:rsid w:val="00027C15"/>
    <w:rsid w:val="0003124B"/>
    <w:rsid w:val="000327D6"/>
    <w:rsid w:val="00035CE3"/>
    <w:rsid w:val="000406C4"/>
    <w:rsid w:val="0005354A"/>
    <w:rsid w:val="0005370F"/>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47701"/>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8B1"/>
    <w:rsid w:val="00357989"/>
    <w:rsid w:val="003603F2"/>
    <w:rsid w:val="00363043"/>
    <w:rsid w:val="00375975"/>
    <w:rsid w:val="00381BF0"/>
    <w:rsid w:val="003906B4"/>
    <w:rsid w:val="003A53A1"/>
    <w:rsid w:val="003A55E6"/>
    <w:rsid w:val="003A750D"/>
    <w:rsid w:val="003B40C1"/>
    <w:rsid w:val="003B6199"/>
    <w:rsid w:val="003C233C"/>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827"/>
    <w:rsid w:val="00585E27"/>
    <w:rsid w:val="0059459F"/>
    <w:rsid w:val="005A062C"/>
    <w:rsid w:val="005B2278"/>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4F5D"/>
    <w:rsid w:val="007B3962"/>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92299"/>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5419"/>
    <w:rsid w:val="00A37C1E"/>
    <w:rsid w:val="00A37EF9"/>
    <w:rsid w:val="00A456C6"/>
    <w:rsid w:val="00A46021"/>
    <w:rsid w:val="00A52380"/>
    <w:rsid w:val="00A641FB"/>
    <w:rsid w:val="00A67616"/>
    <w:rsid w:val="00A77FC1"/>
    <w:rsid w:val="00A839BA"/>
    <w:rsid w:val="00A84A35"/>
    <w:rsid w:val="00A914CA"/>
    <w:rsid w:val="00A92BEF"/>
    <w:rsid w:val="00A978E5"/>
    <w:rsid w:val="00AC07FC"/>
    <w:rsid w:val="00AE7076"/>
    <w:rsid w:val="00AF5819"/>
    <w:rsid w:val="00B17C1E"/>
    <w:rsid w:val="00B3136E"/>
    <w:rsid w:val="00B464FC"/>
    <w:rsid w:val="00B46954"/>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0252"/>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3348F"/>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817"/>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E10A5"/>
    <w:rsid w:val="00EF50F4"/>
    <w:rsid w:val="00EF52ED"/>
    <w:rsid w:val="00F07FB6"/>
    <w:rsid w:val="00F129A6"/>
    <w:rsid w:val="00F133F3"/>
    <w:rsid w:val="00F15528"/>
    <w:rsid w:val="00F26174"/>
    <w:rsid w:val="00F26EA9"/>
    <w:rsid w:val="00F55AA7"/>
    <w:rsid w:val="00F60A40"/>
    <w:rsid w:val="00F673D3"/>
    <w:rsid w:val="00F71B67"/>
    <w:rsid w:val="00F72BBE"/>
    <w:rsid w:val="00F75F46"/>
    <w:rsid w:val="00F86AB7"/>
    <w:rsid w:val="00FA4BEB"/>
    <w:rsid w:val="00FC011A"/>
    <w:rsid w:val="00FC4EB7"/>
    <w:rsid w:val="00FD19D9"/>
    <w:rsid w:val="00FE0327"/>
    <w:rsid w:val="00FE4AAE"/>
    <w:rsid w:val="00FE55F5"/>
    <w:rsid w:val="00FF6106"/>
    <w:rsid w:val="015B6B52"/>
    <w:rsid w:val="016A347B"/>
    <w:rsid w:val="017442FA"/>
    <w:rsid w:val="01964270"/>
    <w:rsid w:val="0215299B"/>
    <w:rsid w:val="035148F2"/>
    <w:rsid w:val="039E1BC9"/>
    <w:rsid w:val="03CF1907"/>
    <w:rsid w:val="044E0E32"/>
    <w:rsid w:val="049F7912"/>
    <w:rsid w:val="05757A7F"/>
    <w:rsid w:val="05997E8B"/>
    <w:rsid w:val="05AC2E48"/>
    <w:rsid w:val="05F60B74"/>
    <w:rsid w:val="066D3445"/>
    <w:rsid w:val="06FB475B"/>
    <w:rsid w:val="08964B56"/>
    <w:rsid w:val="08C2594B"/>
    <w:rsid w:val="08C83CB5"/>
    <w:rsid w:val="097D7547"/>
    <w:rsid w:val="09902C2B"/>
    <w:rsid w:val="0A275576"/>
    <w:rsid w:val="0A9926DB"/>
    <w:rsid w:val="0AB80AE2"/>
    <w:rsid w:val="0B3837F1"/>
    <w:rsid w:val="0B6E3B68"/>
    <w:rsid w:val="0C3721EC"/>
    <w:rsid w:val="0CEC11E8"/>
    <w:rsid w:val="0CFD51A3"/>
    <w:rsid w:val="0D7A240F"/>
    <w:rsid w:val="0D973665"/>
    <w:rsid w:val="0DBF4B4E"/>
    <w:rsid w:val="0DCE08EE"/>
    <w:rsid w:val="0FB06655"/>
    <w:rsid w:val="0FFF5DDF"/>
    <w:rsid w:val="101C3B92"/>
    <w:rsid w:val="10912321"/>
    <w:rsid w:val="10C81F6C"/>
    <w:rsid w:val="113F417A"/>
    <w:rsid w:val="11BE5B42"/>
    <w:rsid w:val="1288550F"/>
    <w:rsid w:val="137F4B64"/>
    <w:rsid w:val="1398601C"/>
    <w:rsid w:val="13A26E3E"/>
    <w:rsid w:val="13AE369B"/>
    <w:rsid w:val="13C63FD0"/>
    <w:rsid w:val="144F1BCA"/>
    <w:rsid w:val="148F300C"/>
    <w:rsid w:val="14FD6A90"/>
    <w:rsid w:val="15455939"/>
    <w:rsid w:val="159D11E4"/>
    <w:rsid w:val="15B12877"/>
    <w:rsid w:val="15C94DE8"/>
    <w:rsid w:val="15D95635"/>
    <w:rsid w:val="15F66C34"/>
    <w:rsid w:val="16816FD1"/>
    <w:rsid w:val="16AE750E"/>
    <w:rsid w:val="16D36F75"/>
    <w:rsid w:val="16F54D62"/>
    <w:rsid w:val="16FC64CC"/>
    <w:rsid w:val="172E31C9"/>
    <w:rsid w:val="173F405B"/>
    <w:rsid w:val="173F78FB"/>
    <w:rsid w:val="17C3509D"/>
    <w:rsid w:val="17CD04A0"/>
    <w:rsid w:val="18215B80"/>
    <w:rsid w:val="18226012"/>
    <w:rsid w:val="18B0196A"/>
    <w:rsid w:val="19A5109C"/>
    <w:rsid w:val="19E54DD6"/>
    <w:rsid w:val="1A07140F"/>
    <w:rsid w:val="1A7D2861"/>
    <w:rsid w:val="1B451A26"/>
    <w:rsid w:val="1B7B0234"/>
    <w:rsid w:val="1BB90E2F"/>
    <w:rsid w:val="1C8F365C"/>
    <w:rsid w:val="1D444728"/>
    <w:rsid w:val="1E4F7829"/>
    <w:rsid w:val="1EA23DFC"/>
    <w:rsid w:val="1F654BA2"/>
    <w:rsid w:val="1F9951FF"/>
    <w:rsid w:val="201D3E7D"/>
    <w:rsid w:val="202D76F6"/>
    <w:rsid w:val="20746BB2"/>
    <w:rsid w:val="21A344FF"/>
    <w:rsid w:val="21E64000"/>
    <w:rsid w:val="220A3984"/>
    <w:rsid w:val="222F70F0"/>
    <w:rsid w:val="22BA1900"/>
    <w:rsid w:val="22CE3412"/>
    <w:rsid w:val="22DD18A7"/>
    <w:rsid w:val="22E45C6F"/>
    <w:rsid w:val="22FB1D2D"/>
    <w:rsid w:val="23C70504"/>
    <w:rsid w:val="23E9602A"/>
    <w:rsid w:val="242B03F0"/>
    <w:rsid w:val="24F13006"/>
    <w:rsid w:val="251175E6"/>
    <w:rsid w:val="26E533CB"/>
    <w:rsid w:val="27403FD7"/>
    <w:rsid w:val="27767BD4"/>
    <w:rsid w:val="28245882"/>
    <w:rsid w:val="295D104C"/>
    <w:rsid w:val="29712D49"/>
    <w:rsid w:val="29A806F8"/>
    <w:rsid w:val="29B665AC"/>
    <w:rsid w:val="29D15596"/>
    <w:rsid w:val="2A6754CA"/>
    <w:rsid w:val="2A7725E1"/>
    <w:rsid w:val="2B473D61"/>
    <w:rsid w:val="2CB01DDA"/>
    <w:rsid w:val="2CD05F77"/>
    <w:rsid w:val="2D3617F0"/>
    <w:rsid w:val="2D460049"/>
    <w:rsid w:val="2E884DBD"/>
    <w:rsid w:val="2EAA1BA9"/>
    <w:rsid w:val="301306B6"/>
    <w:rsid w:val="30C4153F"/>
    <w:rsid w:val="31523460"/>
    <w:rsid w:val="3163566D"/>
    <w:rsid w:val="31962059"/>
    <w:rsid w:val="31D8203D"/>
    <w:rsid w:val="31FA2FC3"/>
    <w:rsid w:val="3248523C"/>
    <w:rsid w:val="32C65BB0"/>
    <w:rsid w:val="32E44B82"/>
    <w:rsid w:val="3355548A"/>
    <w:rsid w:val="34DA79F4"/>
    <w:rsid w:val="35064C8D"/>
    <w:rsid w:val="3520062C"/>
    <w:rsid w:val="353327D7"/>
    <w:rsid w:val="35A3072E"/>
    <w:rsid w:val="35BA60CE"/>
    <w:rsid w:val="37182D17"/>
    <w:rsid w:val="379320DC"/>
    <w:rsid w:val="37D22C05"/>
    <w:rsid w:val="37F146D7"/>
    <w:rsid w:val="38467F0B"/>
    <w:rsid w:val="38A93B0F"/>
    <w:rsid w:val="38B2436A"/>
    <w:rsid w:val="38CA49CD"/>
    <w:rsid w:val="38D86941"/>
    <w:rsid w:val="38E43CCB"/>
    <w:rsid w:val="38E946AA"/>
    <w:rsid w:val="3932140D"/>
    <w:rsid w:val="39D54C2E"/>
    <w:rsid w:val="3A731769"/>
    <w:rsid w:val="3AC053A4"/>
    <w:rsid w:val="3B04588E"/>
    <w:rsid w:val="3B3140E6"/>
    <w:rsid w:val="3B8763FC"/>
    <w:rsid w:val="3C0E61D6"/>
    <w:rsid w:val="3D912B45"/>
    <w:rsid w:val="3DC92B7D"/>
    <w:rsid w:val="3E135601"/>
    <w:rsid w:val="3E7013C9"/>
    <w:rsid w:val="3F2D1069"/>
    <w:rsid w:val="3F3D59ED"/>
    <w:rsid w:val="401A5433"/>
    <w:rsid w:val="404D79B1"/>
    <w:rsid w:val="406F4599"/>
    <w:rsid w:val="40CF23D7"/>
    <w:rsid w:val="411058C0"/>
    <w:rsid w:val="413277CA"/>
    <w:rsid w:val="41A31919"/>
    <w:rsid w:val="42507548"/>
    <w:rsid w:val="42C972FA"/>
    <w:rsid w:val="4416031D"/>
    <w:rsid w:val="457F75CA"/>
    <w:rsid w:val="46AE2A8F"/>
    <w:rsid w:val="46EE61C9"/>
    <w:rsid w:val="471A6376"/>
    <w:rsid w:val="48125136"/>
    <w:rsid w:val="489D4440"/>
    <w:rsid w:val="48C13C65"/>
    <w:rsid w:val="495E1E55"/>
    <w:rsid w:val="4A171FDF"/>
    <w:rsid w:val="4A6C57DD"/>
    <w:rsid w:val="4A842484"/>
    <w:rsid w:val="4ACE4B79"/>
    <w:rsid w:val="4ADA413D"/>
    <w:rsid w:val="4BD71EEF"/>
    <w:rsid w:val="4C3160C2"/>
    <w:rsid w:val="4C811ECE"/>
    <w:rsid w:val="4C8E75EA"/>
    <w:rsid w:val="4CD64AED"/>
    <w:rsid w:val="4CF0277A"/>
    <w:rsid w:val="4DEA6AA2"/>
    <w:rsid w:val="4DF74D1B"/>
    <w:rsid w:val="505E5526"/>
    <w:rsid w:val="50C025FA"/>
    <w:rsid w:val="51CA3B38"/>
    <w:rsid w:val="52397FF8"/>
    <w:rsid w:val="52EA7BC9"/>
    <w:rsid w:val="53425821"/>
    <w:rsid w:val="53C76390"/>
    <w:rsid w:val="543D7D43"/>
    <w:rsid w:val="54413194"/>
    <w:rsid w:val="554E608A"/>
    <w:rsid w:val="55564523"/>
    <w:rsid w:val="56031FB4"/>
    <w:rsid w:val="56D36709"/>
    <w:rsid w:val="56EB5013"/>
    <w:rsid w:val="579B08DA"/>
    <w:rsid w:val="57A557E8"/>
    <w:rsid w:val="57DD4F82"/>
    <w:rsid w:val="57E37FE4"/>
    <w:rsid w:val="580E15DF"/>
    <w:rsid w:val="590A135C"/>
    <w:rsid w:val="59337A15"/>
    <w:rsid w:val="59675FAB"/>
    <w:rsid w:val="59B10F00"/>
    <w:rsid w:val="5A865DA5"/>
    <w:rsid w:val="5B3B1FAA"/>
    <w:rsid w:val="5BA54234"/>
    <w:rsid w:val="5BBE40B7"/>
    <w:rsid w:val="5BEE021E"/>
    <w:rsid w:val="5BF22FC6"/>
    <w:rsid w:val="5C4F4F2B"/>
    <w:rsid w:val="5C567DFB"/>
    <w:rsid w:val="5CF8252C"/>
    <w:rsid w:val="5D0631CD"/>
    <w:rsid w:val="5D215911"/>
    <w:rsid w:val="5D4D2BAA"/>
    <w:rsid w:val="5DBF70F0"/>
    <w:rsid w:val="5DF23B2E"/>
    <w:rsid w:val="5E7C394C"/>
    <w:rsid w:val="5EDE3FEA"/>
    <w:rsid w:val="5F1D035A"/>
    <w:rsid w:val="5F4578E7"/>
    <w:rsid w:val="5F4E26F5"/>
    <w:rsid w:val="5FE32F01"/>
    <w:rsid w:val="60511ABB"/>
    <w:rsid w:val="616A6C0C"/>
    <w:rsid w:val="62173015"/>
    <w:rsid w:val="6228716A"/>
    <w:rsid w:val="62652744"/>
    <w:rsid w:val="635D7A54"/>
    <w:rsid w:val="6371012B"/>
    <w:rsid w:val="63A20CFF"/>
    <w:rsid w:val="63D50645"/>
    <w:rsid w:val="63F83144"/>
    <w:rsid w:val="64834438"/>
    <w:rsid w:val="6557657C"/>
    <w:rsid w:val="66DC6D4D"/>
    <w:rsid w:val="66ED741F"/>
    <w:rsid w:val="67CF57C1"/>
    <w:rsid w:val="68B735CD"/>
    <w:rsid w:val="69103BD6"/>
    <w:rsid w:val="6A400653"/>
    <w:rsid w:val="6A7F45BF"/>
    <w:rsid w:val="6B5A68F5"/>
    <w:rsid w:val="6B8E00BA"/>
    <w:rsid w:val="6BBF5D79"/>
    <w:rsid w:val="6BC9041D"/>
    <w:rsid w:val="6C057242"/>
    <w:rsid w:val="6C5970B1"/>
    <w:rsid w:val="6DAB7F02"/>
    <w:rsid w:val="6DF532BE"/>
    <w:rsid w:val="6F845305"/>
    <w:rsid w:val="70666005"/>
    <w:rsid w:val="706C3052"/>
    <w:rsid w:val="709F271D"/>
    <w:rsid w:val="719E17CE"/>
    <w:rsid w:val="71CD20B4"/>
    <w:rsid w:val="71F3507D"/>
    <w:rsid w:val="720C1E11"/>
    <w:rsid w:val="72567DE8"/>
    <w:rsid w:val="72A605B2"/>
    <w:rsid w:val="72B12C11"/>
    <w:rsid w:val="72B33057"/>
    <w:rsid w:val="72C16AF2"/>
    <w:rsid w:val="72FA6ED8"/>
    <w:rsid w:val="73A76E7D"/>
    <w:rsid w:val="741B2C62"/>
    <w:rsid w:val="74A23383"/>
    <w:rsid w:val="751E1916"/>
    <w:rsid w:val="75730384"/>
    <w:rsid w:val="76404C02"/>
    <w:rsid w:val="77CF673A"/>
    <w:rsid w:val="78401AE9"/>
    <w:rsid w:val="78A56F1A"/>
    <w:rsid w:val="792E6379"/>
    <w:rsid w:val="79332CB1"/>
    <w:rsid w:val="7B4E5EDA"/>
    <w:rsid w:val="7BEB3862"/>
    <w:rsid w:val="7C597C24"/>
    <w:rsid w:val="7C7B7C1A"/>
    <w:rsid w:val="7CAB4CAE"/>
    <w:rsid w:val="7D210FAE"/>
    <w:rsid w:val="7DE95B7F"/>
    <w:rsid w:val="7DF64DA9"/>
    <w:rsid w:val="7E151C77"/>
    <w:rsid w:val="7ED606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30"/>
    <w:qFormat/>
    <w:uiPriority w:val="0"/>
    <w:pPr>
      <w:keepNext/>
      <w:keepLines/>
      <w:spacing w:before="480"/>
      <w:jc w:val="center"/>
      <w:outlineLvl w:val="0"/>
    </w:pPr>
    <w:rPr>
      <w:rFonts w:ascii="Cambria" w:hAnsi="Cambria" w:eastAsia="华文中宋"/>
      <w:b/>
      <w:bCs/>
      <w:sz w:val="44"/>
      <w:szCs w:val="28"/>
    </w:rPr>
  </w:style>
  <w:style w:type="paragraph" w:styleId="4">
    <w:name w:val="heading 2"/>
    <w:basedOn w:val="1"/>
    <w:next w:val="1"/>
    <w:link w:val="33"/>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6">
    <w:name w:val="heading 6"/>
    <w:basedOn w:val="1"/>
    <w:next w:val="1"/>
    <w:link w:val="37"/>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38"/>
    <w:qFormat/>
    <w:uiPriority w:val="0"/>
    <w:pPr>
      <w:spacing w:after="120"/>
    </w:pPr>
    <w:rPr>
      <w:rFonts w:ascii="Times New Roman" w:hAnsi="Times New Roman"/>
      <w:szCs w:val="24"/>
    </w:rPr>
  </w:style>
  <w:style w:type="paragraph" w:styleId="7">
    <w:name w:val="Normal Indent"/>
    <w:basedOn w:val="1"/>
    <w:next w:val="8"/>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8">
    <w:name w:val="Body Text Indent"/>
    <w:basedOn w:val="1"/>
    <w:next w:val="9"/>
    <w:unhideWhenUsed/>
    <w:qFormat/>
    <w:uiPriority w:val="99"/>
    <w:pPr>
      <w:spacing w:after="120"/>
      <w:ind w:left="420" w:leftChars="200"/>
    </w:pPr>
  </w:style>
  <w:style w:type="paragraph" w:styleId="9">
    <w:name w:val="Body Text Indent 2"/>
    <w:basedOn w:val="1"/>
    <w:link w:val="42"/>
    <w:qFormat/>
    <w:uiPriority w:val="99"/>
    <w:pPr>
      <w:spacing w:after="120" w:line="480" w:lineRule="auto"/>
      <w:ind w:left="420" w:leftChars="200"/>
    </w:pPr>
    <w:rPr>
      <w:kern w:val="0"/>
      <w:sz w:val="24"/>
    </w:rPr>
  </w:style>
  <w:style w:type="paragraph" w:styleId="10">
    <w:name w:val="Document Map"/>
    <w:basedOn w:val="1"/>
    <w:link w:val="26"/>
    <w:semiHidden/>
    <w:unhideWhenUsed/>
    <w:qFormat/>
    <w:uiPriority w:val="99"/>
    <w:rPr>
      <w:rFonts w:ascii="宋体"/>
      <w:sz w:val="18"/>
      <w:szCs w:val="18"/>
    </w:rPr>
  </w:style>
  <w:style w:type="paragraph" w:styleId="11">
    <w:name w:val="Plain Text"/>
    <w:basedOn w:val="1"/>
    <w:link w:val="31"/>
    <w:qFormat/>
    <w:uiPriority w:val="0"/>
    <w:rPr>
      <w:rFonts w:ascii="宋体" w:hAnsi="Courier New"/>
      <w:kern w:val="0"/>
      <w:szCs w:val="20"/>
    </w:rPr>
  </w:style>
  <w:style w:type="paragraph" w:styleId="12">
    <w:name w:val="Date"/>
    <w:basedOn w:val="1"/>
    <w:next w:val="1"/>
    <w:link w:val="28"/>
    <w:semiHidden/>
    <w:unhideWhenUsed/>
    <w:qFormat/>
    <w:uiPriority w:val="99"/>
    <w:pPr>
      <w:ind w:left="100" w:leftChars="2500"/>
    </w:pPr>
  </w:style>
  <w:style w:type="paragraph" w:styleId="13">
    <w:name w:val="Balloon Text"/>
    <w:basedOn w:val="1"/>
    <w:link w:val="46"/>
    <w:semiHidden/>
    <w:unhideWhenUsed/>
    <w:qFormat/>
    <w:uiPriority w:val="99"/>
    <w:rPr>
      <w:sz w:val="18"/>
      <w:szCs w:val="18"/>
    </w:rPr>
  </w:style>
  <w:style w:type="paragraph" w:styleId="14">
    <w:name w:val="footer"/>
    <w:basedOn w:val="1"/>
    <w:link w:val="25"/>
    <w:unhideWhenUsed/>
    <w:qFormat/>
    <w:uiPriority w:val="99"/>
    <w:pPr>
      <w:tabs>
        <w:tab w:val="center" w:pos="4153"/>
        <w:tab w:val="right" w:pos="8306"/>
      </w:tabs>
      <w:snapToGrid w:val="0"/>
      <w:jc w:val="left"/>
    </w:pPr>
    <w:rPr>
      <w:sz w:val="18"/>
      <w:szCs w:val="18"/>
    </w:rPr>
  </w:style>
  <w:style w:type="paragraph" w:styleId="15">
    <w:name w:val="header"/>
    <w:basedOn w:val="1"/>
    <w:link w:val="24"/>
    <w:unhideWhenUsed/>
    <w:qFormat/>
    <w:uiPriority w:val="0"/>
    <w:pPr>
      <w:pBdr>
        <w:bottom w:val="single" w:color="auto" w:sz="6" w:space="1"/>
      </w:pBdr>
      <w:tabs>
        <w:tab w:val="center" w:pos="4153"/>
        <w:tab w:val="right" w:pos="8306"/>
      </w:tabs>
      <w:snapToGrid w:val="0"/>
      <w:jc w:val="center"/>
    </w:pPr>
    <w:rPr>
      <w:sz w:val="18"/>
      <w:szCs w:val="18"/>
    </w:rPr>
  </w:style>
  <w:style w:type="paragraph" w:styleId="16">
    <w:name w:val="Normal (Web)"/>
    <w:basedOn w:val="1"/>
    <w:semiHidden/>
    <w:unhideWhenUsed/>
    <w:qFormat/>
    <w:uiPriority w:val="99"/>
    <w:pPr>
      <w:spacing w:beforeAutospacing="1" w:afterAutospacing="1"/>
      <w:jc w:val="left"/>
    </w:pPr>
    <w:rPr>
      <w:kern w:val="0"/>
      <w:sz w:val="24"/>
    </w:rPr>
  </w:style>
  <w:style w:type="paragraph" w:styleId="17">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8">
    <w:name w:val="Body Text First Indent 2"/>
    <w:basedOn w:val="8"/>
    <w:next w:val="1"/>
    <w:unhideWhenUsed/>
    <w:qFormat/>
    <w:uiPriority w:val="99"/>
    <w:pPr>
      <w:spacing w:before="100" w:beforeAutospacing="1"/>
      <w:ind w:firstLine="420"/>
    </w:pPr>
    <w:rPr>
      <w:szCs w:val="21"/>
    </w:rPr>
  </w:style>
  <w:style w:type="table" w:styleId="20">
    <w:name w:val="Table Grid"/>
    <w:basedOn w:val="19"/>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rPr>
  </w:style>
  <w:style w:type="character" w:styleId="23">
    <w:name w:val="page number"/>
    <w:basedOn w:val="21"/>
    <w:qFormat/>
    <w:uiPriority w:val="0"/>
  </w:style>
  <w:style w:type="character" w:customStyle="1" w:styleId="24">
    <w:name w:val="页眉 Char"/>
    <w:basedOn w:val="21"/>
    <w:link w:val="15"/>
    <w:qFormat/>
    <w:uiPriority w:val="0"/>
    <w:rPr>
      <w:rFonts w:ascii="Calibri" w:hAnsi="Calibri" w:eastAsia="宋体" w:cs="Times New Roman"/>
      <w:sz w:val="18"/>
      <w:szCs w:val="18"/>
    </w:rPr>
  </w:style>
  <w:style w:type="character" w:customStyle="1" w:styleId="25">
    <w:name w:val="页脚 Char"/>
    <w:basedOn w:val="21"/>
    <w:link w:val="14"/>
    <w:qFormat/>
    <w:uiPriority w:val="99"/>
    <w:rPr>
      <w:rFonts w:ascii="Calibri" w:hAnsi="Calibri" w:eastAsia="宋体" w:cs="Times New Roman"/>
      <w:sz w:val="18"/>
      <w:szCs w:val="18"/>
    </w:rPr>
  </w:style>
  <w:style w:type="character" w:customStyle="1" w:styleId="26">
    <w:name w:val="文档结构图 Char"/>
    <w:basedOn w:val="21"/>
    <w:link w:val="10"/>
    <w:semiHidden/>
    <w:qFormat/>
    <w:uiPriority w:val="99"/>
    <w:rPr>
      <w:rFonts w:ascii="宋体" w:hAnsi="Calibri" w:eastAsia="宋体" w:cs="Times New Roman"/>
      <w:sz w:val="18"/>
      <w:szCs w:val="18"/>
    </w:rPr>
  </w:style>
  <w:style w:type="paragraph" w:customStyle="1" w:styleId="27">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8">
    <w:name w:val="日期 Char"/>
    <w:basedOn w:val="21"/>
    <w:link w:val="12"/>
    <w:semiHidden/>
    <w:qFormat/>
    <w:uiPriority w:val="99"/>
    <w:rPr>
      <w:rFonts w:ascii="Calibri" w:hAnsi="Calibri" w:eastAsia="宋体" w:cs="Times New Roman"/>
    </w:rPr>
  </w:style>
  <w:style w:type="paragraph" w:customStyle="1" w:styleId="29">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30">
    <w:name w:val="标题 1 Char"/>
    <w:basedOn w:val="21"/>
    <w:link w:val="3"/>
    <w:qFormat/>
    <w:uiPriority w:val="0"/>
    <w:rPr>
      <w:rFonts w:ascii="Cambria" w:hAnsi="Cambria" w:eastAsia="华文中宋" w:cs="Times New Roman"/>
      <w:b/>
      <w:bCs/>
      <w:sz w:val="44"/>
      <w:szCs w:val="28"/>
    </w:rPr>
  </w:style>
  <w:style w:type="character" w:customStyle="1" w:styleId="31">
    <w:name w:val="纯文本 Char1"/>
    <w:link w:val="11"/>
    <w:qFormat/>
    <w:locked/>
    <w:uiPriority w:val="0"/>
    <w:rPr>
      <w:rFonts w:ascii="宋体" w:hAnsi="Courier New"/>
      <w:sz w:val="21"/>
    </w:rPr>
  </w:style>
  <w:style w:type="character" w:customStyle="1" w:styleId="32">
    <w:name w:val="纯文本 Char"/>
    <w:basedOn w:val="21"/>
    <w:semiHidden/>
    <w:qFormat/>
    <w:uiPriority w:val="99"/>
    <w:rPr>
      <w:rFonts w:ascii="宋体" w:hAnsi="Courier New" w:cs="Courier New"/>
      <w:kern w:val="2"/>
      <w:sz w:val="21"/>
      <w:szCs w:val="21"/>
    </w:rPr>
  </w:style>
  <w:style w:type="character" w:customStyle="1" w:styleId="33">
    <w:name w:val="标题 2 Char"/>
    <w:basedOn w:val="21"/>
    <w:link w:val="4"/>
    <w:semiHidden/>
    <w:qFormat/>
    <w:uiPriority w:val="9"/>
    <w:rPr>
      <w:rFonts w:asciiTheme="majorHAnsi" w:hAnsiTheme="majorHAnsi" w:eastAsiaTheme="majorEastAsia" w:cstheme="majorBidi"/>
      <w:b/>
      <w:bCs/>
      <w:kern w:val="2"/>
      <w:sz w:val="32"/>
      <w:szCs w:val="32"/>
    </w:rPr>
  </w:style>
  <w:style w:type="paragraph" w:customStyle="1" w:styleId="34">
    <w:name w:val="Table Paragraph"/>
    <w:basedOn w:val="1"/>
    <w:qFormat/>
    <w:uiPriority w:val="1"/>
  </w:style>
  <w:style w:type="paragraph" w:customStyle="1" w:styleId="35">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6">
    <w:name w:val="Char1 Char Char Char Char Char Char Char"/>
    <w:basedOn w:val="1"/>
    <w:qFormat/>
    <w:uiPriority w:val="0"/>
    <w:rPr>
      <w:rFonts w:ascii="Tahoma" w:hAnsi="Tahoma"/>
      <w:sz w:val="24"/>
      <w:szCs w:val="20"/>
    </w:rPr>
  </w:style>
  <w:style w:type="character" w:customStyle="1" w:styleId="37">
    <w:name w:val="标题 6 Char"/>
    <w:basedOn w:val="21"/>
    <w:link w:val="6"/>
    <w:qFormat/>
    <w:uiPriority w:val="9"/>
    <w:rPr>
      <w:rFonts w:asciiTheme="majorHAnsi" w:hAnsiTheme="majorHAnsi" w:eastAsiaTheme="majorEastAsia" w:cstheme="majorBidi"/>
      <w:b/>
      <w:bCs/>
      <w:kern w:val="2"/>
      <w:sz w:val="24"/>
      <w:szCs w:val="24"/>
    </w:rPr>
  </w:style>
  <w:style w:type="character" w:customStyle="1" w:styleId="38">
    <w:name w:val="正文文本 Char"/>
    <w:basedOn w:val="21"/>
    <w:link w:val="2"/>
    <w:qFormat/>
    <w:uiPriority w:val="0"/>
    <w:rPr>
      <w:kern w:val="2"/>
      <w:sz w:val="21"/>
      <w:szCs w:val="24"/>
    </w:rPr>
  </w:style>
  <w:style w:type="paragraph" w:styleId="39">
    <w:name w:val="List Paragraph"/>
    <w:basedOn w:val="1"/>
    <w:qFormat/>
    <w:uiPriority w:val="99"/>
    <w:pPr>
      <w:ind w:firstLine="420" w:firstLineChars="200"/>
    </w:pPr>
    <w:rPr>
      <w:rFonts w:ascii="Times New Roman" w:hAnsi="Times New Roman"/>
      <w:szCs w:val="24"/>
    </w:rPr>
  </w:style>
  <w:style w:type="paragraph" w:customStyle="1" w:styleId="40">
    <w:name w:val="样式 宋体1"/>
    <w:basedOn w:val="1"/>
    <w:qFormat/>
    <w:uiPriority w:val="0"/>
    <w:pPr>
      <w:ind w:firstLine="420" w:firstLineChars="200"/>
      <w:jc w:val="left"/>
    </w:pPr>
    <w:rPr>
      <w:rFonts w:ascii="宋体" w:hAnsi="宋体" w:eastAsia="等线" w:cs="宋体"/>
      <w:szCs w:val="20"/>
    </w:rPr>
  </w:style>
  <w:style w:type="paragraph" w:customStyle="1" w:styleId="41">
    <w:name w:val="Normal_1"/>
    <w:qFormat/>
    <w:uiPriority w:val="0"/>
    <w:rPr>
      <w:rFonts w:ascii="Calibri" w:hAnsi="Calibri" w:eastAsia="宋体" w:cs="Times New Roman"/>
      <w:sz w:val="24"/>
      <w:szCs w:val="24"/>
      <w:lang w:val="en-US" w:eastAsia="zh-CN" w:bidi="ar-SA"/>
    </w:rPr>
  </w:style>
  <w:style w:type="character" w:customStyle="1" w:styleId="42">
    <w:name w:val="正文文本缩进 2 Char"/>
    <w:link w:val="9"/>
    <w:qFormat/>
    <w:uiPriority w:val="99"/>
    <w:rPr>
      <w:rFonts w:ascii="Calibri" w:hAnsi="Calibri"/>
      <w:sz w:val="24"/>
      <w:szCs w:val="22"/>
    </w:rPr>
  </w:style>
  <w:style w:type="paragraph" w:customStyle="1" w:styleId="43">
    <w:name w:val="01 文件标题"/>
    <w:basedOn w:val="1"/>
    <w:next w:val="1"/>
    <w:qFormat/>
    <w:uiPriority w:val="0"/>
    <w:pPr>
      <w:spacing w:line="560" w:lineRule="exact"/>
      <w:jc w:val="center"/>
    </w:pPr>
    <w:rPr>
      <w:rFonts w:ascii="方正小标宋简体" w:eastAsia="方正小标宋简体"/>
      <w:sz w:val="44"/>
    </w:rPr>
  </w:style>
  <w:style w:type="paragraph" w:customStyle="1" w:styleId="44">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5">
    <w:name w:val="04 二级标题"/>
    <w:basedOn w:val="4"/>
    <w:qFormat/>
    <w:uiPriority w:val="0"/>
    <w:pPr>
      <w:spacing w:before="0" w:after="0" w:line="560" w:lineRule="exact"/>
      <w:ind w:firstLine="200" w:firstLineChars="200"/>
    </w:pPr>
    <w:rPr>
      <w:rFonts w:ascii="楷体_GB2312" w:hAnsi="Times New Roman" w:eastAsia="楷体_GB2312"/>
      <w:b w:val="0"/>
    </w:rPr>
  </w:style>
  <w:style w:type="character" w:customStyle="1" w:styleId="46">
    <w:name w:val="批注框文本 Char"/>
    <w:basedOn w:val="21"/>
    <w:link w:val="13"/>
    <w:semiHidden/>
    <w:qFormat/>
    <w:uiPriority w:val="99"/>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QBPC</Company>
  <Pages>14</Pages>
  <Words>4793</Words>
  <Characters>4942</Characters>
  <Lines>41</Lines>
  <Paragraphs>11</Paragraphs>
  <TotalTime>8</TotalTime>
  <ScaleCrop>false</ScaleCrop>
  <LinksUpToDate>false</LinksUpToDate>
  <CharactersWithSpaces>5482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2025-12-12T03:00:00Z</dcterms:created>
  <dc:creator>xb21cn</dc:creator>
  <cp:lastModifiedBy></cp:lastModifiedBy>
  <cp:lastPrinted>2020-08-24T02:17:00Z</cp:lastPrinted>
  <dcterms:modified xsi:type="dcterms:W3CDTF">2026-07-01T11:32:43Z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5BF64F3A28344841AACE78995B98CD66_13</vt:lpwstr>
  </property>
  <property fmtid="{D5CDD505-2E9C-101B-9397-08002B2CF9AE}" pid="4" name="KSOTemplateDocerSaveRecord">
    <vt:lpwstr>eyJoZGlkIjoiNjExNjA1MzY4NDcxNDhlNGIwYWUzMzQ5YTk5ZTk5ZTUiLCJ1c2VySWQiOiI0OTQ3NjU2MzMifQ==</vt:lpwstr>
  </property>
</Properties>
</file>