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9"/>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9"/>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9"/>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9"/>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9"/>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9"/>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0"/>
        <w:ind w:left="2559" w:leftChars="152" w:hanging="2240" w:hangingChars="700"/>
        <w:jc w:val="both"/>
        <w:rPr>
          <w:rFonts w:hint="default" w:ascii="黑体" w:hAnsi="黑体" w:eastAsia="黑体"/>
          <w:kern w:val="0"/>
          <w:sz w:val="32"/>
          <w:szCs w:val="32"/>
          <w:lang w:val="en-US"/>
        </w:rPr>
      </w:pPr>
      <w:r>
        <w:rPr>
          <w:rFonts w:ascii="黑体" w:hAnsi="黑体" w:eastAsia="黑体"/>
          <w:sz w:val="32"/>
          <w:szCs w:val="32"/>
        </w:rPr>
        <w:t>采购项目名称：</w:t>
      </w:r>
      <w:r>
        <w:rPr>
          <w:rFonts w:hint="eastAsia" w:ascii="黑体" w:hAnsi="黑体" w:eastAsia="黑体" w:cs="Times New Roman"/>
          <w:kern w:val="2"/>
          <w:sz w:val="32"/>
          <w:szCs w:val="32"/>
          <w:lang w:val="en-US" w:eastAsia="zh-CN" w:bidi="ar-SA"/>
        </w:rPr>
        <w:t>2025年度消防安全评估服务</w:t>
      </w:r>
    </w:p>
    <w:p w14:paraId="3286CA34">
      <w:pPr>
        <w:pStyle w:val="9"/>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9"/>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hint="eastAsia" w:ascii="黑体" w:hAnsi="黑体" w:eastAsia="黑体" w:cs="Times New Roman"/>
          <w:kern w:val="2"/>
          <w:sz w:val="32"/>
          <w:szCs w:val="32"/>
          <w:lang w:val="en-US" w:eastAsia="zh-CN" w:bidi="ar-SA"/>
        </w:rPr>
        <w:t xml:space="preserve">采   购   人：湖南铁道职业技术学院     </w:t>
      </w:r>
      <w:r>
        <w:rPr>
          <w:rFonts w:hint="eastAsia" w:ascii="黑体" w:hAnsi="黑体" w:eastAsia="黑体"/>
          <w:sz w:val="32"/>
          <w:szCs w:val="32"/>
        </w:rPr>
        <w:t xml:space="preserve"> </w:t>
      </w:r>
    </w:p>
    <w:p w14:paraId="4200B993">
      <w:pPr>
        <w:pStyle w:val="9"/>
        <w:adjustRightInd w:val="0"/>
        <w:snapToGrid w:val="0"/>
        <w:spacing w:line="440" w:lineRule="exact"/>
        <w:jc w:val="center"/>
        <w:rPr>
          <w:rFonts w:hint="eastAsia" w:ascii="黑体" w:hAnsi="黑体" w:eastAsia="黑体"/>
          <w:b/>
          <w:sz w:val="32"/>
        </w:rPr>
      </w:pPr>
    </w:p>
    <w:p w14:paraId="12277452">
      <w:pPr>
        <w:pStyle w:val="9"/>
        <w:adjustRightInd w:val="0"/>
        <w:snapToGrid w:val="0"/>
        <w:spacing w:line="440" w:lineRule="exact"/>
        <w:jc w:val="center"/>
        <w:rPr>
          <w:rFonts w:hint="eastAsia" w:ascii="黑体" w:hAnsi="黑体" w:eastAsia="黑体"/>
          <w:b/>
          <w:sz w:val="32"/>
        </w:rPr>
      </w:pPr>
    </w:p>
    <w:p w14:paraId="263E19F8">
      <w:pPr>
        <w:pStyle w:val="9"/>
        <w:adjustRightInd w:val="0"/>
        <w:snapToGrid w:val="0"/>
        <w:spacing w:line="440" w:lineRule="exact"/>
        <w:jc w:val="center"/>
        <w:rPr>
          <w:rFonts w:hint="eastAsia" w:ascii="黑体" w:hAnsi="黑体" w:eastAsia="黑体"/>
          <w:b/>
          <w:sz w:val="32"/>
        </w:rPr>
      </w:pPr>
    </w:p>
    <w:p w14:paraId="00E611DA">
      <w:pPr>
        <w:pStyle w:val="9"/>
        <w:adjustRightInd w:val="0"/>
        <w:snapToGrid w:val="0"/>
        <w:spacing w:line="440" w:lineRule="exact"/>
        <w:jc w:val="center"/>
        <w:rPr>
          <w:rFonts w:hint="eastAsia" w:ascii="黑体" w:hAnsi="黑体" w:eastAsia="黑体"/>
          <w:b/>
          <w:sz w:val="32"/>
        </w:rPr>
      </w:pPr>
    </w:p>
    <w:p w14:paraId="5BD02E6F">
      <w:pPr>
        <w:pStyle w:val="9"/>
        <w:adjustRightInd w:val="0"/>
        <w:snapToGrid w:val="0"/>
        <w:spacing w:line="440" w:lineRule="exact"/>
        <w:jc w:val="center"/>
        <w:rPr>
          <w:rFonts w:hint="eastAsia" w:ascii="黑体" w:hAnsi="黑体" w:eastAsia="黑体"/>
          <w:b/>
          <w:sz w:val="32"/>
        </w:rPr>
      </w:pPr>
    </w:p>
    <w:p w14:paraId="51D3F09C">
      <w:pPr>
        <w:pStyle w:val="9"/>
        <w:adjustRightInd w:val="0"/>
        <w:snapToGrid w:val="0"/>
        <w:spacing w:line="440" w:lineRule="exact"/>
        <w:jc w:val="center"/>
        <w:rPr>
          <w:rFonts w:hint="eastAsia" w:ascii="黑体" w:hAnsi="黑体" w:eastAsia="黑体"/>
          <w:b/>
          <w:sz w:val="32"/>
        </w:rPr>
      </w:pPr>
    </w:p>
    <w:p w14:paraId="33437265">
      <w:pPr>
        <w:pStyle w:val="9"/>
        <w:adjustRightInd w:val="0"/>
        <w:snapToGrid w:val="0"/>
        <w:spacing w:line="440" w:lineRule="exact"/>
        <w:jc w:val="center"/>
        <w:rPr>
          <w:rFonts w:hint="eastAsia" w:ascii="黑体" w:hAnsi="黑体" w:eastAsia="黑体"/>
          <w:b/>
          <w:sz w:val="32"/>
        </w:rPr>
      </w:pPr>
    </w:p>
    <w:p w14:paraId="646F9A24">
      <w:pPr>
        <w:pStyle w:val="9"/>
        <w:adjustRightInd w:val="0"/>
        <w:snapToGrid w:val="0"/>
        <w:spacing w:line="440" w:lineRule="exact"/>
        <w:jc w:val="center"/>
        <w:rPr>
          <w:rFonts w:hint="eastAsia" w:ascii="黑体" w:hAnsi="黑体" w:eastAsia="黑体"/>
          <w:b/>
          <w:sz w:val="32"/>
        </w:rPr>
      </w:pPr>
    </w:p>
    <w:p w14:paraId="3BDBB089">
      <w:pPr>
        <w:pStyle w:val="9"/>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十一</w:t>
      </w:r>
      <w:r>
        <w:rPr>
          <w:rFonts w:ascii="黑体" w:hAnsi="黑体" w:eastAsia="黑体"/>
          <w:sz w:val="32"/>
          <w:szCs w:val="32"/>
        </w:rPr>
        <w:t>月</w:t>
      </w:r>
    </w:p>
    <w:p w14:paraId="3FD890A2">
      <w:pPr>
        <w:pStyle w:val="16"/>
      </w:pPr>
    </w:p>
    <w:p w14:paraId="40E4DFFA">
      <w:pPr>
        <w:pStyle w:val="16"/>
        <w:rPr>
          <w:szCs w:val="22"/>
        </w:rPr>
      </w:pPr>
    </w:p>
    <w:p w14:paraId="257D9128">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2025年度消防安全评估项目询比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湖南铁道职业技术学院2025年度消防安全评估</w:t>
      </w:r>
      <w:r>
        <w:rPr>
          <w:rFonts w:hint="eastAsia" w:ascii="仿宋" w:hAnsi="仿宋" w:eastAsia="仿宋"/>
          <w:sz w:val="24"/>
          <w:szCs w:val="24"/>
        </w:rPr>
        <w:t>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564"/>
      <w:bookmarkStart w:id="1" w:name="_Toc31662_WPSOffice_Level2"/>
      <w:bookmarkStart w:id="2" w:name="_Toc4659"/>
      <w:bookmarkStart w:id="3" w:name="_Toc26475"/>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52926000">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1.项</w:t>
      </w:r>
      <w:r>
        <w:rPr>
          <w:rFonts w:hint="eastAsia" w:ascii="仿宋" w:hAnsi="仿宋" w:eastAsia="仿宋"/>
          <w:sz w:val="24"/>
          <w:szCs w:val="24"/>
          <w:lang w:val="en-US" w:eastAsia="zh-CN"/>
        </w:rPr>
        <w:t>目名称：</w:t>
      </w:r>
      <w:r>
        <w:rPr>
          <w:rFonts w:ascii="仿宋" w:hAnsi="仿宋" w:eastAsia="仿宋"/>
          <w:sz w:val="24"/>
          <w:szCs w:val="24"/>
          <w:lang w:val="en-US" w:eastAsia="zh-CN"/>
        </w:rPr>
        <w:t>湖南铁道职业技术学院2025年度消防安全评估</w:t>
      </w:r>
    </w:p>
    <w:p w14:paraId="4478428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2.项目概况: 为全面落实消防安全主体责任，提升校园消防安全管理水平，根据《中华人民共和国消防法》《湖南省消防条例》及株洲市消防安全管理相关规定，</w:t>
      </w:r>
      <w:r>
        <w:rPr>
          <w:rFonts w:hint="eastAsia" w:ascii="仿宋" w:hAnsi="仿宋" w:eastAsia="仿宋"/>
          <w:sz w:val="24"/>
          <w:szCs w:val="24"/>
          <w:lang w:val="en-US" w:eastAsia="zh-CN"/>
        </w:rPr>
        <w:t>需选定具备资质的第三方消防技术服务机构，承担2025年度消防安全评估工作。</w:t>
      </w:r>
    </w:p>
    <w:p w14:paraId="2D8A839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p>
    <w:p w14:paraId="297F5B8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1）</w:t>
      </w:r>
      <w:r>
        <w:rPr>
          <w:rFonts w:hint="eastAsia" w:ascii="仿宋" w:hAnsi="仿宋" w:eastAsia="仿宋"/>
          <w:sz w:val="24"/>
          <w:szCs w:val="24"/>
        </w:rPr>
        <w:t>依据《火灾高危单位消防安全评估技术指南》（DB43/T1179-2016）、《单位消防安全评估》（XF/T3005-2020）、《人员密集场所消防安全评估导则》等现行规范，对学院田心南校区（田心大道18号）及云龙西校区（田心大道1111号）的建筑、消防设施、安全管理制度等进行全面评估（总建筑面积约</w:t>
      </w:r>
      <w:r>
        <w:rPr>
          <w:rFonts w:hint="eastAsia" w:ascii="仿宋" w:hAnsi="仿宋" w:eastAsia="仿宋"/>
          <w:sz w:val="24"/>
          <w:szCs w:val="24"/>
          <w:lang w:val="en-US" w:eastAsia="zh-CN"/>
        </w:rPr>
        <w:t>301.961.13</w:t>
      </w:r>
      <w:r>
        <w:rPr>
          <w:rFonts w:hint="eastAsia" w:ascii="仿宋" w:hAnsi="仿宋" w:eastAsia="仿宋"/>
          <w:sz w:val="24"/>
          <w:szCs w:val="24"/>
        </w:rPr>
        <w:t>平方米）；</w:t>
      </w:r>
    </w:p>
    <w:p w14:paraId="350E9B8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2）</w:t>
      </w:r>
      <w:r>
        <w:rPr>
          <w:rFonts w:hint="eastAsia" w:ascii="仿宋" w:hAnsi="仿宋" w:eastAsia="仿宋"/>
          <w:sz w:val="24"/>
          <w:szCs w:val="24"/>
        </w:rPr>
        <w:t>对评估中发现的问题，需明确违反的法律法规或技术规范条款，并提出具体整改建议；</w:t>
      </w:r>
    </w:p>
    <w:p w14:paraId="58C426E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3）</w:t>
      </w:r>
      <w:r>
        <w:rPr>
          <w:rFonts w:hint="eastAsia" w:ascii="仿宋" w:hAnsi="仿宋" w:eastAsia="仿宋"/>
          <w:sz w:val="24"/>
          <w:szCs w:val="24"/>
        </w:rPr>
        <w:t>依据《重大火灾隐患判定方法》（GB35181-2017），对是否存在重大火灾隐患作出明确结论；</w:t>
      </w:r>
    </w:p>
    <w:p w14:paraId="6BA64EC8">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4）</w:t>
      </w:r>
      <w:r>
        <w:rPr>
          <w:rFonts w:hint="eastAsia" w:ascii="仿宋" w:hAnsi="仿宋" w:eastAsia="仿宋"/>
          <w:sz w:val="24"/>
          <w:szCs w:val="24"/>
        </w:rPr>
        <w:t>提交纸质版消防安全评估报告一式三份、电子版一份（含原始数据及分析过程）；</w:t>
      </w:r>
    </w:p>
    <w:p w14:paraId="4CEC91B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5）</w:t>
      </w:r>
      <w:r>
        <w:rPr>
          <w:rFonts w:hint="eastAsia" w:ascii="仿宋" w:hAnsi="仿宋" w:eastAsia="仿宋"/>
          <w:sz w:val="24"/>
          <w:szCs w:val="24"/>
        </w:rPr>
        <w:t xml:space="preserve"> 评估过程中须配合学校安排，避免影响正常教学秩序。</w:t>
      </w:r>
    </w:p>
    <w:p w14:paraId="71947C1A">
      <w:pPr>
        <w:pStyle w:val="16"/>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9.8</w:t>
      </w:r>
      <w:r>
        <w:rPr>
          <w:rFonts w:ascii="仿宋" w:hAnsi="仿宋" w:eastAsia="仿宋"/>
          <w:sz w:val="24"/>
          <w:szCs w:val="24"/>
          <w:u w:val="none"/>
        </w:rPr>
        <w:t>万元</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w:t>
      </w:r>
      <w:r>
        <w:rPr>
          <w:rFonts w:hint="eastAsia" w:ascii="仿宋" w:hAnsi="仿宋" w:eastAsia="仿宋"/>
          <w:sz w:val="24"/>
          <w:szCs w:val="24"/>
        </w:rPr>
        <w:t>基本资格条件：供应商必须是在中华人民共和国境内注册登记的法人、</w:t>
      </w:r>
      <w:r>
        <w:rPr>
          <w:rFonts w:hint="eastAsia" w:ascii="仿宋" w:hAnsi="仿宋" w:eastAsia="仿宋"/>
          <w:sz w:val="24"/>
          <w:szCs w:val="24"/>
          <w:lang w:eastAsia="zh-CN"/>
        </w:rPr>
        <w:t>其他</w:t>
      </w:r>
      <w:r>
        <w:rPr>
          <w:rFonts w:hint="eastAsia" w:ascii="仿宋" w:hAnsi="仿宋" w:eastAsia="仿宋"/>
          <w:sz w:val="24"/>
          <w:szCs w:val="24"/>
        </w:rPr>
        <w:t>组织或者自然人，且应当符合下列规定，即：</w:t>
      </w:r>
    </w:p>
    <w:p w14:paraId="24CC3B8F">
      <w:pPr>
        <w:pStyle w:val="16"/>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（1）</w:t>
      </w:r>
      <w:r>
        <w:rPr>
          <w:rFonts w:hint="eastAsia" w:ascii="仿宋" w:hAnsi="仿宋" w:eastAsia="仿宋"/>
          <w:sz w:val="24"/>
          <w:szCs w:val="24"/>
          <w:lang w:eastAsia="zh-CN"/>
        </w:rPr>
        <w:t>具有独立承担民事责任的能力；</w:t>
      </w:r>
    </w:p>
    <w:p w14:paraId="58A3351A">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（3）</w:t>
      </w:r>
      <w:r>
        <w:rPr>
          <w:rFonts w:hint="eastAsia" w:ascii="仿宋" w:hAnsi="仿宋" w:eastAsia="仿宋"/>
          <w:sz w:val="24"/>
          <w:szCs w:val="24"/>
          <w:lang w:eastAsia="zh-CN"/>
        </w:rPr>
        <w:t>具有履行合同所必需的设备和专业技术能力；</w:t>
      </w:r>
    </w:p>
    <w:p w14:paraId="060D3645">
      <w:pPr>
        <w:pStyle w:val="16"/>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（4）</w:t>
      </w:r>
      <w:r>
        <w:rPr>
          <w:rFonts w:hint="eastAsia" w:ascii="仿宋" w:hAnsi="仿宋" w:eastAsia="仿宋"/>
          <w:sz w:val="24"/>
          <w:szCs w:val="24"/>
          <w:lang w:eastAsia="zh-CN"/>
        </w:rPr>
        <w:t>有依法缴纳税收的良好记录；</w:t>
      </w:r>
    </w:p>
    <w:p w14:paraId="77978083">
      <w:pPr>
        <w:pStyle w:val="16"/>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（5）</w:t>
      </w:r>
      <w:r>
        <w:rPr>
          <w:rFonts w:hint="eastAsia" w:ascii="仿宋" w:hAnsi="仿宋" w:eastAsia="仿宋"/>
          <w:sz w:val="24"/>
          <w:szCs w:val="24"/>
          <w:lang w:eastAsia="zh-CN"/>
        </w:rPr>
        <w:t>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（6）</w:t>
      </w:r>
      <w:r>
        <w:rPr>
          <w:rFonts w:hint="eastAsia" w:ascii="仿宋" w:hAnsi="仿宋" w:eastAsia="仿宋"/>
          <w:sz w:val="24"/>
          <w:szCs w:val="24"/>
          <w:lang w:eastAsia="zh-CN"/>
        </w:rPr>
        <w:t>法律、行政法规规定的其他条件。</w:t>
      </w:r>
    </w:p>
    <w:p w14:paraId="594BA861">
      <w:pPr>
        <w:pStyle w:val="14"/>
        <w:keepNext w:val="0"/>
        <w:keepLines w:val="0"/>
        <w:widowControl/>
        <w:suppressLineNumbers w:val="0"/>
        <w:ind w:left="0" w:leftChars="0" w:firstLine="420" w:firstLineChars="175"/>
        <w:rPr>
          <w:rFonts w:hint="eastAsia"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val="en-US" w:eastAsia="zh-CN"/>
        </w:rPr>
        <w:t>.</w:t>
      </w:r>
      <w:r>
        <w:rPr>
          <w:rFonts w:hint="eastAsia" w:ascii="仿宋" w:hAnsi="仿宋" w:eastAsia="仿宋"/>
          <w:sz w:val="24"/>
          <w:szCs w:val="24"/>
        </w:rPr>
        <w:t>特定资格条件：</w:t>
      </w:r>
    </w:p>
    <w:p w14:paraId="2D2CD90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eastAsia="zh-CN"/>
        </w:rPr>
        <w:t>（</w:t>
      </w:r>
      <w:r>
        <w:rPr>
          <w:rFonts w:hint="eastAsia" w:ascii="仿宋" w:hAnsi="仿宋" w:eastAsia="仿宋"/>
          <w:sz w:val="24"/>
          <w:szCs w:val="24"/>
          <w:lang w:val="en-US" w:eastAsia="zh-CN"/>
        </w:rPr>
        <w:t>1）</w:t>
      </w:r>
      <w:r>
        <w:rPr>
          <w:rFonts w:hint="eastAsia" w:ascii="仿宋" w:hAnsi="仿宋" w:eastAsia="仿宋"/>
          <w:sz w:val="24"/>
          <w:szCs w:val="24"/>
        </w:rPr>
        <w:t>报价人应在国家消防救援局主办的“社会消防技术服务信息系统”（https://shhxf.119.gov.cn）备案，服务类型包含“消防安全评估”（需提供备案截图）；</w:t>
      </w:r>
    </w:p>
    <w:p w14:paraId="352D924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3.</w:t>
      </w:r>
      <w:r>
        <w:rPr>
          <w:rFonts w:hint="eastAsia" w:ascii="仿宋" w:hAnsi="仿宋" w:eastAsia="仿宋"/>
          <w:sz w:val="24"/>
          <w:szCs w:val="24"/>
        </w:rPr>
        <w:t>本项目不接受联合体报价。</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1．首次响应文件的提交截止时</w:t>
      </w:r>
      <w:bookmarkStart w:id="9" w:name="_GoBack"/>
      <w:r>
        <w:rPr>
          <w:rFonts w:hint="eastAsia" w:ascii="仿宋" w:hAnsi="仿宋" w:eastAsia="仿宋"/>
          <w:sz w:val="24"/>
          <w:szCs w:val="24"/>
          <w:u w:val="none"/>
        </w:rPr>
        <w:t>间：2025年</w:t>
      </w:r>
      <w:r>
        <w:rPr>
          <w:rFonts w:hint="eastAsia" w:ascii="仿宋" w:hAnsi="仿宋" w:eastAsia="仿宋"/>
          <w:sz w:val="24"/>
          <w:szCs w:val="24"/>
          <w:u w:val="none"/>
          <w:lang w:val="en-US" w:eastAsia="zh-CN"/>
        </w:rPr>
        <w:t>11</w:t>
      </w:r>
      <w:r>
        <w:rPr>
          <w:rFonts w:hint="eastAsia" w:ascii="仿宋" w:hAnsi="仿宋" w:eastAsia="仿宋"/>
          <w:sz w:val="24"/>
          <w:szCs w:val="24"/>
          <w:u w:val="none"/>
        </w:rPr>
        <w:t>月</w:t>
      </w:r>
      <w:r>
        <w:rPr>
          <w:rFonts w:hint="eastAsia" w:ascii="仿宋" w:hAnsi="仿宋" w:eastAsia="仿宋"/>
          <w:sz w:val="24"/>
          <w:szCs w:val="24"/>
          <w:u w:val="none"/>
          <w:lang w:val="en-US" w:eastAsia="zh-CN"/>
        </w:rPr>
        <w:t>21</w:t>
      </w:r>
      <w:r>
        <w:rPr>
          <w:rFonts w:hint="eastAsia" w:ascii="仿宋" w:hAnsi="仿宋" w:eastAsia="仿宋"/>
          <w:sz w:val="24"/>
          <w:szCs w:val="24"/>
          <w:u w:val="none"/>
        </w:rPr>
        <w:t>日</w:t>
      </w:r>
      <w:r>
        <w:rPr>
          <w:rFonts w:hint="eastAsia" w:ascii="仿宋" w:hAnsi="仿宋" w:eastAsia="仿宋"/>
          <w:sz w:val="24"/>
          <w:szCs w:val="24"/>
          <w:u w:val="none"/>
          <w:lang w:val="en-US" w:eastAsia="zh-CN"/>
        </w:rPr>
        <w:t>10</w:t>
      </w:r>
      <w:r>
        <w:rPr>
          <w:rFonts w:hint="eastAsia" w:ascii="仿宋" w:hAnsi="仿宋" w:eastAsia="仿宋"/>
          <w:sz w:val="24"/>
          <w:szCs w:val="24"/>
          <w:u w:val="none"/>
        </w:rPr>
        <w:t>时</w:t>
      </w:r>
    </w:p>
    <w:p w14:paraId="5FCFB0A5">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2．首次响应文件的开启时间：2025年</w:t>
      </w:r>
      <w:r>
        <w:rPr>
          <w:rFonts w:hint="eastAsia" w:ascii="仿宋" w:hAnsi="仿宋" w:eastAsia="仿宋"/>
          <w:sz w:val="24"/>
          <w:szCs w:val="24"/>
          <w:u w:val="none"/>
          <w:lang w:val="en-US" w:eastAsia="zh-CN"/>
        </w:rPr>
        <w:t>11</w:t>
      </w:r>
      <w:r>
        <w:rPr>
          <w:rFonts w:hint="eastAsia" w:ascii="仿宋" w:hAnsi="仿宋" w:eastAsia="仿宋"/>
          <w:sz w:val="24"/>
          <w:szCs w:val="24"/>
          <w:u w:val="none"/>
        </w:rPr>
        <w:t>月</w:t>
      </w:r>
      <w:r>
        <w:rPr>
          <w:rFonts w:hint="eastAsia" w:ascii="仿宋" w:hAnsi="仿宋" w:eastAsia="仿宋"/>
          <w:sz w:val="24"/>
          <w:szCs w:val="24"/>
          <w:u w:val="none"/>
          <w:lang w:val="en-US" w:eastAsia="zh-CN"/>
        </w:rPr>
        <w:t>21</w:t>
      </w:r>
      <w:r>
        <w:rPr>
          <w:rFonts w:hint="eastAsia" w:ascii="仿宋" w:hAnsi="仿宋" w:eastAsia="仿宋"/>
          <w:sz w:val="24"/>
          <w:szCs w:val="24"/>
          <w:u w:val="none"/>
        </w:rPr>
        <w:t>日</w:t>
      </w:r>
      <w:r>
        <w:rPr>
          <w:rFonts w:hint="eastAsia" w:ascii="仿宋" w:hAnsi="仿宋" w:eastAsia="仿宋"/>
          <w:sz w:val="24"/>
          <w:szCs w:val="24"/>
          <w:u w:val="none"/>
          <w:lang w:val="en-US" w:eastAsia="zh-CN"/>
        </w:rPr>
        <w:t>10</w:t>
      </w:r>
      <w:r>
        <w:rPr>
          <w:rFonts w:hint="eastAsia" w:ascii="仿宋" w:hAnsi="仿宋" w:eastAsia="仿宋"/>
          <w:sz w:val="24"/>
          <w:szCs w:val="24"/>
          <w:u w:val="none"/>
        </w:rPr>
        <w:t>时</w:t>
      </w:r>
    </w:p>
    <w:bookmarkEnd w:id="9"/>
    <w:p w14:paraId="63DB6ACB">
      <w:pPr>
        <w:pStyle w:val="16"/>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0A562B27">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袁源</w:t>
      </w:r>
    </w:p>
    <w:p w14:paraId="48F6AE2A">
      <w:pPr>
        <w:snapToGrid w:val="0"/>
        <w:spacing w:line="360" w:lineRule="auto"/>
        <w:ind w:firstLine="480" w:firstLineChars="200"/>
        <w:jc w:val="left"/>
        <w:rPr>
          <w:rFonts w:hint="eastAsia" w:ascii="仿宋" w:hAnsi="仿宋" w:eastAsia="仿宋" w:cstheme="minorEastAsia"/>
          <w:sz w:val="24"/>
          <w:szCs w:val="24"/>
          <w:u w:val="single"/>
          <w:lang w:val="en-US" w:eastAsia="zh-CN"/>
        </w:rPr>
      </w:pPr>
      <w:r>
        <w:rPr>
          <w:rFonts w:hint="eastAsia" w:ascii="仿宋" w:hAnsi="仿宋" w:eastAsia="仿宋" w:cstheme="minorEastAsia"/>
          <w:sz w:val="24"/>
          <w:szCs w:val="24"/>
        </w:rPr>
        <w:t>电 话：</w:t>
      </w:r>
      <w:r>
        <w:rPr>
          <w:rFonts w:hint="eastAsia" w:ascii="仿宋" w:hAnsi="仿宋" w:eastAsia="仿宋" w:cstheme="minorEastAsia"/>
          <w:sz w:val="24"/>
          <w:szCs w:val="24"/>
          <w:u w:val="none"/>
          <w:lang w:val="en-US" w:eastAsia="zh-CN"/>
        </w:rPr>
        <w:t>13975376181</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6"/>
      </w:pPr>
    </w:p>
    <w:p w14:paraId="42402AF4"/>
    <w:p w14:paraId="360ECAAB"/>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5161145B">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1．项目名称：</w:t>
      </w:r>
      <w:r>
        <w:rPr>
          <w:rFonts w:hint="eastAsia" w:ascii="仿宋" w:hAnsi="仿宋" w:eastAsia="仿宋" w:cstheme="minorEastAsia"/>
          <w:sz w:val="24"/>
          <w:szCs w:val="24"/>
          <w:lang w:val="en-US" w:eastAsia="zh-CN"/>
        </w:rPr>
        <w:t>2025年度消防安全评估服务</w:t>
      </w:r>
    </w:p>
    <w:p w14:paraId="2ADB196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2．服务期限：合同签订后</w:t>
      </w:r>
      <w:r>
        <w:rPr>
          <w:rFonts w:hint="eastAsia" w:ascii="仿宋" w:hAnsi="仿宋" w:eastAsia="仿宋" w:cstheme="minorEastAsia"/>
          <w:sz w:val="24"/>
          <w:szCs w:val="24"/>
          <w:lang w:val="en-US" w:eastAsia="zh-CN"/>
        </w:rPr>
        <w:t>1</w:t>
      </w:r>
      <w:r>
        <w:rPr>
          <w:rFonts w:hint="eastAsia" w:ascii="仿宋" w:hAnsi="仿宋" w:eastAsia="仿宋" w:cstheme="minorEastAsia"/>
          <w:sz w:val="24"/>
          <w:szCs w:val="24"/>
        </w:rPr>
        <w:t>5日历天内完成全部评估工作并提交正式报告。</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5BAD1A59">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 依据《火灾高危单位消防安全评估技术指南》（DB43/T1179-2016）、《单位消防安全评估》（XF/T3005-2020）、《人员密集场所消防安全评估导则》等现行规范，对学院田心南校区（田心大道18号）及云龙西校区（田心大道1111号）的建筑、消防设施、安全管理制度等进行全面评估（总建筑面积约</w:t>
      </w:r>
      <w:r>
        <w:rPr>
          <w:rFonts w:hint="eastAsia" w:ascii="仿宋" w:hAnsi="仿宋" w:eastAsia="仿宋" w:cs="仿宋"/>
          <w:color w:val="333333"/>
          <w:kern w:val="0"/>
          <w:sz w:val="24"/>
          <w:szCs w:val="24"/>
          <w:lang w:val="en-US" w:eastAsia="zh-CN"/>
        </w:rPr>
        <w:t>301.961.13</w:t>
      </w:r>
      <w:r>
        <w:rPr>
          <w:rFonts w:hint="eastAsia" w:ascii="仿宋" w:hAnsi="仿宋" w:eastAsia="仿宋" w:cs="仿宋"/>
          <w:color w:val="333333"/>
          <w:kern w:val="0"/>
          <w:sz w:val="24"/>
          <w:szCs w:val="24"/>
        </w:rPr>
        <w:t>平方米）；</w:t>
      </w:r>
    </w:p>
    <w:p w14:paraId="51245E63">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 对评估中发现的问题，需明确违反的法律法规或技术规范条款，并提出具体整改建议；</w:t>
      </w:r>
    </w:p>
    <w:p w14:paraId="0C87A681">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 依据《重大火灾隐患判定方法》（GB35181-2017），对是否存在重大火灾隐患作出明确结论；</w:t>
      </w:r>
    </w:p>
    <w:p w14:paraId="6D869480">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 提交纸质版消防安全评估报告一式三份、电子版一份（含原始数据及分析过程）；</w:t>
      </w:r>
    </w:p>
    <w:p w14:paraId="2AAE4F08">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5. 评估过程中须配合学校安排，避免影响正常教学秩序。</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三、</w:t>
      </w:r>
      <w:r>
        <w:rPr>
          <w:rFonts w:hint="eastAsia" w:ascii="仿宋" w:hAnsi="仿宋" w:eastAsia="仿宋" w:cstheme="minorEastAsia"/>
          <w:b/>
          <w:sz w:val="24"/>
          <w:szCs w:val="24"/>
        </w:rPr>
        <w:t>服务质量要求</w:t>
      </w:r>
    </w:p>
    <w:p w14:paraId="788C5D7B">
      <w:pPr>
        <w:adjustRightInd w:val="0"/>
        <w:snapToGrid w:val="0"/>
        <w:spacing w:line="360" w:lineRule="auto"/>
        <w:ind w:firstLine="480" w:firstLineChars="20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评估内容需全面、真实、准确，符合国家及行业标准，报告结论清晰，整改建议具有可操作性。</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四、服务质量检查考核标准和方法</w:t>
      </w:r>
    </w:p>
    <w:p w14:paraId="6D9BB0E6">
      <w:pPr>
        <w:adjustRightInd w:val="0"/>
        <w:snapToGrid w:val="0"/>
        <w:spacing w:line="360" w:lineRule="auto"/>
        <w:ind w:firstLine="480" w:firstLineChars="20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1. 报告需通过学院组织的验收，符合采购需求及行业规范；</w:t>
      </w:r>
    </w:p>
    <w:p w14:paraId="4D316955">
      <w:pPr>
        <w:adjustRightInd w:val="0"/>
        <w:snapToGrid w:val="0"/>
        <w:spacing w:line="360" w:lineRule="auto"/>
        <w:ind w:firstLine="480" w:firstLineChars="200"/>
        <w:rPr>
          <w:rFonts w:hint="eastAsia" w:ascii="仿宋" w:hAnsi="仿宋" w:eastAsia="仿宋" w:cstheme="minorEastAsia"/>
          <w:b/>
          <w:sz w:val="24"/>
          <w:szCs w:val="24"/>
        </w:rPr>
      </w:pPr>
      <w:r>
        <w:rPr>
          <w:rFonts w:hint="eastAsia" w:ascii="仿宋" w:hAnsi="仿宋" w:eastAsia="仿宋" w:cs="仿宋"/>
          <w:color w:val="333333"/>
          <w:kern w:val="0"/>
          <w:sz w:val="24"/>
          <w:szCs w:val="24"/>
          <w:lang w:val="en-US" w:eastAsia="zh-CN"/>
        </w:rPr>
        <w:t>2. 未达到技术要求或内容缺失的，须限期修改完善。</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lang w:val="en-US" w:eastAsia="zh-CN"/>
        </w:rPr>
        <w:t>9.8</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w:t>
      </w:r>
      <w:r>
        <w:rPr>
          <w:rFonts w:hint="eastAsia" w:ascii="仿宋" w:hAnsi="仿宋" w:eastAsia="仿宋" w:cstheme="minorEastAsia"/>
          <w:b/>
          <w:sz w:val="24"/>
          <w:szCs w:val="24"/>
          <w:lang w:val="en-US" w:eastAsia="zh-CN"/>
        </w:rPr>
        <w:t>乐采云电商平台</w:t>
      </w:r>
      <w:r>
        <w:rPr>
          <w:rFonts w:hint="eastAsia" w:ascii="仿宋" w:hAnsi="仿宋" w:eastAsia="仿宋" w:cstheme="minorEastAsia"/>
          <w:b/>
          <w:sz w:val="24"/>
          <w:szCs w:val="24"/>
        </w:rPr>
        <w:t>的合格供应商。</w:t>
      </w:r>
    </w:p>
    <w:p w14:paraId="0191A80D">
      <w:pPr>
        <w:rPr>
          <w:rFonts w:hint="eastAsia"/>
        </w:rPr>
      </w:pPr>
    </w:p>
    <w:p w14:paraId="0AEC7593">
      <w:pPr>
        <w:rPr>
          <w:rFonts w:hint="eastAsia"/>
        </w:rPr>
      </w:pPr>
    </w:p>
    <w:p w14:paraId="4C3AACA6">
      <w:pPr>
        <w:rPr>
          <w:rFonts w:hint="eastAsia"/>
        </w:rPr>
      </w:pPr>
    </w:p>
    <w:p w14:paraId="2FC3F308">
      <w:pPr>
        <w:rPr>
          <w:rFonts w:hint="eastAsia"/>
        </w:rPr>
      </w:pPr>
    </w:p>
    <w:p w14:paraId="58D1B2EF">
      <w:pPr>
        <w:rPr>
          <w:rFonts w:hint="eastAsia"/>
        </w:rPr>
      </w:pPr>
    </w:p>
    <w:p w14:paraId="25719BA9">
      <w:pPr>
        <w:rPr>
          <w:rFonts w:hint="eastAsia"/>
        </w:rPr>
      </w:pPr>
    </w:p>
    <w:p w14:paraId="223FEA38">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16"/>
        <w:ind w:left="0" w:leftChars="0" w:firstLine="0"/>
      </w:pPr>
    </w:p>
    <w:p w14:paraId="4D5F27AE">
      <w:pPr>
        <w:pStyle w:val="16"/>
        <w:spacing w:before="0" w:beforeAutospacing="0" w:after="0" w:line="240" w:lineRule="atLeast"/>
        <w:ind w:left="0" w:leftChars="0" w:firstLine="0"/>
        <w:rPr>
          <w:rFonts w:ascii="仿宋" w:hAnsi="仿宋" w:eastAsia="仿宋"/>
          <w:b/>
          <w:sz w:val="28"/>
          <w:szCs w:val="28"/>
        </w:rPr>
      </w:pPr>
      <w:r>
        <w:rPr>
          <w:rFonts w:hint="eastAsia" w:ascii="仿宋" w:hAnsi="仿宋" w:eastAsia="仿宋"/>
          <w:b/>
          <w:sz w:val="28"/>
          <w:szCs w:val="28"/>
        </w:rPr>
        <w:t>表1 评审因素和标准</w:t>
      </w:r>
    </w:p>
    <w:tbl>
      <w:tblPr>
        <w:tblStyle w:val="1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11B6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tcBorders>
              <w:top w:val="single" w:color="auto" w:sz="4" w:space="0"/>
              <w:left w:val="single" w:color="auto" w:sz="4" w:space="0"/>
              <w:bottom w:val="single" w:color="auto" w:sz="4" w:space="0"/>
              <w:right w:val="single" w:color="auto" w:sz="4" w:space="0"/>
            </w:tcBorders>
            <w:vAlign w:val="center"/>
          </w:tcPr>
          <w:p w14:paraId="44766CE9">
            <w:pPr>
              <w:jc w:val="center"/>
              <w:rPr>
                <w:rFonts w:ascii="仿宋" w:hAnsi="仿宋" w:eastAsia="仿宋"/>
                <w:b/>
                <w:kern w:val="2"/>
                <w:sz w:val="24"/>
                <w:szCs w:val="24"/>
              </w:rPr>
            </w:pPr>
            <w:r>
              <w:rPr>
                <w:rFonts w:hint="eastAsia" w:ascii="仿宋" w:hAnsi="仿宋" w:eastAsia="仿宋"/>
                <w:b/>
                <w:kern w:val="0"/>
                <w:sz w:val="24"/>
                <w:szCs w:val="24"/>
              </w:rPr>
              <w:t>序号</w:t>
            </w:r>
          </w:p>
        </w:tc>
        <w:tc>
          <w:tcPr>
            <w:tcW w:w="1308" w:type="dxa"/>
            <w:tcBorders>
              <w:top w:val="single" w:color="auto" w:sz="4" w:space="0"/>
              <w:left w:val="single" w:color="auto" w:sz="4" w:space="0"/>
              <w:bottom w:val="single" w:color="auto" w:sz="4" w:space="0"/>
              <w:right w:val="single" w:color="auto" w:sz="4" w:space="0"/>
            </w:tcBorders>
            <w:vAlign w:val="center"/>
          </w:tcPr>
          <w:p w14:paraId="1E65FEE6">
            <w:pPr>
              <w:jc w:val="center"/>
              <w:rPr>
                <w:rFonts w:ascii="仿宋" w:hAnsi="仿宋" w:eastAsia="仿宋"/>
                <w:b/>
                <w:kern w:val="2"/>
                <w:sz w:val="24"/>
                <w:szCs w:val="24"/>
              </w:rPr>
            </w:pPr>
            <w:r>
              <w:rPr>
                <w:rFonts w:hint="eastAsia" w:ascii="仿宋" w:hAnsi="仿宋" w:eastAsia="仿宋"/>
                <w:b/>
                <w:kern w:val="0"/>
                <w:sz w:val="24"/>
                <w:szCs w:val="24"/>
              </w:rPr>
              <w:t>评审因素</w:t>
            </w:r>
          </w:p>
        </w:tc>
        <w:tc>
          <w:tcPr>
            <w:tcW w:w="709" w:type="dxa"/>
            <w:tcBorders>
              <w:top w:val="single" w:color="auto" w:sz="4" w:space="0"/>
              <w:left w:val="single" w:color="auto" w:sz="4" w:space="0"/>
              <w:bottom w:val="single" w:color="auto" w:sz="4" w:space="0"/>
              <w:right w:val="single" w:color="auto" w:sz="4" w:space="0"/>
            </w:tcBorders>
            <w:vAlign w:val="center"/>
          </w:tcPr>
          <w:p w14:paraId="6D5C4CED">
            <w:pPr>
              <w:jc w:val="center"/>
              <w:rPr>
                <w:rFonts w:ascii="仿宋" w:hAnsi="仿宋" w:eastAsia="仿宋"/>
                <w:b/>
                <w:kern w:val="2"/>
                <w:sz w:val="24"/>
                <w:szCs w:val="24"/>
              </w:rPr>
            </w:pPr>
            <w:r>
              <w:rPr>
                <w:rFonts w:hint="eastAsia" w:ascii="仿宋" w:hAnsi="仿宋" w:eastAsia="仿宋"/>
                <w:b/>
                <w:kern w:val="0"/>
                <w:sz w:val="24"/>
                <w:szCs w:val="24"/>
              </w:rPr>
              <w:t>权值</w:t>
            </w:r>
          </w:p>
        </w:tc>
        <w:tc>
          <w:tcPr>
            <w:tcW w:w="6237" w:type="dxa"/>
            <w:tcBorders>
              <w:top w:val="single" w:color="auto" w:sz="4" w:space="0"/>
              <w:left w:val="single" w:color="auto" w:sz="4" w:space="0"/>
              <w:bottom w:val="single" w:color="auto" w:sz="4" w:space="0"/>
              <w:right w:val="single" w:color="auto" w:sz="4" w:space="0"/>
            </w:tcBorders>
            <w:vAlign w:val="center"/>
          </w:tcPr>
          <w:p w14:paraId="3859E3B3">
            <w:pPr>
              <w:jc w:val="center"/>
              <w:rPr>
                <w:rFonts w:ascii="仿宋" w:hAnsi="仿宋" w:eastAsia="仿宋"/>
                <w:b/>
                <w:kern w:val="2"/>
                <w:sz w:val="24"/>
                <w:szCs w:val="24"/>
              </w:rPr>
            </w:pPr>
            <w:r>
              <w:rPr>
                <w:rFonts w:hint="eastAsia" w:ascii="仿宋" w:hAnsi="仿宋" w:eastAsia="仿宋"/>
                <w:b/>
                <w:kern w:val="0"/>
                <w:sz w:val="24"/>
                <w:szCs w:val="24"/>
              </w:rPr>
              <w:t>评分标准</w:t>
            </w:r>
          </w:p>
        </w:tc>
      </w:tr>
      <w:tr w14:paraId="6430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tcBorders>
              <w:top w:val="single" w:color="auto" w:sz="4" w:space="0"/>
              <w:left w:val="single" w:color="auto" w:sz="4" w:space="0"/>
              <w:bottom w:val="single" w:color="auto" w:sz="4" w:space="0"/>
              <w:right w:val="single" w:color="auto" w:sz="4" w:space="0"/>
            </w:tcBorders>
            <w:vAlign w:val="center"/>
          </w:tcPr>
          <w:p w14:paraId="5B32E0FB">
            <w:pPr>
              <w:jc w:val="center"/>
              <w:rPr>
                <w:rFonts w:ascii="仿宋" w:hAnsi="仿宋" w:eastAsia="仿宋"/>
                <w:b/>
                <w:color w:val="auto"/>
                <w:kern w:val="0"/>
                <w:sz w:val="24"/>
                <w:szCs w:val="24"/>
              </w:rPr>
            </w:pPr>
            <w:r>
              <w:rPr>
                <w:rFonts w:hint="eastAsia" w:ascii="仿宋" w:hAnsi="仿宋" w:eastAsia="仿宋"/>
                <w:color w:val="auto"/>
                <w:kern w:val="0"/>
                <w:sz w:val="24"/>
                <w:szCs w:val="24"/>
              </w:rPr>
              <w:t>1</w:t>
            </w:r>
          </w:p>
        </w:tc>
        <w:tc>
          <w:tcPr>
            <w:tcW w:w="1308" w:type="dxa"/>
            <w:tcBorders>
              <w:top w:val="single" w:color="auto" w:sz="4" w:space="0"/>
              <w:left w:val="single" w:color="auto" w:sz="4" w:space="0"/>
              <w:bottom w:val="single" w:color="auto" w:sz="4" w:space="0"/>
              <w:right w:val="single" w:color="auto" w:sz="4" w:space="0"/>
            </w:tcBorders>
            <w:vAlign w:val="center"/>
          </w:tcPr>
          <w:p w14:paraId="3F1489F4">
            <w:pPr>
              <w:jc w:val="center"/>
              <w:rPr>
                <w:rFonts w:ascii="仿宋" w:hAnsi="仿宋" w:eastAsia="仿宋"/>
                <w:b/>
                <w:color w:val="auto"/>
                <w:kern w:val="0"/>
                <w:sz w:val="24"/>
                <w:szCs w:val="24"/>
              </w:rPr>
            </w:pPr>
            <w:r>
              <w:rPr>
                <w:rFonts w:hint="eastAsia" w:ascii="仿宋" w:hAnsi="仿宋" w:eastAsia="仿宋"/>
                <w:color w:val="auto"/>
                <w:kern w:val="0"/>
                <w:sz w:val="24"/>
                <w:szCs w:val="24"/>
              </w:rPr>
              <w:t>报价</w:t>
            </w:r>
          </w:p>
        </w:tc>
        <w:tc>
          <w:tcPr>
            <w:tcW w:w="709" w:type="dxa"/>
            <w:tcBorders>
              <w:top w:val="single" w:color="auto" w:sz="4" w:space="0"/>
              <w:left w:val="single" w:color="auto" w:sz="4" w:space="0"/>
              <w:bottom w:val="single" w:color="auto" w:sz="4" w:space="0"/>
              <w:right w:val="single" w:color="auto" w:sz="4" w:space="0"/>
            </w:tcBorders>
            <w:vAlign w:val="center"/>
          </w:tcPr>
          <w:p w14:paraId="1C56067C">
            <w:pPr>
              <w:jc w:val="center"/>
              <w:rPr>
                <w:rFonts w:ascii="仿宋" w:hAnsi="仿宋" w:eastAsia="仿宋"/>
                <w:color w:val="auto"/>
                <w:kern w:val="0"/>
                <w:sz w:val="24"/>
                <w:szCs w:val="24"/>
              </w:rPr>
            </w:pPr>
            <w:r>
              <w:rPr>
                <w:rFonts w:hint="eastAsia" w:ascii="仿宋" w:hAnsi="仿宋" w:eastAsia="仿宋"/>
                <w:color w:val="auto"/>
                <w:kern w:val="0"/>
                <w:sz w:val="24"/>
                <w:szCs w:val="24"/>
              </w:rPr>
              <w:t>20</w:t>
            </w:r>
          </w:p>
        </w:tc>
        <w:tc>
          <w:tcPr>
            <w:tcW w:w="6237" w:type="dxa"/>
            <w:tcBorders>
              <w:top w:val="single" w:color="auto" w:sz="4" w:space="0"/>
              <w:left w:val="single" w:color="auto" w:sz="4" w:space="0"/>
              <w:bottom w:val="single" w:color="auto" w:sz="4" w:space="0"/>
              <w:right w:val="single" w:color="auto" w:sz="4" w:space="0"/>
            </w:tcBorders>
            <w:vAlign w:val="center"/>
          </w:tcPr>
          <w:p w14:paraId="5367C3E5">
            <w:pPr>
              <w:jc w:val="left"/>
              <w:rPr>
                <w:rFonts w:ascii="仿宋" w:hAnsi="仿宋" w:eastAsia="仿宋"/>
                <w:b/>
                <w:color w:val="auto"/>
                <w:kern w:val="2"/>
                <w:sz w:val="24"/>
                <w:szCs w:val="24"/>
              </w:rPr>
            </w:pPr>
            <w:r>
              <w:rPr>
                <w:rFonts w:hint="eastAsia" w:ascii="仿宋" w:hAnsi="仿宋" w:eastAsia="仿宋" w:cs="宋体"/>
                <w:sz w:val="24"/>
                <w:szCs w:val="24"/>
              </w:rPr>
              <w:t>以经评委会一致认定满足招标文件要求且投标价格最低的投标报价为评标基准价，其价格得分计</w:t>
            </w:r>
            <w:r>
              <w:rPr>
                <w:rFonts w:hint="eastAsia" w:ascii="仿宋" w:hAnsi="仿宋" w:eastAsia="仿宋" w:cs="宋体"/>
                <w:sz w:val="24"/>
                <w:szCs w:val="24"/>
                <w:lang w:val="en-US" w:eastAsia="zh-CN"/>
              </w:rPr>
              <w:t>20</w:t>
            </w:r>
            <w:r>
              <w:rPr>
                <w:rFonts w:hint="eastAsia" w:ascii="仿宋" w:hAnsi="仿宋" w:eastAsia="仿宋" w:cs="宋体"/>
                <w:sz w:val="24"/>
                <w:szCs w:val="24"/>
              </w:rPr>
              <w:t>分。其他投标人的价格得分统一按公式计算：报价得分=（评标基准价/投标报价）×价格权重</w:t>
            </w:r>
          </w:p>
        </w:tc>
      </w:tr>
      <w:tr w14:paraId="2516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tcBorders>
              <w:top w:val="single" w:color="auto" w:sz="4" w:space="0"/>
              <w:left w:val="single" w:color="auto" w:sz="4" w:space="0"/>
              <w:bottom w:val="single" w:color="auto" w:sz="4" w:space="0"/>
              <w:right w:val="single" w:color="auto" w:sz="4" w:space="0"/>
            </w:tcBorders>
            <w:vAlign w:val="center"/>
          </w:tcPr>
          <w:p w14:paraId="69502E81">
            <w:pPr>
              <w:jc w:val="left"/>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2</w:t>
            </w:r>
          </w:p>
        </w:tc>
        <w:tc>
          <w:tcPr>
            <w:tcW w:w="1308" w:type="dxa"/>
            <w:tcBorders>
              <w:top w:val="single" w:color="auto" w:sz="4" w:space="0"/>
              <w:left w:val="single" w:color="auto" w:sz="4" w:space="0"/>
              <w:bottom w:val="single" w:color="auto" w:sz="4" w:space="0"/>
              <w:right w:val="single" w:color="auto" w:sz="4" w:space="0"/>
            </w:tcBorders>
            <w:vAlign w:val="center"/>
          </w:tcPr>
          <w:p w14:paraId="1EDCD3DB">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服务团队能力</w:t>
            </w:r>
          </w:p>
        </w:tc>
        <w:tc>
          <w:tcPr>
            <w:tcW w:w="709" w:type="dxa"/>
            <w:tcBorders>
              <w:top w:val="single" w:color="auto" w:sz="4" w:space="0"/>
              <w:left w:val="single" w:color="auto" w:sz="4" w:space="0"/>
              <w:bottom w:val="single" w:color="auto" w:sz="4" w:space="0"/>
              <w:right w:val="single" w:color="auto" w:sz="4" w:space="0"/>
            </w:tcBorders>
            <w:vAlign w:val="center"/>
          </w:tcPr>
          <w:p w14:paraId="6B29092F">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20</w:t>
            </w:r>
          </w:p>
        </w:tc>
        <w:tc>
          <w:tcPr>
            <w:tcW w:w="6237" w:type="dxa"/>
            <w:tcBorders>
              <w:top w:val="single" w:color="auto" w:sz="4" w:space="0"/>
              <w:left w:val="single" w:color="auto" w:sz="4" w:space="0"/>
              <w:bottom w:val="single" w:color="auto" w:sz="4" w:space="0"/>
              <w:right w:val="single" w:color="auto" w:sz="4" w:space="0"/>
            </w:tcBorders>
            <w:vAlign w:val="center"/>
          </w:tcPr>
          <w:p w14:paraId="71828A15">
            <w:pPr>
              <w:widowControl/>
              <w:numPr>
                <w:ilvl w:val="0"/>
                <w:numId w:val="0"/>
              </w:numPr>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（1）</w:t>
            </w:r>
            <w:r>
              <w:rPr>
                <w:rFonts w:hint="eastAsia" w:ascii="仿宋" w:hAnsi="仿宋" w:eastAsia="仿宋" w:cs="宋体"/>
                <w:color w:val="000000" w:themeColor="text1"/>
                <w:kern w:val="0"/>
                <w:sz w:val="24"/>
                <w:szCs w:val="24"/>
                <w:lang w:val="en-US" w:eastAsia="zh-CN"/>
                <w14:textFill>
                  <w14:solidFill>
                    <w14:schemeClr w14:val="tx1"/>
                  </w14:solidFill>
                </w14:textFill>
              </w:rPr>
              <w:t>本</w:t>
            </w:r>
            <w:r>
              <w:rPr>
                <w:rFonts w:hint="eastAsia" w:ascii="仿宋" w:hAnsi="仿宋" w:eastAsia="仿宋" w:cs="宋体"/>
                <w:color w:val="000000" w:themeColor="text1"/>
                <w:kern w:val="0"/>
                <w:sz w:val="24"/>
                <w:szCs w:val="24"/>
                <w14:textFill>
                  <w14:solidFill>
                    <w14:schemeClr w14:val="tx1"/>
                  </w14:solidFill>
                </w14:textFill>
              </w:rPr>
              <w:t>项目负责人具备注册专业是机电工程</w:t>
            </w:r>
            <w:r>
              <w:rPr>
                <w:rFonts w:hint="eastAsia" w:ascii="仿宋" w:hAnsi="仿宋" w:eastAsia="仿宋" w:cs="宋体"/>
                <w:color w:val="000000" w:themeColor="text1"/>
                <w:kern w:val="0"/>
                <w:sz w:val="24"/>
                <w:szCs w:val="24"/>
                <w:lang w:val="en-US" w:eastAsia="zh-CN"/>
                <w14:textFill>
                  <w14:solidFill>
                    <w14:schemeClr w14:val="tx1"/>
                  </w14:solidFill>
                </w14:textFill>
              </w:rPr>
              <w:t>师、注册给水排水专业职称的</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val="en-US" w:eastAsia="zh-CN"/>
                <w14:textFill>
                  <w14:solidFill>
                    <w14:schemeClr w14:val="tx1"/>
                  </w14:solidFill>
                </w14:textFill>
              </w:rPr>
              <w:t>每提供一个</w:t>
            </w:r>
            <w:r>
              <w:rPr>
                <w:rFonts w:hint="eastAsia" w:ascii="仿宋" w:hAnsi="仿宋" w:eastAsia="仿宋" w:cs="宋体"/>
                <w:color w:val="000000" w:themeColor="text1"/>
                <w:kern w:val="0"/>
                <w:sz w:val="24"/>
                <w:szCs w:val="24"/>
                <w14:textFill>
                  <w14:solidFill>
                    <w14:schemeClr w14:val="tx1"/>
                  </w14:solidFill>
                </w14:textFill>
              </w:rPr>
              <w:t>得2分</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lang w:val="en-US" w:eastAsia="zh-CN"/>
                <w14:textFill>
                  <w14:solidFill>
                    <w14:schemeClr w14:val="tx1"/>
                  </w14:solidFill>
                </w14:textFill>
              </w:rPr>
              <w:t>具备</w:t>
            </w:r>
            <w:r>
              <w:rPr>
                <w:rFonts w:hint="eastAsia" w:ascii="仿宋" w:hAnsi="仿宋" w:eastAsia="仿宋" w:cs="宋体"/>
                <w:color w:val="000000" w:themeColor="text1"/>
                <w:kern w:val="0"/>
                <w:sz w:val="24"/>
                <w:szCs w:val="24"/>
                <w14:textFill>
                  <w14:solidFill>
                    <w14:schemeClr w14:val="tx1"/>
                  </w14:solidFill>
                </w14:textFill>
              </w:rPr>
              <w:t>中华人民共和国二级建造师注册证书的得4分</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lang w:val="en-US" w:eastAsia="zh-CN"/>
                <w14:textFill>
                  <w14:solidFill>
                    <w14:schemeClr w14:val="tx1"/>
                  </w14:solidFill>
                </w14:textFill>
              </w:rPr>
              <w:t>最高得8分。</w:t>
            </w:r>
          </w:p>
          <w:p w14:paraId="7E175DAE">
            <w:pPr>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（2）服务团队中的人员（除项目负责人外）具备注册消防工程师资格的，每提供1人得4分，最高得8分。</w:t>
            </w:r>
            <w:r>
              <w:rPr>
                <w:rFonts w:hint="eastAsia" w:ascii="仿宋" w:hAnsi="仿宋" w:eastAsia="仿宋" w:cs="宋体"/>
                <w:color w:val="000000" w:themeColor="text1"/>
                <w:kern w:val="0"/>
                <w:sz w:val="24"/>
                <w:szCs w:val="24"/>
                <w14:textFill>
                  <w14:solidFill>
                    <w14:schemeClr w14:val="tx1"/>
                  </w14:solidFill>
                </w14:textFill>
              </w:rPr>
              <w:br w:type="textWrapping"/>
            </w:r>
            <w:r>
              <w:rPr>
                <w:rFonts w:hint="eastAsia" w:ascii="仿宋" w:hAnsi="仿宋" w:eastAsia="仿宋" w:cs="宋体"/>
                <w:color w:val="000000" w:themeColor="text1"/>
                <w:kern w:val="0"/>
                <w:sz w:val="24"/>
                <w:szCs w:val="24"/>
                <w14:textFill>
                  <w14:solidFill>
                    <w14:schemeClr w14:val="tx1"/>
                  </w14:solidFill>
                </w14:textFill>
              </w:rPr>
              <w:t>（3）服务团队中的人员（除项目负责人外）具备消防设施操作员中级及以上职业资格证书的，每提供1人得2分，最高得4分。</w:t>
            </w:r>
          </w:p>
          <w:p w14:paraId="5145A3F1">
            <w:pPr>
              <w:widowControl/>
              <w:jc w:val="left"/>
              <w:rPr>
                <w:rFonts w:ascii="仿宋" w:hAnsi="仿宋" w:eastAsia="仿宋" w:cs="宋体"/>
                <w:color w:val="FF0000"/>
                <w:kern w:val="2"/>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w:t>
            </w:r>
            <w:r>
              <w:rPr>
                <w:rFonts w:hint="eastAsia" w:ascii="仿宋" w:hAnsi="仿宋" w:eastAsia="仿宋" w:cs="宋体"/>
                <w:b/>
                <w:bCs/>
                <w:sz w:val="24"/>
                <w:szCs w:val="24"/>
              </w:rPr>
              <w:t>0分。</w:t>
            </w:r>
            <w:r>
              <w:rPr>
                <w:rFonts w:hint="eastAsia" w:ascii="仿宋" w:hAnsi="仿宋" w:eastAsia="仿宋" w:cs="宋体"/>
                <w:color w:val="auto"/>
                <w:kern w:val="0"/>
                <w:sz w:val="24"/>
                <w:szCs w:val="24"/>
              </w:rPr>
              <w:br w:type="textWrapping"/>
            </w:r>
            <w:r>
              <w:rPr>
                <w:rFonts w:hint="eastAsia" w:ascii="仿宋" w:hAnsi="仿宋" w:eastAsia="仿宋" w:cs="宋体"/>
                <w:b/>
                <w:bCs/>
                <w:color w:val="auto"/>
                <w:kern w:val="0"/>
                <w:sz w:val="24"/>
                <w:szCs w:val="24"/>
              </w:rPr>
              <w:t>【评审依据】：响应文件中提供以上人员证书扫描件和供应商为其缴纳的近三个月（不含响应文件提交当月）的社保证明扫描件并加盖供应商公章，未提供或提供的证明材料不齐全的不得分。人员证书不得复用。</w:t>
            </w:r>
          </w:p>
        </w:tc>
      </w:tr>
      <w:tr w14:paraId="235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0" w:type="auto"/>
            <w:tcBorders>
              <w:top w:val="single" w:color="auto" w:sz="4" w:space="0"/>
              <w:left w:val="single" w:color="auto" w:sz="4" w:space="0"/>
              <w:bottom w:val="single" w:color="auto" w:sz="4" w:space="0"/>
              <w:right w:val="single" w:color="auto" w:sz="4" w:space="0"/>
            </w:tcBorders>
            <w:vAlign w:val="center"/>
          </w:tcPr>
          <w:p w14:paraId="3D21AFF0">
            <w:pPr>
              <w:jc w:val="left"/>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3</w:t>
            </w:r>
          </w:p>
        </w:tc>
        <w:tc>
          <w:tcPr>
            <w:tcW w:w="1308" w:type="dxa"/>
            <w:tcBorders>
              <w:top w:val="single" w:color="auto" w:sz="4" w:space="0"/>
              <w:left w:val="single" w:color="auto" w:sz="4" w:space="0"/>
              <w:bottom w:val="single" w:color="auto" w:sz="4" w:space="0"/>
              <w:right w:val="single" w:color="auto" w:sz="4" w:space="0"/>
            </w:tcBorders>
            <w:vAlign w:val="center"/>
          </w:tcPr>
          <w:p w14:paraId="586793BA">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项目整体实施方案</w:t>
            </w:r>
          </w:p>
        </w:tc>
        <w:tc>
          <w:tcPr>
            <w:tcW w:w="709" w:type="dxa"/>
            <w:tcBorders>
              <w:top w:val="single" w:color="auto" w:sz="4" w:space="0"/>
              <w:left w:val="single" w:color="auto" w:sz="4" w:space="0"/>
              <w:bottom w:val="single" w:color="auto" w:sz="4" w:space="0"/>
              <w:right w:val="single" w:color="auto" w:sz="4" w:space="0"/>
            </w:tcBorders>
            <w:vAlign w:val="center"/>
          </w:tcPr>
          <w:p w14:paraId="46515236">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35</w:t>
            </w:r>
          </w:p>
        </w:tc>
        <w:tc>
          <w:tcPr>
            <w:tcW w:w="6237" w:type="dxa"/>
            <w:tcBorders>
              <w:top w:val="single" w:color="auto" w:sz="4" w:space="0"/>
              <w:left w:val="single" w:color="auto" w:sz="4" w:space="0"/>
              <w:bottom w:val="single" w:color="auto" w:sz="4" w:space="0"/>
              <w:right w:val="single" w:color="auto" w:sz="4" w:space="0"/>
            </w:tcBorders>
            <w:vAlign w:val="center"/>
          </w:tcPr>
          <w:p w14:paraId="1B2EEFAD">
            <w:pPr>
              <w:widowControl/>
              <w:jc w:val="left"/>
              <w:rPr>
                <w:rFonts w:hint="eastAsia" w:ascii="宋体" w:hAnsi="宋体"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供应商根据本项目实施特点及技术要求，结合学院校区情况制定实施方案，</w:t>
            </w:r>
            <w:r>
              <w:rPr>
                <w:rFonts w:hint="eastAsia" w:ascii="仿宋" w:hAnsi="仿宋" w:eastAsia="仿宋" w:cs="宋体"/>
                <w:color w:val="000000" w:themeColor="text1"/>
                <w:sz w:val="24"/>
                <w:szCs w:val="24"/>
                <w14:textFill>
                  <w14:solidFill>
                    <w14:schemeClr w14:val="tx1"/>
                  </w14:solidFill>
                </w14:textFill>
              </w:rPr>
              <w:t>方案至少应包括</w:t>
            </w:r>
            <w:r>
              <w:rPr>
                <w:rFonts w:hint="eastAsia" w:ascii="仿宋" w:hAnsi="仿宋" w:eastAsia="仿宋" w:cs="宋体"/>
                <w:color w:val="000000" w:themeColor="text1"/>
                <w:sz w:val="24"/>
                <w:szCs w:val="24"/>
                <w:lang w:eastAsia="zh-CN"/>
                <w14:textFill>
                  <w14:solidFill>
                    <w14:schemeClr w14:val="tx1"/>
                  </w14:solidFill>
                </w14:textFill>
              </w:rPr>
              <w:t>：</w:t>
            </w:r>
            <w:r>
              <w:rPr>
                <w:rFonts w:hint="eastAsia" w:ascii="仿宋" w:hAnsi="仿宋" w:eastAsia="仿宋" w:cs="宋体"/>
                <w:color w:val="000000" w:themeColor="text1"/>
                <w:sz w:val="24"/>
                <w:szCs w:val="24"/>
                <w14:textFill>
                  <w14:solidFill>
                    <w14:schemeClr w14:val="tx1"/>
                  </w14:solidFill>
                </w14:textFill>
              </w:rPr>
              <w:t>①</w:t>
            </w:r>
            <w:r>
              <w:rPr>
                <w:rFonts w:hint="eastAsia" w:ascii="仿宋" w:hAnsi="仿宋" w:eastAsia="仿宋" w:cs="宋体"/>
                <w:color w:val="000000" w:themeColor="text1"/>
                <w:kern w:val="0"/>
                <w:sz w:val="24"/>
                <w:szCs w:val="24"/>
                <w14:textFill>
                  <w14:solidFill>
                    <w14:schemeClr w14:val="tx1"/>
                  </w14:solidFill>
                </w14:textFill>
              </w:rPr>
              <w:t>技术保障措施（评估方法、标准应用等）</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sz w:val="24"/>
                <w:szCs w:val="24"/>
                <w14:textFill>
                  <w14:solidFill>
                    <w14:schemeClr w14:val="tx1"/>
                  </w14:solidFill>
                </w14:textFill>
              </w:rPr>
              <w:t>②</w:t>
            </w:r>
            <w:r>
              <w:rPr>
                <w:rFonts w:hint="eastAsia" w:ascii="仿宋" w:hAnsi="仿宋" w:eastAsia="仿宋" w:cs="宋体"/>
                <w:color w:val="000000" w:themeColor="text1"/>
                <w:kern w:val="0"/>
                <w:sz w:val="24"/>
                <w:szCs w:val="24"/>
                <w14:textFill>
                  <w14:solidFill>
                    <w14:schemeClr w14:val="tx1"/>
                  </w14:solidFill>
                </w14:textFill>
              </w:rPr>
              <w:t>人员组织保障措施</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③</w:t>
            </w:r>
            <w:r>
              <w:rPr>
                <w:rFonts w:hint="eastAsia" w:ascii="仿宋" w:hAnsi="仿宋" w:eastAsia="仿宋" w:cs="宋体"/>
                <w:color w:val="000000" w:themeColor="text1"/>
                <w:kern w:val="0"/>
                <w:sz w:val="24"/>
                <w:szCs w:val="24"/>
                <w:lang w:val="en-US" w:eastAsia="zh-CN"/>
                <w14:textFill>
                  <w14:solidFill>
                    <w14:schemeClr w14:val="tx1"/>
                  </w14:solidFill>
                </w14:textFill>
              </w:rPr>
              <w:t>有可靠的</w:t>
            </w:r>
            <w:r>
              <w:rPr>
                <w:rFonts w:hint="eastAsia" w:ascii="仿宋" w:hAnsi="仿宋" w:eastAsia="仿宋" w:cs="宋体"/>
                <w:color w:val="000000" w:themeColor="text1"/>
                <w:kern w:val="0"/>
                <w:sz w:val="24"/>
                <w:szCs w:val="24"/>
                <w14:textFill>
                  <w14:solidFill>
                    <w14:schemeClr w14:val="tx1"/>
                  </w14:solidFill>
                </w14:textFill>
              </w:rPr>
              <w:t>进度保障措施</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④</w:t>
            </w:r>
            <w:r>
              <w:rPr>
                <w:rFonts w:hint="eastAsia" w:ascii="仿宋" w:hAnsi="仿宋" w:eastAsia="仿宋" w:cs="宋体"/>
                <w:color w:val="000000" w:themeColor="text1"/>
                <w:kern w:val="0"/>
                <w:sz w:val="24"/>
                <w:szCs w:val="24"/>
                <w:lang w:val="en-US" w:eastAsia="zh-CN"/>
                <w14:textFill>
                  <w14:solidFill>
                    <w14:schemeClr w14:val="tx1"/>
                  </w14:solidFill>
                </w14:textFill>
              </w:rPr>
              <w:t>有完善的</w:t>
            </w:r>
            <w:r>
              <w:rPr>
                <w:rFonts w:hint="eastAsia" w:ascii="仿宋" w:hAnsi="仿宋" w:eastAsia="仿宋" w:cs="宋体"/>
                <w:color w:val="000000" w:themeColor="text1"/>
                <w:kern w:val="0"/>
                <w:sz w:val="24"/>
                <w:szCs w:val="24"/>
                <w14:textFill>
                  <w14:solidFill>
                    <w14:schemeClr w14:val="tx1"/>
                  </w14:solidFill>
                </w14:textFill>
              </w:rPr>
              <w:t>质量保障措施（确保评估全面、准确的控制手段）；⑤</w:t>
            </w:r>
            <w:r>
              <w:rPr>
                <w:rFonts w:hint="eastAsia" w:ascii="仿宋" w:hAnsi="仿宋" w:eastAsia="仿宋" w:cs="宋体"/>
                <w:color w:val="000000" w:themeColor="text1"/>
                <w:kern w:val="0"/>
                <w:sz w:val="24"/>
                <w:szCs w:val="24"/>
                <w:lang w:val="en-US" w:eastAsia="zh-CN"/>
                <w14:textFill>
                  <w14:solidFill>
                    <w14:schemeClr w14:val="tx1"/>
                  </w14:solidFill>
                </w14:textFill>
              </w:rPr>
              <w:t>有对应的</w:t>
            </w:r>
            <w:r>
              <w:rPr>
                <w:rFonts w:hint="eastAsia" w:ascii="仿宋" w:hAnsi="仿宋" w:eastAsia="仿宋" w:cs="宋体"/>
                <w:color w:val="000000" w:themeColor="text1"/>
                <w:kern w:val="0"/>
                <w:sz w:val="24"/>
                <w:szCs w:val="24"/>
                <w14:textFill>
                  <w14:solidFill>
                    <w14:schemeClr w14:val="tx1"/>
                  </w14:solidFill>
                </w14:textFill>
              </w:rPr>
              <w:t>应急处置保障措施（评估过程中的安全预案）</w:t>
            </w:r>
            <w:r>
              <w:rPr>
                <w:rFonts w:hint="eastAsia" w:ascii="仿宋" w:hAnsi="仿宋" w:eastAsia="仿宋" w:cs="宋体"/>
                <w:color w:val="000000" w:themeColor="text1"/>
                <w:kern w:val="0"/>
                <w:sz w:val="24"/>
                <w:szCs w:val="24"/>
                <w:lang w:eastAsia="zh-CN"/>
                <w14:textFill>
                  <w14:solidFill>
                    <w14:schemeClr w14:val="tx1"/>
                  </w14:solidFill>
                </w14:textFill>
              </w:rPr>
              <w:t>。</w:t>
            </w:r>
          </w:p>
          <w:p w14:paraId="57769E46">
            <w:pPr>
              <w:widowControl/>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评审小组根据方案的完整性、合理性及操作性等进行评价，以上①~⑤条方案内容全面、科学合理的每条得</w:t>
            </w:r>
            <w:r>
              <w:rPr>
                <w:rFonts w:hint="eastAsia" w:ascii="仿宋" w:hAnsi="仿宋" w:eastAsia="仿宋" w:cs="宋体"/>
                <w:color w:val="000000" w:themeColor="text1"/>
                <w:kern w:val="0"/>
                <w:sz w:val="24"/>
                <w:szCs w:val="24"/>
                <w:lang w:val="en-US" w:eastAsia="zh-CN"/>
                <w14:textFill>
                  <w14:solidFill>
                    <w14:schemeClr w14:val="tx1"/>
                  </w14:solidFill>
                </w14:textFill>
              </w:rPr>
              <w:t>7</w:t>
            </w:r>
            <w:r>
              <w:rPr>
                <w:rFonts w:hint="eastAsia" w:ascii="仿宋" w:hAnsi="仿宋" w:eastAsia="仿宋" w:cs="宋体"/>
                <w:color w:val="000000" w:themeColor="text1"/>
                <w:kern w:val="0"/>
                <w:sz w:val="24"/>
                <w:szCs w:val="24"/>
                <w14:textFill>
                  <w14:solidFill>
                    <w14:schemeClr w14:val="tx1"/>
                  </w14:solidFill>
                </w14:textFill>
              </w:rPr>
              <w:t>分；方案较完整、能满足基本保障要求的每条得</w:t>
            </w:r>
            <w:r>
              <w:rPr>
                <w:rFonts w:hint="eastAsia" w:ascii="仿宋" w:hAnsi="仿宋" w:eastAsia="仿宋" w:cs="宋体"/>
                <w:color w:val="000000" w:themeColor="text1"/>
                <w:kern w:val="0"/>
                <w:sz w:val="24"/>
                <w:szCs w:val="24"/>
                <w:lang w:val="en-US" w:eastAsia="zh-CN"/>
                <w14:textFill>
                  <w14:solidFill>
                    <w14:schemeClr w14:val="tx1"/>
                  </w14:solidFill>
                </w14:textFill>
              </w:rPr>
              <w:t>3</w:t>
            </w:r>
            <w:r>
              <w:rPr>
                <w:rFonts w:hint="eastAsia" w:ascii="仿宋" w:hAnsi="仿宋" w:eastAsia="仿宋" w:cs="宋体"/>
                <w:color w:val="000000" w:themeColor="text1"/>
                <w:kern w:val="0"/>
                <w:sz w:val="24"/>
                <w:szCs w:val="24"/>
                <w14:textFill>
                  <w14:solidFill>
                    <w14:schemeClr w14:val="tx1"/>
                  </w14:solidFill>
                </w14:textFill>
              </w:rPr>
              <w:t>分；方案有缺失、操作性一般的得</w:t>
            </w:r>
            <w:r>
              <w:rPr>
                <w:rFonts w:hint="eastAsia" w:ascii="仿宋" w:hAnsi="仿宋" w:eastAsia="仿宋" w:cs="宋体"/>
                <w:color w:val="000000" w:themeColor="text1"/>
                <w:kern w:val="0"/>
                <w:sz w:val="24"/>
                <w:szCs w:val="24"/>
                <w:lang w:val="en-US" w:eastAsia="zh-CN"/>
                <w14:textFill>
                  <w14:solidFill>
                    <w14:schemeClr w14:val="tx1"/>
                  </w14:solidFill>
                </w14:textFill>
              </w:rPr>
              <w:t>1</w:t>
            </w:r>
            <w:r>
              <w:rPr>
                <w:rFonts w:hint="eastAsia" w:ascii="仿宋" w:hAnsi="仿宋" w:eastAsia="仿宋" w:cs="宋体"/>
                <w:color w:val="000000" w:themeColor="text1"/>
                <w:kern w:val="0"/>
                <w:sz w:val="24"/>
                <w:szCs w:val="24"/>
                <w14:textFill>
                  <w14:solidFill>
                    <w14:schemeClr w14:val="tx1"/>
                  </w14:solidFill>
                </w14:textFill>
              </w:rPr>
              <w:t>分；其他不得分。</w:t>
            </w:r>
          </w:p>
          <w:p w14:paraId="245502F5">
            <w:pPr>
              <w:jc w:val="left"/>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b/>
                <w:bCs/>
                <w:color w:val="000000" w:themeColor="text1"/>
                <w:kern w:val="0"/>
                <w:sz w:val="24"/>
                <w:szCs w:val="24"/>
                <w14:textFill>
                  <w14:solidFill>
                    <w14:schemeClr w14:val="tx1"/>
                  </w14:solidFill>
                </w14:textFill>
              </w:rPr>
              <w:t>【评审依据】：响应文件中提供项目整体实施方案，未提供不得分。</w:t>
            </w:r>
          </w:p>
        </w:tc>
      </w:tr>
      <w:tr w14:paraId="56C1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tcBorders>
              <w:top w:val="single" w:color="auto" w:sz="4" w:space="0"/>
              <w:left w:val="single" w:color="auto" w:sz="4" w:space="0"/>
              <w:bottom w:val="single" w:color="auto" w:sz="4" w:space="0"/>
              <w:right w:val="single" w:color="auto" w:sz="4" w:space="0"/>
            </w:tcBorders>
            <w:vAlign w:val="center"/>
          </w:tcPr>
          <w:p w14:paraId="77A0010F">
            <w:pPr>
              <w:jc w:val="left"/>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4</w:t>
            </w:r>
          </w:p>
        </w:tc>
        <w:tc>
          <w:tcPr>
            <w:tcW w:w="1308" w:type="dxa"/>
            <w:tcBorders>
              <w:top w:val="single" w:color="auto" w:sz="4" w:space="0"/>
              <w:left w:val="single" w:color="auto" w:sz="4" w:space="0"/>
              <w:bottom w:val="single" w:color="auto" w:sz="4" w:space="0"/>
              <w:right w:val="single" w:color="auto" w:sz="4" w:space="0"/>
            </w:tcBorders>
            <w:vAlign w:val="center"/>
          </w:tcPr>
          <w:p w14:paraId="7BEA3895">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履约能力</w:t>
            </w:r>
          </w:p>
        </w:tc>
        <w:tc>
          <w:tcPr>
            <w:tcW w:w="709" w:type="dxa"/>
            <w:tcBorders>
              <w:top w:val="single" w:color="auto" w:sz="4" w:space="0"/>
              <w:left w:val="single" w:color="auto" w:sz="4" w:space="0"/>
              <w:bottom w:val="single" w:color="auto" w:sz="4" w:space="0"/>
              <w:right w:val="single" w:color="auto" w:sz="4" w:space="0"/>
            </w:tcBorders>
            <w:vAlign w:val="center"/>
          </w:tcPr>
          <w:p w14:paraId="2CA5290D">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15</w:t>
            </w:r>
          </w:p>
        </w:tc>
        <w:tc>
          <w:tcPr>
            <w:tcW w:w="6237" w:type="dxa"/>
            <w:tcBorders>
              <w:top w:val="single" w:color="auto" w:sz="4" w:space="0"/>
              <w:left w:val="single" w:color="auto" w:sz="4" w:space="0"/>
              <w:bottom w:val="single" w:color="auto" w:sz="4" w:space="0"/>
              <w:right w:val="single" w:color="auto" w:sz="4" w:space="0"/>
            </w:tcBorders>
            <w:vAlign w:val="center"/>
          </w:tcPr>
          <w:p w14:paraId="2D31B4F1">
            <w:pPr>
              <w:widowControl/>
              <w:jc w:val="left"/>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供应商提供自2022年1月1日至本项目响应文件递交截止时间止（以合同签订日期为准）承担过的类似消防安全评估服务项目实施案例的，每提供一个有效案例得</w:t>
            </w:r>
            <w:r>
              <w:rPr>
                <w:rFonts w:hint="eastAsia" w:ascii="仿宋" w:hAnsi="仿宋" w:eastAsia="仿宋" w:cs="宋体"/>
                <w:color w:val="000000" w:themeColor="text1"/>
                <w:kern w:val="0"/>
                <w:sz w:val="24"/>
                <w:szCs w:val="24"/>
                <w:lang w:val="en-US" w:eastAsia="zh-CN"/>
                <w14:textFill>
                  <w14:solidFill>
                    <w14:schemeClr w14:val="tx1"/>
                  </w14:solidFill>
                </w14:textFill>
              </w:rPr>
              <w:t>5</w:t>
            </w:r>
            <w:r>
              <w:rPr>
                <w:rFonts w:hint="eastAsia" w:ascii="仿宋" w:hAnsi="仿宋" w:eastAsia="仿宋" w:cs="宋体"/>
                <w:color w:val="000000" w:themeColor="text1"/>
                <w:kern w:val="0"/>
                <w:sz w:val="24"/>
                <w:szCs w:val="24"/>
                <w14:textFill>
                  <w14:solidFill>
                    <w14:schemeClr w14:val="tx1"/>
                  </w14:solidFill>
                </w14:textFill>
              </w:rPr>
              <w:t>分。</w:t>
            </w:r>
            <w:r>
              <w:rPr>
                <w:rFonts w:hint="eastAsia" w:ascii="仿宋" w:hAnsi="仿宋" w:eastAsia="仿宋" w:cs="宋体"/>
                <w:color w:val="000000" w:themeColor="text1"/>
                <w:kern w:val="0"/>
                <w:sz w:val="24"/>
                <w:szCs w:val="24"/>
                <w14:textFill>
                  <w14:solidFill>
                    <w14:schemeClr w14:val="tx1"/>
                  </w14:solidFill>
                </w14:textFill>
              </w:rPr>
              <w:br w:type="textWrapping"/>
            </w:r>
            <w:r>
              <w:rPr>
                <w:rFonts w:hint="eastAsia" w:ascii="仿宋" w:hAnsi="仿宋" w:eastAsia="仿宋" w:cs="宋体"/>
                <w:b/>
                <w:bCs/>
                <w:color w:val="000000" w:themeColor="text1"/>
                <w:kern w:val="0"/>
                <w:sz w:val="24"/>
                <w:szCs w:val="24"/>
                <w14:textFill>
                  <w14:solidFill>
                    <w14:schemeClr w14:val="tx1"/>
                  </w14:solidFill>
                </w14:textFill>
              </w:rPr>
              <w:t>本项满分15分。</w:t>
            </w:r>
            <w:r>
              <w:rPr>
                <w:rFonts w:hint="eastAsia" w:ascii="仿宋" w:hAnsi="仿宋" w:eastAsia="仿宋"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w:t>
            </w:r>
            <w:r>
              <w:rPr>
                <w:rFonts w:hint="eastAsia" w:ascii="仿宋" w:hAnsi="仿宋" w:eastAsia="仿宋" w:cs="宋体"/>
                <w:b/>
                <w:bCs/>
                <w:color w:val="000000" w:themeColor="text1"/>
                <w:kern w:val="0"/>
                <w:sz w:val="24"/>
                <w:szCs w:val="24"/>
                <w14:textFill>
                  <w14:solidFill>
                    <w14:schemeClr w14:val="tx1"/>
                  </w14:solidFill>
                </w14:textFill>
              </w:rPr>
              <w:t>评审依据】：响应文件中提供合同关键页复印件（包括合同首页、服务内容页、金额页、签字盖章页）并加盖供应商公章。</w:t>
            </w:r>
          </w:p>
        </w:tc>
      </w:tr>
      <w:tr w14:paraId="6868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trPr>
        <w:tc>
          <w:tcPr>
            <w:tcW w:w="0" w:type="auto"/>
            <w:tcBorders>
              <w:top w:val="single" w:color="auto" w:sz="4" w:space="0"/>
              <w:left w:val="single" w:color="auto" w:sz="4" w:space="0"/>
              <w:bottom w:val="single" w:color="auto" w:sz="4" w:space="0"/>
              <w:right w:val="single" w:color="auto" w:sz="4" w:space="0"/>
            </w:tcBorders>
            <w:vAlign w:val="center"/>
          </w:tcPr>
          <w:p w14:paraId="6F74880F">
            <w:pPr>
              <w:jc w:val="left"/>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5</w:t>
            </w:r>
          </w:p>
        </w:tc>
        <w:tc>
          <w:tcPr>
            <w:tcW w:w="1308" w:type="dxa"/>
            <w:tcBorders>
              <w:top w:val="single" w:color="auto" w:sz="4" w:space="0"/>
              <w:left w:val="single" w:color="auto" w:sz="4" w:space="0"/>
              <w:bottom w:val="single" w:color="auto" w:sz="4" w:space="0"/>
              <w:right w:val="single" w:color="auto" w:sz="4" w:space="0"/>
            </w:tcBorders>
            <w:vAlign w:val="center"/>
          </w:tcPr>
          <w:p w14:paraId="44AB5CCF">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企业综合实力</w:t>
            </w:r>
          </w:p>
        </w:tc>
        <w:tc>
          <w:tcPr>
            <w:tcW w:w="709" w:type="dxa"/>
            <w:tcBorders>
              <w:top w:val="single" w:color="auto" w:sz="4" w:space="0"/>
              <w:left w:val="single" w:color="auto" w:sz="4" w:space="0"/>
              <w:bottom w:val="single" w:color="auto" w:sz="4" w:space="0"/>
              <w:right w:val="single" w:color="auto" w:sz="4" w:space="0"/>
            </w:tcBorders>
            <w:vAlign w:val="center"/>
          </w:tcPr>
          <w:p w14:paraId="4DD5B1BA">
            <w:pPr>
              <w:jc w:val="center"/>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10</w:t>
            </w:r>
          </w:p>
        </w:tc>
        <w:tc>
          <w:tcPr>
            <w:tcW w:w="6237" w:type="dxa"/>
            <w:tcBorders>
              <w:top w:val="single" w:color="auto" w:sz="4" w:space="0"/>
              <w:left w:val="single" w:color="auto" w:sz="4" w:space="0"/>
              <w:bottom w:val="single" w:color="auto" w:sz="4" w:space="0"/>
              <w:right w:val="single" w:color="auto" w:sz="4" w:space="0"/>
            </w:tcBorders>
            <w:vAlign w:val="center"/>
          </w:tcPr>
          <w:p w14:paraId="56F78895">
            <w:pPr>
              <w:widowControl/>
              <w:jc w:val="left"/>
              <w:rPr>
                <w:rFonts w:hint="eastAsia" w:ascii="仿宋" w:hAnsi="仿宋" w:eastAsia="仿宋" w:cs="宋体"/>
                <w:color w:val="000000" w:themeColor="text1"/>
                <w:kern w:val="2"/>
                <w:sz w:val="24"/>
                <w:szCs w:val="24"/>
                <w:lang w:val="en-US" w:eastAsia="zh-CN"/>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供应商具备消防设施工程专业承包贰级及以上资质得</w:t>
            </w:r>
            <w:r>
              <w:rPr>
                <w:rFonts w:hint="eastAsia" w:ascii="仿宋" w:hAnsi="仿宋" w:eastAsia="仿宋" w:cs="宋体"/>
                <w:color w:val="000000" w:themeColor="text1"/>
                <w:kern w:val="0"/>
                <w:sz w:val="24"/>
                <w:szCs w:val="24"/>
                <w:lang w:val="en-US" w:eastAsia="zh-CN"/>
                <w14:textFill>
                  <w14:solidFill>
                    <w14:schemeClr w14:val="tx1"/>
                  </w14:solidFill>
                </w14:textFill>
              </w:rPr>
              <w:t>10</w:t>
            </w:r>
            <w:r>
              <w:rPr>
                <w:rFonts w:hint="eastAsia" w:ascii="仿宋" w:hAnsi="仿宋" w:eastAsia="仿宋" w:cs="宋体"/>
                <w:color w:val="000000" w:themeColor="text1"/>
                <w:kern w:val="0"/>
                <w:sz w:val="24"/>
                <w:szCs w:val="24"/>
                <w14:textFill>
                  <w14:solidFill>
                    <w14:schemeClr w14:val="tx1"/>
                  </w14:solidFill>
                </w14:textFill>
              </w:rPr>
              <w:t>分</w:t>
            </w:r>
            <w:r>
              <w:rPr>
                <w:rFonts w:hint="eastAsia" w:ascii="仿宋" w:hAnsi="仿宋" w:eastAsia="仿宋" w:cs="宋体"/>
                <w:color w:val="000000" w:themeColor="text1"/>
                <w:kern w:val="0"/>
                <w:sz w:val="24"/>
                <w:szCs w:val="24"/>
                <w:lang w:eastAsia="zh-CN"/>
                <w14:textFill>
                  <w14:solidFill>
                    <w14:schemeClr w14:val="tx1"/>
                  </w14:solidFill>
                </w14:textFill>
              </w:rPr>
              <w:t>。</w:t>
            </w:r>
          </w:p>
          <w:p w14:paraId="5DFBD57F">
            <w:pPr>
              <w:widowControl/>
              <w:jc w:val="left"/>
              <w:rPr>
                <w:rFonts w:ascii="仿宋" w:hAnsi="仿宋" w:eastAsia="仿宋" w:cs="宋体"/>
                <w:color w:val="000000" w:themeColor="text1"/>
                <w:kern w:val="2"/>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【评审依据】：响应文件中提供有效的证书扫描件并加盖公章。</w:t>
            </w:r>
          </w:p>
        </w:tc>
      </w:tr>
    </w:tbl>
    <w:p w14:paraId="1C2322E2"/>
    <w:p w14:paraId="2CE8C035"/>
    <w:p w14:paraId="450018AE"/>
    <w:p w14:paraId="212C9FCD"/>
    <w:p w14:paraId="5077E8E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lang w:val="en-US" w:eastAsia="zh-CN"/>
        </w:rPr>
        <w:t>1.</w:t>
      </w:r>
      <w:r>
        <w:rPr>
          <w:rFonts w:hint="eastAsia" w:ascii="仿宋" w:hAnsi="仿宋" w:eastAsia="仿宋" w:cs="Times New Roman"/>
          <w:kern w:val="2"/>
        </w:rPr>
        <w:t>询比响应声明：见附件1</w:t>
      </w:r>
    </w:p>
    <w:p w14:paraId="2E83347C">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lang w:val="en-US" w:eastAsia="zh-CN"/>
        </w:rPr>
        <w:t>2.</w:t>
      </w:r>
      <w:r>
        <w:rPr>
          <w:rFonts w:hint="eastAsia" w:ascii="仿宋" w:hAnsi="仿宋" w:eastAsia="仿宋" w:cs="Times New Roman"/>
          <w:kern w:val="2"/>
        </w:rPr>
        <w:t>供应商认为需要提供的资料（请根据评审因素和标准自行提供资料）</w:t>
      </w:r>
    </w:p>
    <w:p w14:paraId="18F19F73">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lang w:val="en-US" w:eastAsia="zh-CN"/>
        </w:rPr>
        <w:t>3.</w:t>
      </w:r>
      <w:r>
        <w:rPr>
          <w:rFonts w:hint="eastAsia" w:ascii="仿宋" w:hAnsi="仿宋" w:eastAsia="仿宋" w:cs="Times New Roman"/>
          <w:kern w:val="2"/>
        </w:rPr>
        <w:t>报价函：见附件2</w:t>
      </w:r>
    </w:p>
    <w:p w14:paraId="083C3535"/>
    <w:p w14:paraId="26A326CD">
      <w:pPr>
        <w:pStyle w:val="16"/>
        <w:ind w:left="0" w:leftChars="0" w:firstLine="0"/>
      </w:pPr>
    </w:p>
    <w:p w14:paraId="4DFEE8F5">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w:t>
      </w:r>
      <w:r>
        <w:rPr>
          <w:rFonts w:hint="eastAsia" w:ascii="仿宋" w:hAnsi="仿宋" w:eastAsia="仿宋" w:cs="Times New Roman"/>
          <w:kern w:val="2"/>
          <w:lang w:val="en-US" w:eastAsia="zh-CN"/>
        </w:rPr>
        <w:t>.</w:t>
      </w:r>
      <w:r>
        <w:rPr>
          <w:rFonts w:hint="eastAsia" w:ascii="仿宋" w:hAnsi="仿宋" w:eastAsia="仿宋" w:cs="Times New Roman"/>
          <w:kern w:val="2"/>
        </w:rPr>
        <w:t>响应文件应密封包装，加贴封条；</w:t>
      </w:r>
    </w:p>
    <w:p w14:paraId="57EF916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w:t>
      </w:r>
      <w:r>
        <w:rPr>
          <w:rFonts w:hint="eastAsia" w:ascii="仿宋" w:hAnsi="仿宋" w:eastAsia="仿宋" w:cs="Times New Roman"/>
          <w:kern w:val="2"/>
          <w:lang w:val="en-US" w:eastAsia="zh-CN"/>
        </w:rPr>
        <w:t>.</w:t>
      </w:r>
      <w:r>
        <w:rPr>
          <w:rFonts w:hint="eastAsia" w:ascii="仿宋" w:hAnsi="仿宋" w:eastAsia="仿宋" w:cs="Times New Roman"/>
          <w:kern w:val="2"/>
        </w:rPr>
        <w:t>响应文件正本壹份、副本贰份，并装订；</w:t>
      </w:r>
    </w:p>
    <w:p w14:paraId="078107D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w:t>
      </w:r>
      <w:r>
        <w:rPr>
          <w:rFonts w:hint="eastAsia" w:ascii="仿宋" w:hAnsi="仿宋" w:eastAsia="仿宋" w:cs="Times New Roman"/>
          <w:kern w:val="2"/>
          <w:lang w:val="en-US" w:eastAsia="zh-CN"/>
        </w:rPr>
        <w:t>.</w:t>
      </w:r>
      <w:r>
        <w:rPr>
          <w:rFonts w:hint="eastAsia" w:ascii="仿宋" w:hAnsi="仿宋" w:eastAsia="仿宋" w:cs="Times New Roman"/>
          <w:kern w:val="2"/>
        </w:rPr>
        <w:t>响应文件正本和副本应按要求签章处盖单位章和由法定代表人或其委托代理人签字；任何加行、涂改、增删，应有法定代表人或其委托代理人在旁边签字。否则，将导致响应文件无效。</w:t>
      </w:r>
    </w:p>
    <w:p w14:paraId="6A33CA1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w:t>
      </w:r>
      <w:r>
        <w:rPr>
          <w:rFonts w:hint="eastAsia" w:ascii="仿宋" w:hAnsi="仿宋" w:eastAsia="仿宋" w:cs="Times New Roman"/>
          <w:kern w:val="2"/>
          <w:lang w:val="en-US" w:eastAsia="zh-CN"/>
        </w:rPr>
        <w:t>.</w:t>
      </w:r>
      <w:r>
        <w:rPr>
          <w:rFonts w:hint="eastAsia" w:ascii="仿宋" w:hAnsi="仿宋" w:eastAsia="仿宋" w:cs="Times New Roman"/>
          <w:kern w:val="2"/>
        </w:rPr>
        <w:t>报价不得超过采购预算价格，否则为无效投标。</w:t>
      </w:r>
    </w:p>
    <w:p w14:paraId="5FC3736A">
      <w:pPr>
        <w:pStyle w:val="9"/>
        <w:adjustRightInd w:val="0"/>
        <w:snapToGrid w:val="0"/>
        <w:spacing w:line="360" w:lineRule="auto"/>
        <w:rPr>
          <w:rFonts w:hint="eastAsia" w:ascii="仿宋_GB2312" w:hAnsi="宋体" w:eastAsia="仿宋_GB2312"/>
          <w:b/>
        </w:rPr>
      </w:pPr>
    </w:p>
    <w:p w14:paraId="495F3925">
      <w:pPr>
        <w:pStyle w:val="9"/>
        <w:adjustRightInd w:val="0"/>
        <w:snapToGrid w:val="0"/>
        <w:spacing w:line="360" w:lineRule="auto"/>
        <w:rPr>
          <w:rFonts w:hint="eastAsia" w:ascii="仿宋_GB2312" w:hAnsi="宋体" w:eastAsia="仿宋_GB2312"/>
          <w:b/>
        </w:rPr>
      </w:pPr>
    </w:p>
    <w:p w14:paraId="002BFB56">
      <w:pPr>
        <w:pStyle w:val="9"/>
        <w:adjustRightInd w:val="0"/>
        <w:snapToGrid w:val="0"/>
        <w:spacing w:line="360" w:lineRule="auto"/>
        <w:rPr>
          <w:rFonts w:hint="eastAsia" w:ascii="仿宋_GB2312" w:hAnsi="宋体" w:eastAsia="仿宋_GB2312"/>
          <w:b/>
        </w:rPr>
      </w:pPr>
    </w:p>
    <w:p w14:paraId="3BA2FD4C">
      <w:pPr>
        <w:pStyle w:val="9"/>
        <w:adjustRightInd w:val="0"/>
        <w:snapToGrid w:val="0"/>
        <w:spacing w:line="360" w:lineRule="auto"/>
        <w:rPr>
          <w:rFonts w:hint="eastAsia" w:ascii="仿宋_GB2312" w:hAnsi="宋体" w:eastAsia="仿宋_GB2312"/>
          <w:b/>
        </w:rPr>
      </w:pPr>
    </w:p>
    <w:p w14:paraId="5C02B142">
      <w:pPr>
        <w:pStyle w:val="9"/>
        <w:adjustRightInd w:val="0"/>
        <w:snapToGrid w:val="0"/>
        <w:spacing w:line="360" w:lineRule="auto"/>
        <w:rPr>
          <w:rFonts w:hint="eastAsia" w:ascii="仿宋_GB2312" w:hAnsi="宋体" w:eastAsia="仿宋_GB2312"/>
          <w:b/>
        </w:rPr>
      </w:pPr>
    </w:p>
    <w:p w14:paraId="625771E2">
      <w:pPr>
        <w:pStyle w:val="9"/>
        <w:adjustRightInd w:val="0"/>
        <w:snapToGrid w:val="0"/>
        <w:spacing w:line="360" w:lineRule="auto"/>
        <w:rPr>
          <w:rFonts w:hint="eastAsia" w:ascii="仿宋_GB2312" w:hAnsi="宋体" w:eastAsia="仿宋_GB2312"/>
          <w:b/>
        </w:rPr>
      </w:pPr>
    </w:p>
    <w:p w14:paraId="28CF5BCA">
      <w:pPr>
        <w:pStyle w:val="9"/>
        <w:adjustRightInd w:val="0"/>
        <w:snapToGrid w:val="0"/>
        <w:spacing w:line="360" w:lineRule="auto"/>
        <w:rPr>
          <w:rFonts w:hint="eastAsia" w:ascii="仿宋_GB2312" w:hAnsi="宋体" w:eastAsia="仿宋_GB2312"/>
          <w:b/>
        </w:rPr>
      </w:pPr>
    </w:p>
    <w:p w14:paraId="28CD65B6">
      <w:pPr>
        <w:pStyle w:val="9"/>
        <w:adjustRightInd w:val="0"/>
        <w:snapToGrid w:val="0"/>
        <w:spacing w:line="360" w:lineRule="auto"/>
        <w:rPr>
          <w:rFonts w:hint="eastAsia" w:ascii="仿宋_GB2312" w:hAnsi="宋体" w:eastAsia="仿宋_GB2312"/>
          <w:b/>
        </w:rPr>
      </w:pPr>
    </w:p>
    <w:p w14:paraId="3D08D749">
      <w:pPr>
        <w:pStyle w:val="9"/>
        <w:adjustRightInd w:val="0"/>
        <w:snapToGrid w:val="0"/>
        <w:spacing w:line="360" w:lineRule="auto"/>
        <w:rPr>
          <w:rFonts w:hint="eastAsia" w:ascii="仿宋_GB2312" w:hAnsi="宋体" w:eastAsia="仿宋_GB2312"/>
          <w:b/>
        </w:rPr>
      </w:pPr>
    </w:p>
    <w:p w14:paraId="33EE1F5B">
      <w:pPr>
        <w:pStyle w:val="9"/>
        <w:adjustRightInd w:val="0"/>
        <w:snapToGrid w:val="0"/>
        <w:spacing w:line="360" w:lineRule="auto"/>
        <w:rPr>
          <w:rFonts w:hint="eastAsia" w:ascii="仿宋_GB2312" w:hAnsi="宋体" w:eastAsia="仿宋_GB2312"/>
          <w:b/>
        </w:rPr>
      </w:pPr>
    </w:p>
    <w:p w14:paraId="498FE0FE">
      <w:pPr>
        <w:pStyle w:val="9"/>
        <w:adjustRightInd w:val="0"/>
        <w:snapToGrid w:val="0"/>
        <w:spacing w:line="360" w:lineRule="auto"/>
        <w:rPr>
          <w:rFonts w:hint="eastAsia" w:ascii="仿宋_GB2312" w:hAnsi="宋体" w:eastAsia="仿宋_GB2312"/>
          <w:b/>
        </w:rPr>
      </w:pPr>
    </w:p>
    <w:p w14:paraId="78E04F54">
      <w:pPr>
        <w:pStyle w:val="9"/>
        <w:adjustRightInd w:val="0"/>
        <w:snapToGrid w:val="0"/>
        <w:spacing w:line="360" w:lineRule="auto"/>
        <w:rPr>
          <w:rFonts w:hint="eastAsia" w:ascii="仿宋_GB2312" w:hAnsi="宋体" w:eastAsia="仿宋_GB2312"/>
          <w:b/>
        </w:rPr>
      </w:pPr>
    </w:p>
    <w:p w14:paraId="6BA60C6A">
      <w:pPr>
        <w:pStyle w:val="9"/>
        <w:adjustRightInd w:val="0"/>
        <w:snapToGrid w:val="0"/>
        <w:spacing w:line="360" w:lineRule="auto"/>
        <w:rPr>
          <w:rFonts w:hint="eastAsia" w:ascii="仿宋_GB2312" w:hAnsi="宋体" w:eastAsia="仿宋_GB2312"/>
          <w:b/>
        </w:rPr>
      </w:pPr>
    </w:p>
    <w:p w14:paraId="2CCC1DC8">
      <w:pPr>
        <w:pStyle w:val="9"/>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w:t>
      </w:r>
      <w:r>
        <w:rPr>
          <w:rFonts w:hint="eastAsia" w:ascii="仿宋" w:hAnsi="仿宋" w:eastAsia="仿宋"/>
          <w:sz w:val="24"/>
          <w:szCs w:val="24"/>
          <w:lang w:eastAsia="zh-CN"/>
        </w:rPr>
        <w:t>，</w:t>
      </w:r>
      <w:r>
        <w:rPr>
          <w:rFonts w:hint="eastAsia" w:ascii="仿宋" w:hAnsi="仿宋" w:eastAsia="仿宋"/>
          <w:sz w:val="24"/>
          <w:szCs w:val="24"/>
        </w:rPr>
        <w:t>且在此期限期满之前均具有法律约束力。</w:t>
      </w:r>
    </w:p>
    <w:p w14:paraId="7F4328C6">
      <w:pPr>
        <w:pStyle w:val="9"/>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9"/>
        <w:adjustRightInd w:val="0"/>
        <w:snapToGrid w:val="0"/>
        <w:spacing w:line="360" w:lineRule="auto"/>
        <w:rPr>
          <w:rFonts w:hint="eastAsia" w:ascii="仿宋" w:hAnsi="仿宋" w:eastAsia="仿宋"/>
          <w:sz w:val="24"/>
          <w:szCs w:val="24"/>
        </w:rPr>
      </w:pPr>
    </w:p>
    <w:p w14:paraId="5B8CF27D">
      <w:pPr>
        <w:pStyle w:val="9"/>
        <w:adjustRightInd w:val="0"/>
        <w:snapToGrid w:val="0"/>
        <w:spacing w:line="360" w:lineRule="auto"/>
        <w:rPr>
          <w:rFonts w:hint="eastAsia" w:ascii="仿宋" w:hAnsi="仿宋" w:eastAsia="仿宋"/>
          <w:sz w:val="24"/>
          <w:szCs w:val="24"/>
        </w:rPr>
      </w:pPr>
    </w:p>
    <w:p w14:paraId="0E155071">
      <w:pPr>
        <w:pStyle w:val="9"/>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6"/>
      </w:pPr>
    </w:p>
    <w:p w14:paraId="10CB8852"/>
    <w:p w14:paraId="7F870902"/>
    <w:p w14:paraId="78DBABB8">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non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人民币</w:t>
      </w:r>
      <w:r>
        <w:rPr>
          <w:rFonts w:hint="eastAsia" w:ascii="仿宋" w:hAnsi="仿宋" w:eastAsia="仿宋" w:cs="宋体"/>
          <w:sz w:val="24"/>
          <w:szCs w:val="24"/>
          <w:u w:val="single"/>
          <w:lang w:val="en-US" w:eastAsia="zh-CN"/>
        </w:rPr>
        <w:t xml:space="preserve">       </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6"/>
        <w:rPr>
          <w:rFonts w:hint="eastAsia" w:ascii="仿宋" w:hAnsi="仿宋" w:eastAsia="仿宋"/>
        </w:rPr>
      </w:pPr>
    </w:p>
    <w:p w14:paraId="5550980C">
      <w:pPr>
        <w:pStyle w:val="16"/>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0"/>
      </w:rPr>
    </w:pPr>
    <w:r>
      <w:fldChar w:fldCharType="begin"/>
    </w:r>
    <w:r>
      <w:rPr>
        <w:rStyle w:val="20"/>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64102F"/>
    <w:rsid w:val="05997E8B"/>
    <w:rsid w:val="066D3445"/>
    <w:rsid w:val="08964B56"/>
    <w:rsid w:val="08C83CB5"/>
    <w:rsid w:val="097D7547"/>
    <w:rsid w:val="09902C2B"/>
    <w:rsid w:val="0A9926DB"/>
    <w:rsid w:val="0C3721EC"/>
    <w:rsid w:val="0CEC11E8"/>
    <w:rsid w:val="0CFD51A3"/>
    <w:rsid w:val="0D7A240F"/>
    <w:rsid w:val="0D892EDB"/>
    <w:rsid w:val="0FB06655"/>
    <w:rsid w:val="10912321"/>
    <w:rsid w:val="10C81F6C"/>
    <w:rsid w:val="11BE5B42"/>
    <w:rsid w:val="13A26E3E"/>
    <w:rsid w:val="13AE369B"/>
    <w:rsid w:val="144F1BCA"/>
    <w:rsid w:val="14FD6A90"/>
    <w:rsid w:val="15455939"/>
    <w:rsid w:val="15B12877"/>
    <w:rsid w:val="16D36F75"/>
    <w:rsid w:val="16EC6AFB"/>
    <w:rsid w:val="16FC64CC"/>
    <w:rsid w:val="1706734A"/>
    <w:rsid w:val="172E31C9"/>
    <w:rsid w:val="17C3509D"/>
    <w:rsid w:val="18F56163"/>
    <w:rsid w:val="19E54DD6"/>
    <w:rsid w:val="1A07140F"/>
    <w:rsid w:val="1A7D2861"/>
    <w:rsid w:val="1B451A26"/>
    <w:rsid w:val="1BB90E2F"/>
    <w:rsid w:val="1D444728"/>
    <w:rsid w:val="1E4F7829"/>
    <w:rsid w:val="1F9951FF"/>
    <w:rsid w:val="201D3E7D"/>
    <w:rsid w:val="202D76F6"/>
    <w:rsid w:val="20746BB2"/>
    <w:rsid w:val="21E64000"/>
    <w:rsid w:val="22FB1D2D"/>
    <w:rsid w:val="22FD4E56"/>
    <w:rsid w:val="233C2C66"/>
    <w:rsid w:val="23E9602A"/>
    <w:rsid w:val="242B03F0"/>
    <w:rsid w:val="24C47BA9"/>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AEC66D3"/>
    <w:rsid w:val="3B3140E6"/>
    <w:rsid w:val="3B8763FC"/>
    <w:rsid w:val="3C0E61D6"/>
    <w:rsid w:val="3D912B45"/>
    <w:rsid w:val="3DC92B7D"/>
    <w:rsid w:val="3E7013C9"/>
    <w:rsid w:val="3F2D1069"/>
    <w:rsid w:val="404D79B1"/>
    <w:rsid w:val="40CF23D7"/>
    <w:rsid w:val="411058C0"/>
    <w:rsid w:val="413277CA"/>
    <w:rsid w:val="41A31919"/>
    <w:rsid w:val="42507548"/>
    <w:rsid w:val="43E275B5"/>
    <w:rsid w:val="457F75CA"/>
    <w:rsid w:val="471A6376"/>
    <w:rsid w:val="495E1E55"/>
    <w:rsid w:val="4A6C57DD"/>
    <w:rsid w:val="4A842484"/>
    <w:rsid w:val="4ACE4B79"/>
    <w:rsid w:val="4ADA413D"/>
    <w:rsid w:val="4BAA4B69"/>
    <w:rsid w:val="4C811ECE"/>
    <w:rsid w:val="4C8E75EA"/>
    <w:rsid w:val="4CD64AED"/>
    <w:rsid w:val="4DEA6AA2"/>
    <w:rsid w:val="4DF74D1B"/>
    <w:rsid w:val="4F813FFB"/>
    <w:rsid w:val="505E5526"/>
    <w:rsid w:val="50C025FA"/>
    <w:rsid w:val="512734AB"/>
    <w:rsid w:val="51CA3B38"/>
    <w:rsid w:val="52CA2732"/>
    <w:rsid w:val="53425821"/>
    <w:rsid w:val="543D7D43"/>
    <w:rsid w:val="54413194"/>
    <w:rsid w:val="554E608A"/>
    <w:rsid w:val="55F54DE4"/>
    <w:rsid w:val="56D36709"/>
    <w:rsid w:val="56EB5013"/>
    <w:rsid w:val="57A557E8"/>
    <w:rsid w:val="57DD4F82"/>
    <w:rsid w:val="59337A15"/>
    <w:rsid w:val="5A865DA5"/>
    <w:rsid w:val="5B3B1FAA"/>
    <w:rsid w:val="5BB16510"/>
    <w:rsid w:val="5BEE021E"/>
    <w:rsid w:val="5BF22FC6"/>
    <w:rsid w:val="5CF8252C"/>
    <w:rsid w:val="5D0631CD"/>
    <w:rsid w:val="5D215911"/>
    <w:rsid w:val="5DBF70F0"/>
    <w:rsid w:val="5DF23B2E"/>
    <w:rsid w:val="5E7C394C"/>
    <w:rsid w:val="5F4578E7"/>
    <w:rsid w:val="5F4E26F5"/>
    <w:rsid w:val="60511ABB"/>
    <w:rsid w:val="62173015"/>
    <w:rsid w:val="6228716A"/>
    <w:rsid w:val="62652744"/>
    <w:rsid w:val="62B45479"/>
    <w:rsid w:val="63A20CFF"/>
    <w:rsid w:val="63F83144"/>
    <w:rsid w:val="64AD2180"/>
    <w:rsid w:val="65444892"/>
    <w:rsid w:val="659E3545"/>
    <w:rsid w:val="66DC6D4D"/>
    <w:rsid w:val="68B735CD"/>
    <w:rsid w:val="6A0B6262"/>
    <w:rsid w:val="6A400653"/>
    <w:rsid w:val="6A7F45BF"/>
    <w:rsid w:val="6B5A68F5"/>
    <w:rsid w:val="6BBF5D79"/>
    <w:rsid w:val="6BC9041D"/>
    <w:rsid w:val="6DAB7F02"/>
    <w:rsid w:val="6EFE3F1B"/>
    <w:rsid w:val="719E17CE"/>
    <w:rsid w:val="71CD20B4"/>
    <w:rsid w:val="72567DE8"/>
    <w:rsid w:val="72C16AF2"/>
    <w:rsid w:val="72FA6ED8"/>
    <w:rsid w:val="73A76E7D"/>
    <w:rsid w:val="74A23383"/>
    <w:rsid w:val="75730384"/>
    <w:rsid w:val="766B5405"/>
    <w:rsid w:val="78401AE9"/>
    <w:rsid w:val="7B4E5EDA"/>
    <w:rsid w:val="7BB07C76"/>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semiHidden/>
    <w:unhideWhenUsed/>
    <w:qFormat/>
    <w:uiPriority w:val="99"/>
    <w:rPr>
      <w:rFonts w:ascii="宋体"/>
      <w:sz w:val="18"/>
      <w:szCs w:val="18"/>
    </w:rPr>
  </w:style>
  <w:style w:type="paragraph" w:styleId="7">
    <w:name w:val="Body Text"/>
    <w:basedOn w:val="1"/>
    <w:next w:val="1"/>
    <w:link w:val="35"/>
    <w:qFormat/>
    <w:uiPriority w:val="0"/>
    <w:pPr>
      <w:spacing w:after="120"/>
    </w:pPr>
    <w:rPr>
      <w:rFonts w:ascii="Times New Roman" w:hAnsi="Times New Roman"/>
      <w:szCs w:val="24"/>
    </w:rPr>
  </w:style>
  <w:style w:type="paragraph" w:styleId="8">
    <w:name w:val="Body Text Indent"/>
    <w:basedOn w:val="1"/>
    <w:unhideWhenUsed/>
    <w:qFormat/>
    <w:uiPriority w:val="99"/>
    <w:pPr>
      <w:spacing w:after="120"/>
      <w:ind w:left="420" w:leftChars="200"/>
    </w:pPr>
  </w:style>
  <w:style w:type="paragraph" w:styleId="9">
    <w:name w:val="Plain Text"/>
    <w:basedOn w:val="1"/>
    <w:link w:val="28"/>
    <w:qFormat/>
    <w:uiPriority w:val="0"/>
    <w:rPr>
      <w:rFonts w:ascii="宋体" w:hAnsi="Courier New"/>
      <w:kern w:val="0"/>
      <w:szCs w:val="20"/>
    </w:rPr>
  </w:style>
  <w:style w:type="paragraph" w:styleId="10">
    <w:name w:val="Date"/>
    <w:basedOn w:val="1"/>
    <w:next w:val="1"/>
    <w:link w:val="25"/>
    <w:semiHidden/>
    <w:unhideWhenUsed/>
    <w:qFormat/>
    <w:uiPriority w:val="99"/>
    <w:pPr>
      <w:ind w:left="100" w:leftChars="2500"/>
    </w:pPr>
  </w:style>
  <w:style w:type="paragraph" w:styleId="11">
    <w:name w:val="Body Text Indent 2"/>
    <w:basedOn w:val="1"/>
    <w:link w:val="39"/>
    <w:qFormat/>
    <w:uiPriority w:val="99"/>
    <w:pPr>
      <w:spacing w:after="120" w:line="480" w:lineRule="auto"/>
      <w:ind w:left="420" w:leftChars="200"/>
    </w:pPr>
    <w:rPr>
      <w:kern w:val="0"/>
      <w:sz w:val="24"/>
    </w:r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3"/>
    <w:qFormat/>
    <w:uiPriority w:val="0"/>
    <w:rPr>
      <w:rFonts w:ascii="Calibri" w:hAnsi="Calibri" w:eastAsia="宋体" w:cs="Times New Roman"/>
      <w:sz w:val="18"/>
      <w:szCs w:val="18"/>
    </w:rPr>
  </w:style>
  <w:style w:type="character" w:customStyle="1" w:styleId="22">
    <w:name w:val="页脚 字符"/>
    <w:basedOn w:val="19"/>
    <w:link w:val="12"/>
    <w:qFormat/>
    <w:uiPriority w:val="99"/>
    <w:rPr>
      <w:rFonts w:ascii="Calibri" w:hAnsi="Calibri" w:eastAsia="宋体" w:cs="Times New Roman"/>
      <w:sz w:val="18"/>
      <w:szCs w:val="18"/>
    </w:rPr>
  </w:style>
  <w:style w:type="character" w:customStyle="1" w:styleId="23">
    <w:name w:val="文档结构图 字符"/>
    <w:basedOn w:val="19"/>
    <w:link w:val="6"/>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0"/>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2"/>
    <w:qFormat/>
    <w:uiPriority w:val="0"/>
    <w:rPr>
      <w:rFonts w:ascii="Cambria" w:hAnsi="Cambria" w:eastAsia="华文中宋" w:cs="Times New Roman"/>
      <w:b/>
      <w:bCs/>
      <w:sz w:val="44"/>
      <w:szCs w:val="28"/>
    </w:rPr>
  </w:style>
  <w:style w:type="character" w:customStyle="1" w:styleId="28">
    <w:name w:val="纯文本 字符"/>
    <w:link w:val="9"/>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5">
    <w:name w:val="正文文本 字符"/>
    <w:basedOn w:val="19"/>
    <w:link w:val="7"/>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11"/>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3735</Words>
  <Characters>3966</Characters>
  <Lines>31</Lines>
  <Paragraphs>9</Paragraphs>
  <TotalTime>7</TotalTime>
  <ScaleCrop>false</ScaleCrop>
  <LinksUpToDate>false</LinksUpToDate>
  <CharactersWithSpaces>4312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2025-11-14T02:44:32Z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4B9C30BF5A314CB1BE66389E2365479E_13</vt:lpwstr>
  </property>
  <property fmtid="{D5CDD505-2E9C-101B-9397-08002B2CF9AE}" pid="4" name="KSOTemplateDocerSaveRecord">
    <vt:lpwstr>eyJoZGlkIjoiNjExNjA1MzY4NDcxNDhlNGIwYWUzMzQ5YTk5ZTk5ZTUiLCJ1c2VySWQiOiI0OTQ3NjU2MzMifQ==</vt:lpwstr>
  </property>
</Properties>
</file>