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0"/>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lang w:val="en-US" w:eastAsia="zh-CN"/>
        </w:rPr>
        <w:t xml:space="preserve">“匠满三湘”职工职业技能认定班 </w:t>
      </w:r>
      <w:r>
        <w:rPr>
          <w:rFonts w:hint="default" w:ascii="黑体" w:hAnsi="黑体" w:eastAsia="黑体"/>
          <w:kern w:val="0"/>
          <w:sz w:val="32"/>
          <w:szCs w:val="32"/>
          <w:lang w:val="en-US" w:eastAsia="zh-CN"/>
        </w:rPr>
        <w:t>（电子设备装接工专场）</w:t>
      </w:r>
      <w:r>
        <w:rPr>
          <w:rFonts w:hint="eastAsia" w:ascii="黑体" w:hAnsi="黑体" w:eastAsia="黑体"/>
          <w:kern w:val="0"/>
          <w:sz w:val="32"/>
          <w:szCs w:val="32"/>
          <w:lang w:val="en-US" w:eastAsia="zh-CN"/>
        </w:rPr>
        <w:t>培训</w:t>
      </w:r>
      <w:r>
        <w:rPr>
          <w:rFonts w:hint="eastAsia" w:ascii="黑体" w:hAnsi="黑体" w:eastAsia="黑体"/>
          <w:kern w:val="0"/>
          <w:sz w:val="32"/>
          <w:szCs w:val="32"/>
        </w:rPr>
        <w:t>酒店食宿及会场</w:t>
      </w:r>
      <w:r>
        <w:rPr>
          <w:rFonts w:hint="eastAsia" w:ascii="黑体" w:hAnsi="黑体" w:eastAsia="黑体"/>
          <w:kern w:val="0"/>
          <w:sz w:val="32"/>
          <w:szCs w:val="32"/>
          <w:lang w:val="en-US" w:eastAsia="zh-CN"/>
        </w:rPr>
        <w:t>租赁</w:t>
      </w:r>
      <w:r>
        <w:rPr>
          <w:rFonts w:hint="eastAsia" w:ascii="黑体" w:hAnsi="黑体" w:eastAsia="黑体"/>
          <w:kern w:val="0"/>
          <w:sz w:val="32"/>
          <w:szCs w:val="32"/>
        </w:rPr>
        <w:t>服务项目</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5A6E2449">
      <w:pPr>
        <w:pStyle w:val="10"/>
        <w:adjustRightInd w:val="0"/>
        <w:snapToGrid w:val="0"/>
        <w:spacing w:before="156" w:beforeLines="50" w:after="156" w:afterLines="5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七</w:t>
      </w:r>
      <w:r>
        <w:rPr>
          <w:rFonts w:ascii="黑体" w:hAnsi="黑体" w:eastAsia="黑体"/>
          <w:sz w:val="32"/>
          <w:szCs w:val="32"/>
        </w:rPr>
        <w:t>月</w:t>
      </w:r>
    </w:p>
    <w:p w14:paraId="7B9246B4">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湖南铁道职业技术学院</w:t>
      </w:r>
    </w:p>
    <w:p w14:paraId="5842F0E7">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lang w:val="en-US" w:eastAsia="zh-CN"/>
        </w:rPr>
        <w:t xml:space="preserve">“匠满三湘”职工职业技能认定班 </w:t>
      </w:r>
      <w:r>
        <w:rPr>
          <w:rFonts w:hint="default" w:ascii="黑体" w:hAnsi="黑体" w:eastAsia="黑体" w:cs="Times New Roman"/>
          <w:b/>
          <w:sz w:val="36"/>
          <w:szCs w:val="36"/>
          <w:lang w:val="en-US" w:eastAsia="zh-CN"/>
        </w:rPr>
        <w:t>（电子设备装接工专场）</w:t>
      </w:r>
      <w:r>
        <w:rPr>
          <w:rFonts w:hint="eastAsia" w:ascii="黑体" w:hAnsi="黑体" w:eastAsia="黑体" w:cs="Times New Roman"/>
          <w:b/>
          <w:sz w:val="36"/>
          <w:szCs w:val="36"/>
          <w:lang w:val="en-US" w:eastAsia="zh-CN"/>
        </w:rPr>
        <w:t>培训</w:t>
      </w:r>
      <w:r>
        <w:rPr>
          <w:rFonts w:hint="eastAsia" w:ascii="黑体" w:hAnsi="黑体" w:eastAsia="黑体" w:cs="Times New Roman"/>
          <w:b/>
          <w:sz w:val="36"/>
          <w:szCs w:val="36"/>
        </w:rPr>
        <w:t>酒店食宿及会场</w:t>
      </w:r>
      <w:r>
        <w:rPr>
          <w:rFonts w:hint="eastAsia" w:ascii="黑体" w:hAnsi="黑体" w:eastAsia="黑体" w:cs="Times New Roman"/>
          <w:b/>
          <w:sz w:val="36"/>
          <w:szCs w:val="36"/>
          <w:lang w:val="en-US" w:eastAsia="zh-CN"/>
        </w:rPr>
        <w:t>租赁</w:t>
      </w:r>
      <w:r>
        <w:rPr>
          <w:rFonts w:hint="eastAsia" w:ascii="黑体" w:hAnsi="黑体" w:eastAsia="黑体" w:cs="Times New Roman"/>
          <w:b/>
          <w:sz w:val="36"/>
          <w:szCs w:val="36"/>
        </w:rPr>
        <w:t>服务项目</w:t>
      </w:r>
    </w:p>
    <w:p w14:paraId="6EAB8857">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询比采购公告</w:t>
      </w:r>
    </w:p>
    <w:p w14:paraId="7CF0BBEE">
      <w:pPr>
        <w:pStyle w:val="16"/>
        <w:snapToGrid w:val="0"/>
        <w:spacing w:before="0" w:beforeAutospacing="0" w:after="0" w:line="360" w:lineRule="auto"/>
        <w:ind w:left="0" w:leftChars="0" w:firstLine="480" w:firstLineChars="200"/>
        <w:jc w:val="left"/>
        <w:rPr>
          <w:rFonts w:ascii="仿宋" w:hAnsi="仿宋" w:eastAsia="仿宋"/>
          <w:sz w:val="24"/>
          <w:szCs w:val="24"/>
        </w:rPr>
      </w:pPr>
    </w:p>
    <w:p w14:paraId="0FA957A0">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lang w:val="en-US" w:eastAsia="zh-CN"/>
        </w:rPr>
        <w:t>“匠满三湘”职工职业技能认定班</w:t>
      </w:r>
      <w:r>
        <w:rPr>
          <w:rFonts w:hint="default" w:ascii="仿宋" w:hAnsi="仿宋" w:eastAsia="仿宋"/>
          <w:sz w:val="24"/>
          <w:szCs w:val="24"/>
          <w:lang w:val="en-US" w:eastAsia="zh-CN"/>
        </w:rPr>
        <w:t>（电子设备装接工专场）</w:t>
      </w:r>
      <w:r>
        <w:rPr>
          <w:rFonts w:hint="eastAsia" w:ascii="仿宋" w:hAnsi="仿宋" w:eastAsia="仿宋"/>
          <w:sz w:val="24"/>
          <w:szCs w:val="24"/>
          <w:lang w:val="en-US" w:eastAsia="zh-CN"/>
        </w:rPr>
        <w:t>培训</w:t>
      </w:r>
      <w:r>
        <w:rPr>
          <w:rFonts w:hint="eastAsia" w:ascii="仿宋" w:hAnsi="仿宋" w:eastAsia="仿宋"/>
          <w:sz w:val="24"/>
          <w:szCs w:val="24"/>
        </w:rPr>
        <w:t>酒店食宿及会场</w:t>
      </w:r>
      <w:r>
        <w:rPr>
          <w:rFonts w:hint="eastAsia" w:ascii="仿宋" w:hAnsi="仿宋" w:eastAsia="仿宋"/>
          <w:sz w:val="24"/>
          <w:szCs w:val="24"/>
          <w:lang w:val="en-US" w:eastAsia="zh-CN"/>
        </w:rPr>
        <w:t>租赁</w:t>
      </w:r>
      <w:r>
        <w:rPr>
          <w:rFonts w:hint="eastAsia" w:ascii="仿宋" w:hAnsi="仿宋" w:eastAsia="仿宋"/>
          <w:sz w:val="24"/>
          <w:szCs w:val="24"/>
        </w:rPr>
        <w:t>服务</w:t>
      </w:r>
      <w:r>
        <w:rPr>
          <w:rFonts w:hint="eastAsia" w:ascii="仿宋" w:hAnsi="仿宋" w:eastAsia="仿宋"/>
          <w:sz w:val="24"/>
          <w:szCs w:val="24"/>
          <w:u w:val="none"/>
        </w:rPr>
        <w:t>项目</w:t>
      </w:r>
      <w:r>
        <w:rPr>
          <w:rFonts w:hint="eastAsia" w:ascii="仿宋" w:hAnsi="仿宋" w:eastAsia="仿宋"/>
          <w:sz w:val="24"/>
          <w:szCs w:val="24"/>
        </w:rPr>
        <w:t>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17794_WPSOffice_Level2"/>
      <w:bookmarkStart w:id="1" w:name="_Toc4659"/>
      <w:bookmarkStart w:id="2" w:name="_Toc26475"/>
      <w:bookmarkStart w:id="3" w:name="_Toc31662_WPSOffice_Level2"/>
      <w:bookmarkStart w:id="4" w:name="_Toc3564"/>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lang w:val="en-US" w:eastAsia="zh-CN"/>
        </w:rPr>
        <w:t>:“匠满三湘”职工职业技能认定班</w:t>
      </w:r>
      <w:r>
        <w:rPr>
          <w:rFonts w:hint="default" w:ascii="仿宋" w:hAnsi="仿宋" w:eastAsia="仿宋"/>
          <w:sz w:val="24"/>
          <w:szCs w:val="24"/>
          <w:lang w:val="en-US" w:eastAsia="zh-CN"/>
        </w:rPr>
        <w:t>（电子设备装接工专场）</w:t>
      </w:r>
      <w:r>
        <w:rPr>
          <w:rFonts w:hint="eastAsia" w:ascii="仿宋" w:hAnsi="仿宋" w:eastAsia="仿宋"/>
          <w:sz w:val="24"/>
          <w:szCs w:val="24"/>
          <w:lang w:val="en-US" w:eastAsia="zh-CN"/>
        </w:rPr>
        <w:t>培训</w:t>
      </w:r>
      <w:r>
        <w:rPr>
          <w:rFonts w:hint="eastAsia" w:ascii="仿宋" w:hAnsi="仿宋" w:eastAsia="仿宋"/>
          <w:sz w:val="24"/>
          <w:szCs w:val="24"/>
        </w:rPr>
        <w:t>酒店食宿及会场</w:t>
      </w:r>
      <w:r>
        <w:rPr>
          <w:rFonts w:hint="eastAsia" w:ascii="仿宋" w:hAnsi="仿宋" w:eastAsia="仿宋"/>
          <w:sz w:val="24"/>
          <w:szCs w:val="24"/>
          <w:lang w:val="en-US" w:eastAsia="zh-CN"/>
        </w:rPr>
        <w:t>租赁</w:t>
      </w:r>
      <w:r>
        <w:rPr>
          <w:rFonts w:hint="eastAsia" w:ascii="仿宋" w:hAnsi="仿宋" w:eastAsia="仿宋"/>
          <w:sz w:val="24"/>
          <w:szCs w:val="24"/>
        </w:rPr>
        <w:t>服务</w:t>
      </w:r>
    </w:p>
    <w:p w14:paraId="45C5B3C2">
      <w:pPr>
        <w:pStyle w:val="16"/>
        <w:snapToGrid w:val="0"/>
        <w:spacing w:before="0" w:beforeAutospacing="0" w:after="0" w:line="360" w:lineRule="auto"/>
        <w:ind w:left="0" w:leftChars="0"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sz w:val="24"/>
          <w:szCs w:val="24"/>
        </w:rPr>
        <w:t>2.项目概况</w:t>
      </w:r>
      <w:r>
        <w:rPr>
          <w:rFonts w:hint="eastAsia" w:ascii="仿宋" w:hAnsi="仿宋" w:eastAsia="仿宋" w:cs="Times New Roman"/>
          <w:kern w:val="2"/>
          <w:sz w:val="24"/>
          <w:szCs w:val="24"/>
          <w:lang w:val="en-US" w:eastAsia="zh-CN" w:bidi="ar-SA"/>
        </w:rPr>
        <w:t>:本项目旨在为深入推进我省产业工人队伍建设改革，全面提升电子设备装接工从业人员技能水平，选拔培育高素质技术技能人才，根据省总职工职业技能培训计划，本培训定于7月中旬在株洲市举办。</w:t>
      </w:r>
    </w:p>
    <w:p w14:paraId="5BF0E80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sz w:val="24"/>
          <w:szCs w:val="24"/>
          <w:lang w:val="en-US" w:eastAsia="zh-CN"/>
        </w:rPr>
        <w:t>为培训学员及工作人员在培训期间提供客房住宿服务、餐饮及培训会场等服</w:t>
      </w:r>
      <w:r>
        <w:rPr>
          <w:rFonts w:hint="eastAsia" w:ascii="仿宋" w:hAnsi="仿宋" w:eastAsia="仿宋" w:cs="Times New Roman"/>
          <w:kern w:val="2"/>
          <w:sz w:val="24"/>
          <w:szCs w:val="24"/>
          <w:lang w:val="en-US" w:eastAsia="zh-CN" w:bidi="ar-SA"/>
        </w:rPr>
        <w:t>务（项目培训时长为5天，参训学员预计108人，另有培训专家及现场工作人员4人左右。），具体</w:t>
      </w:r>
      <w:r>
        <w:rPr>
          <w:rFonts w:hint="eastAsia" w:ascii="仿宋" w:hAnsi="仿宋" w:eastAsia="仿宋"/>
          <w:sz w:val="24"/>
          <w:szCs w:val="24"/>
          <w:lang w:val="en-US" w:eastAsia="zh-CN"/>
        </w:rPr>
        <w:t>内容详见采购文件（见附件）。</w:t>
      </w:r>
    </w:p>
    <w:p w14:paraId="71947C1A">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cs="仿宋"/>
          <w:color w:val="333333"/>
          <w:kern w:val="0"/>
          <w:sz w:val="24"/>
          <w:szCs w:val="24"/>
          <w:u w:val="none"/>
        </w:rPr>
        <w:t>13</w:t>
      </w:r>
      <w:r>
        <w:rPr>
          <w:rFonts w:hint="eastAsia" w:ascii="仿宋" w:hAnsi="仿宋" w:eastAsia="仿宋" w:cs="仿宋"/>
          <w:color w:val="333333"/>
          <w:kern w:val="0"/>
          <w:sz w:val="24"/>
          <w:szCs w:val="24"/>
          <w:u w:val="none"/>
          <w:lang w:val="en-US" w:eastAsia="zh-CN"/>
        </w:rPr>
        <w:t>.375万</w:t>
      </w:r>
      <w:r>
        <w:rPr>
          <w:rFonts w:ascii="仿宋" w:hAnsi="仿宋" w:eastAsia="仿宋"/>
          <w:sz w:val="24"/>
          <w:szCs w:val="24"/>
          <w:u w:val="none"/>
        </w:rPr>
        <w:t>元</w:t>
      </w:r>
      <w:r>
        <w:rPr>
          <w:rFonts w:hint="eastAsia" w:ascii="仿宋" w:hAnsi="仿宋" w:eastAsia="仿宋"/>
          <w:sz w:val="24"/>
          <w:szCs w:val="24"/>
          <w:u w:val="none"/>
          <w:lang w:val="en-US" w:eastAsia="zh-CN"/>
        </w:rPr>
        <w:t xml:space="preserve"> </w:t>
      </w:r>
    </w:p>
    <w:p w14:paraId="453272DD">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2089C5EC">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bookmarkStart w:id="5" w:name="_Toc58335831"/>
      <w:r>
        <w:rPr>
          <w:rFonts w:hint="eastAsia" w:ascii="仿宋" w:hAnsi="仿宋" w:eastAsia="仿宋"/>
          <w:sz w:val="24"/>
          <w:szCs w:val="24"/>
        </w:rPr>
        <w:t>2、特定资格条件</w:t>
      </w:r>
    </w:p>
    <w:p w14:paraId="01848AA1">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投标人须自有经营场所用于本项目接待，提供有效期内：</w:t>
      </w:r>
    </w:p>
    <w:p w14:paraId="0E622307">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lang w:eastAsia="zh-CN"/>
        </w:rPr>
        <w:t>（</w:t>
      </w:r>
      <w:r>
        <w:rPr>
          <w:rFonts w:hint="eastAsia" w:ascii="仿宋" w:hAnsi="仿宋" w:eastAsia="仿宋"/>
          <w:sz w:val="24"/>
          <w:szCs w:val="24"/>
          <w:lang w:val="en-US" w:eastAsia="zh-CN"/>
        </w:rPr>
        <w:t>1</w:t>
      </w:r>
      <w:r>
        <w:rPr>
          <w:rFonts w:hint="eastAsia" w:ascii="仿宋" w:hAnsi="仿宋" w:eastAsia="仿宋"/>
          <w:sz w:val="24"/>
          <w:szCs w:val="24"/>
          <w:lang w:eastAsia="zh-CN"/>
        </w:rPr>
        <w:t>）</w:t>
      </w:r>
      <w:r>
        <w:rPr>
          <w:rFonts w:ascii="仿宋" w:hAnsi="仿宋" w:eastAsia="仿宋"/>
          <w:sz w:val="24"/>
          <w:szCs w:val="24"/>
        </w:rPr>
        <w:t>旅馆业特种行业许可证；</w:t>
      </w:r>
    </w:p>
    <w:p w14:paraId="750F0F2E">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lang w:eastAsia="zh-CN"/>
        </w:rPr>
        <w:t>（</w:t>
      </w:r>
      <w:r>
        <w:rPr>
          <w:rFonts w:hint="eastAsia" w:ascii="仿宋" w:hAnsi="仿宋" w:eastAsia="仿宋"/>
          <w:sz w:val="24"/>
          <w:szCs w:val="24"/>
          <w:lang w:val="en-US" w:eastAsia="zh-CN"/>
        </w:rPr>
        <w:t>2</w:t>
      </w:r>
      <w:r>
        <w:rPr>
          <w:rFonts w:hint="eastAsia" w:ascii="仿宋" w:hAnsi="仿宋" w:eastAsia="仿宋"/>
          <w:sz w:val="24"/>
          <w:szCs w:val="24"/>
          <w:lang w:eastAsia="zh-CN"/>
        </w:rPr>
        <w:t>）</w:t>
      </w:r>
      <w:r>
        <w:rPr>
          <w:rFonts w:ascii="仿宋" w:hAnsi="仿宋" w:eastAsia="仿宋"/>
          <w:sz w:val="24"/>
          <w:szCs w:val="24"/>
        </w:rPr>
        <w:t>食品经营许可证；</w:t>
      </w:r>
    </w:p>
    <w:p w14:paraId="2C9308D1">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lang w:eastAsia="zh-CN"/>
        </w:rPr>
        <w:t>（</w:t>
      </w:r>
      <w:r>
        <w:rPr>
          <w:rFonts w:hint="eastAsia" w:ascii="仿宋" w:hAnsi="仿宋" w:eastAsia="仿宋"/>
          <w:sz w:val="24"/>
          <w:szCs w:val="24"/>
          <w:lang w:val="en-US" w:eastAsia="zh-CN"/>
        </w:rPr>
        <w:t>3</w:t>
      </w:r>
      <w:r>
        <w:rPr>
          <w:rFonts w:hint="eastAsia" w:ascii="仿宋" w:hAnsi="仿宋" w:eastAsia="仿宋"/>
          <w:sz w:val="24"/>
          <w:szCs w:val="24"/>
          <w:lang w:eastAsia="zh-CN"/>
        </w:rPr>
        <w:t>）</w:t>
      </w:r>
      <w:r>
        <w:rPr>
          <w:rFonts w:ascii="仿宋" w:hAnsi="仿宋" w:eastAsia="仿宋"/>
          <w:sz w:val="24"/>
          <w:szCs w:val="24"/>
        </w:rPr>
        <w:t>公共场所卫生许可证；</w:t>
      </w:r>
    </w:p>
    <w:p w14:paraId="5D952BB8">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lang w:eastAsia="zh-CN"/>
        </w:rPr>
        <w:t>（</w:t>
      </w:r>
      <w:r>
        <w:rPr>
          <w:rFonts w:hint="eastAsia" w:ascii="仿宋" w:hAnsi="仿宋" w:eastAsia="仿宋"/>
          <w:sz w:val="24"/>
          <w:szCs w:val="24"/>
          <w:lang w:val="en-US" w:eastAsia="zh-CN"/>
        </w:rPr>
        <w:t>4</w:t>
      </w:r>
      <w:r>
        <w:rPr>
          <w:rFonts w:hint="eastAsia" w:ascii="仿宋" w:hAnsi="仿宋" w:eastAsia="仿宋"/>
          <w:sz w:val="24"/>
          <w:szCs w:val="24"/>
          <w:lang w:eastAsia="zh-CN"/>
        </w:rPr>
        <w:t>）</w:t>
      </w:r>
      <w:r>
        <w:rPr>
          <w:rFonts w:ascii="仿宋" w:hAnsi="仿宋" w:eastAsia="仿宋"/>
          <w:sz w:val="24"/>
          <w:szCs w:val="24"/>
        </w:rPr>
        <w:t>公众聚集场所投入使用、营业前消防安全检查合格意见书，确保经营场所符合国家住宿、餐饮经营卫生、消防规范标准。</w:t>
      </w:r>
    </w:p>
    <w:p w14:paraId="4B673CBE">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773A98C1">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027F4A64">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1．首次响应文件的提交截止时间：2026年7月7日15时</w:t>
      </w:r>
      <w:bookmarkStart w:id="10" w:name="_GoBack"/>
      <w:bookmarkEnd w:id="10"/>
    </w:p>
    <w:p w14:paraId="6594E3BE">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2．首次响应文件的开启时间：2026年7月7日15时</w:t>
      </w:r>
    </w:p>
    <w:p w14:paraId="63DB6ACB">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杨老师</w:t>
      </w:r>
    </w:p>
    <w:p w14:paraId="3B375338">
      <w:pPr>
        <w:snapToGrid w:val="0"/>
        <w:spacing w:line="360" w:lineRule="auto"/>
        <w:ind w:firstLine="480" w:firstLineChars="200"/>
        <w:jc w:val="left"/>
        <w:rPr>
          <w:rFonts w:hint="default" w:ascii="仿宋" w:hAnsi="仿宋" w:eastAsia="仿宋" w:cstheme="minorEastAsia"/>
          <w:sz w:val="24"/>
          <w:szCs w:val="24"/>
          <w:lang w:val="en-US"/>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18173370567</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6AF78A14">
      <w:pPr>
        <w:ind w:firstLine="480" w:firstLineChars="200"/>
        <w:rPr>
          <w:rFonts w:ascii="仿宋" w:hAnsi="仿宋" w:eastAsia="仿宋"/>
          <w:b/>
          <w:sz w:val="36"/>
          <w:szCs w:val="36"/>
        </w:rPr>
      </w:pPr>
      <w:r>
        <w:rPr>
          <w:rFonts w:hint="eastAsia" w:ascii="仿宋" w:hAnsi="仿宋" w:eastAsia="仿宋" w:cstheme="minorEastAsia"/>
          <w:sz w:val="24"/>
          <w:szCs w:val="24"/>
        </w:rPr>
        <w:t>地 址：株洲市</w:t>
      </w:r>
      <w:r>
        <w:rPr>
          <w:rFonts w:hint="eastAsia" w:ascii="仿宋" w:hAnsi="仿宋" w:eastAsia="仿宋" w:cstheme="minorEastAsia"/>
          <w:sz w:val="24"/>
          <w:szCs w:val="24"/>
          <w:lang w:val="en-US" w:eastAsia="zh-CN"/>
        </w:rPr>
        <w:t>石峰区智慧路1号</w:t>
      </w:r>
    </w:p>
    <w:p w14:paraId="0C75CF7F">
      <w:pPr>
        <w:pStyle w:val="16"/>
        <w:ind w:left="0" w:leftChars="0" w:firstLine="0"/>
        <w:jc w:val="center"/>
        <w:rPr>
          <w:rFonts w:ascii="仿宋" w:hAnsi="仿宋" w:eastAsia="仿宋"/>
          <w:b/>
          <w:sz w:val="36"/>
          <w:szCs w:val="36"/>
        </w:rPr>
      </w:pPr>
    </w:p>
    <w:p w14:paraId="611302C1">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lang w:eastAsia="zh-CN"/>
        </w:rPr>
        <w:t>湖南铁道职业技术学院“匠满三湘”职工职业技能认定班（电子设备装接工专场）培训</w:t>
      </w:r>
      <w:r>
        <w:rPr>
          <w:rFonts w:hint="eastAsia" w:ascii="仿宋" w:hAnsi="仿宋" w:eastAsia="仿宋" w:cs="仿宋"/>
          <w:color w:val="333333"/>
          <w:kern w:val="0"/>
          <w:sz w:val="24"/>
          <w:szCs w:val="24"/>
          <w:u w:val="none"/>
        </w:rPr>
        <w:t>酒店食宿及会场</w:t>
      </w:r>
      <w:r>
        <w:rPr>
          <w:rFonts w:hint="eastAsia" w:ascii="仿宋" w:hAnsi="仿宋" w:eastAsia="仿宋" w:cs="仿宋"/>
          <w:color w:val="333333"/>
          <w:kern w:val="0"/>
          <w:sz w:val="24"/>
          <w:szCs w:val="24"/>
          <w:u w:val="none"/>
          <w:lang w:val="en-US" w:eastAsia="zh-CN"/>
        </w:rPr>
        <w:t>租赁</w:t>
      </w:r>
      <w:r>
        <w:rPr>
          <w:rFonts w:hint="eastAsia" w:ascii="仿宋" w:hAnsi="仿宋" w:eastAsia="仿宋" w:cs="仿宋"/>
          <w:color w:val="333333"/>
          <w:kern w:val="0"/>
          <w:sz w:val="24"/>
          <w:szCs w:val="24"/>
          <w:u w:val="none"/>
        </w:rPr>
        <w:t>服务项目</w:t>
      </w:r>
    </w:p>
    <w:p w14:paraId="5A3630E4">
      <w:pPr>
        <w:pStyle w:val="41"/>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lang w:val="en-US" w:eastAsia="zh-CN"/>
        </w:rPr>
        <w:t>5天</w:t>
      </w:r>
      <w:r>
        <w:rPr>
          <w:rFonts w:hint="eastAsia" w:ascii="仿宋" w:hAnsi="仿宋" w:eastAsia="仿宋" w:cs="仿宋"/>
          <w:color w:val="333333"/>
          <w:kern w:val="0"/>
          <w:sz w:val="24"/>
          <w:szCs w:val="24"/>
          <w:u w:val="none"/>
        </w:rPr>
        <w:t>。</w:t>
      </w:r>
    </w:p>
    <w:p w14:paraId="6EDA09F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6D9A1C1F">
      <w:pPr>
        <w:snapToGrid w:val="0"/>
        <w:spacing w:before="156" w:beforeLines="50" w:line="360" w:lineRule="auto"/>
        <w:ind w:firstLine="482" w:firstLineChars="200"/>
        <w:jc w:val="left"/>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（一）住宿服务</w:t>
      </w:r>
    </w:p>
    <w:p w14:paraId="3D71BA04">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1.为参训人员快速办理入住、退房手续，提供24小时前台服务；</w:t>
      </w:r>
    </w:p>
    <w:p w14:paraId="4EF9EF6A">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2.每日完成客房清洁，按规定更换床上用品、一次性洗漱用品；</w:t>
      </w:r>
    </w:p>
    <w:p w14:paraId="656285AE">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3.接到客房设备故障报修后及时维修处置；</w:t>
      </w:r>
    </w:p>
    <w:p w14:paraId="0FAF4BB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4.提供叫醒、行李寄存等个性化服务；</w:t>
      </w:r>
    </w:p>
    <w:p w14:paraId="5E40C652">
      <w:pPr>
        <w:pStyle w:val="41"/>
        <w:spacing w:line="520" w:lineRule="exact"/>
        <w:ind w:firstLine="480"/>
        <w:rPr>
          <w:rFonts w:hint="eastAsia" w:eastAsia="宋体"/>
          <w:sz w:val="24"/>
          <w:lang w:val="en-US" w:eastAsia="zh-CN"/>
        </w:rPr>
      </w:pPr>
      <w:r>
        <w:rPr>
          <w:rFonts w:hint="eastAsia" w:ascii="仿宋" w:hAnsi="仿宋" w:eastAsia="仿宋" w:cs="仿宋"/>
          <w:color w:val="333333"/>
          <w:kern w:val="0"/>
          <w:sz w:val="24"/>
          <w:szCs w:val="24"/>
        </w:rPr>
        <w:t>5.住宿区域配齐消防、监控设备，安排专人巡逻值守，保障住宿安全。</w:t>
      </w:r>
    </w:p>
    <w:p w14:paraId="2CF6B5A7">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2" w:firstLineChars="200"/>
        <w:textAlignment w:val="auto"/>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（二）餐饮服务</w:t>
      </w:r>
    </w:p>
    <w:p w14:paraId="260B9EC2">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1.根据学校培训日程制定供餐计划，按时提供早、中、晚餐；</w:t>
      </w:r>
    </w:p>
    <w:p w14:paraId="26D64F9F">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2.严格把控食材品质，保证食材新鲜、卫生、安全；</w:t>
      </w:r>
    </w:p>
    <w:p w14:paraId="06B943C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3.主动收集学员用餐反馈，及时优化菜品口味与品类，兼顾特殊饮食需求；</w:t>
      </w:r>
    </w:p>
    <w:p w14:paraId="0C691769">
      <w:pPr>
        <w:pStyle w:val="41"/>
        <w:spacing w:line="520" w:lineRule="exact"/>
        <w:ind w:firstLine="480"/>
        <w:rPr>
          <w:rFonts w:hint="eastAsia" w:ascii="仿宋" w:hAnsi="仿宋" w:eastAsia="仿宋" w:cs="仿宋"/>
          <w:b/>
          <w:bCs/>
          <w:color w:val="333333"/>
          <w:kern w:val="0"/>
          <w:sz w:val="24"/>
          <w:szCs w:val="24"/>
          <w:lang w:val="en-US" w:eastAsia="zh-CN" w:bidi="ar-SA"/>
        </w:rPr>
      </w:pPr>
      <w:r>
        <w:rPr>
          <w:rFonts w:hint="eastAsia" w:ascii="仿宋" w:hAnsi="仿宋" w:eastAsia="仿宋" w:cs="仿宋"/>
          <w:color w:val="333333"/>
          <w:kern w:val="0"/>
          <w:sz w:val="24"/>
          <w:szCs w:val="24"/>
        </w:rPr>
        <w:t>4.严格落实食品留样、卫生消杀制度，规范厨房及餐厅操作流程，留存完整记录。</w:t>
      </w:r>
    </w:p>
    <w:p w14:paraId="36B3D7E2">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2" w:firstLineChars="200"/>
        <w:textAlignment w:val="auto"/>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（三）会场服务</w:t>
      </w:r>
    </w:p>
    <w:p w14:paraId="2C6DD08B">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1.根据培训需求完成会场布置、桌椅摆放、设备调试工作；</w:t>
      </w:r>
    </w:p>
    <w:p w14:paraId="0BE63D5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2.培训期间安排专人负责设备操作、现场秩序维护，提供茶水、茶歇等配套服务；</w:t>
      </w:r>
    </w:p>
    <w:p w14:paraId="1ACCDC9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3.第一时间处置设备故障及各类突发情况；</w:t>
      </w:r>
    </w:p>
    <w:p w14:paraId="03577C7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4.培训结束后及时完成会场清理、设备回收、场地消杀工作。</w:t>
      </w:r>
    </w:p>
    <w:p w14:paraId="14CAD9F5">
      <w:pPr>
        <w:pStyle w:val="41"/>
        <w:spacing w:line="520" w:lineRule="exact"/>
        <w:ind w:left="0" w:leftChars="0" w:firstLine="482" w:firstLineChars="200"/>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四</w:t>
      </w: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位置要求</w:t>
      </w:r>
    </w:p>
    <w:p w14:paraId="3AE885D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auto"/>
          <w:kern w:val="0"/>
          <w:sz w:val="24"/>
          <w:szCs w:val="24"/>
          <w:lang w:val="en-US" w:eastAsia="zh-CN"/>
        </w:rPr>
        <w:t>为方便开展本校培训服务、对接教师和学员，本项目服务和实施场地须位于株洲市主城区（包括天元区、芦淞区、荷塘区、石峰区、云龙区），投标人中标后提供的酒店经营场所须坐落于上述区域内，并满足采购人日常培训通勤、集中管理需求，若中标人提供的酒店不在上述区域，采购人有权取消中标资格，不予签订合同。</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7D1957CA">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（一）硬件要求</w:t>
      </w:r>
    </w:p>
    <w:p w14:paraId="5049DE0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1.住宿条件</w:t>
      </w:r>
    </w:p>
    <w:p w14:paraId="3CD7F0A3">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标准双人间数量不少于5</w:t>
      </w:r>
      <w:r>
        <w:rPr>
          <w:rFonts w:hint="eastAsia" w:ascii="仿宋" w:hAnsi="仿宋" w:eastAsia="仿宋" w:cs="仿宋"/>
          <w:color w:val="333333"/>
          <w:kern w:val="0"/>
          <w:sz w:val="24"/>
          <w:szCs w:val="24"/>
          <w:lang w:val="en-US" w:eastAsia="zh-CN"/>
        </w:rPr>
        <w:t>5</w:t>
      </w:r>
      <w:r>
        <w:rPr>
          <w:rFonts w:hint="eastAsia" w:ascii="仿宋" w:hAnsi="仿宋" w:eastAsia="仿宋" w:cs="仿宋"/>
          <w:color w:val="333333"/>
          <w:kern w:val="0"/>
          <w:sz w:val="24"/>
          <w:szCs w:val="24"/>
        </w:rPr>
        <w:t>间，单间客房建筑面积不低于20平方米；客房内配齐空调、液晶电视、无线网络、独立卫浴等设施，所有设备完好、正常使用。</w:t>
      </w:r>
    </w:p>
    <w:p w14:paraId="4337703C">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2.餐饮条件</w:t>
      </w:r>
    </w:p>
    <w:p w14:paraId="40D9918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拥有可同时容</w:t>
      </w:r>
      <w:r>
        <w:rPr>
          <w:rFonts w:hint="eastAsia" w:ascii="仿宋" w:hAnsi="仿宋" w:eastAsia="仿宋" w:cs="仿宋"/>
          <w:kern w:val="0"/>
          <w:sz w:val="24"/>
          <w:szCs w:val="24"/>
        </w:rPr>
        <w:t>纳120人及以上就餐的专用餐厅，厨房设备齐全、布局规范；食材采购渠道正规、可溯源；可提供早、中、晚三餐，每餐菜品（含主食、副食、汤品）至少10-12种，菜品搭</w:t>
      </w:r>
      <w:r>
        <w:rPr>
          <w:rFonts w:hint="eastAsia" w:ascii="仿宋" w:hAnsi="仿宋" w:eastAsia="仿宋" w:cs="仿宋"/>
          <w:color w:val="333333"/>
          <w:kern w:val="0"/>
          <w:sz w:val="24"/>
          <w:szCs w:val="24"/>
        </w:rPr>
        <w:t>配营养均衡、品类丰富。</w:t>
      </w:r>
    </w:p>
    <w:p w14:paraId="75B0B8D0">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3.会场条件</w:t>
      </w:r>
    </w:p>
    <w:p w14:paraId="59E7B447">
      <w:pPr>
        <w:pStyle w:val="41"/>
        <w:spacing w:line="520" w:lineRule="exact"/>
        <w:ind w:firstLine="480"/>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（1）需</w:t>
      </w:r>
      <w:r>
        <w:rPr>
          <w:rFonts w:hint="eastAsia" w:ascii="仿宋" w:hAnsi="仿宋" w:eastAsia="仿宋" w:cs="仿宋"/>
          <w:color w:val="auto"/>
          <w:kern w:val="0"/>
          <w:sz w:val="24"/>
          <w:szCs w:val="24"/>
        </w:rPr>
        <w:t>配备1处面积大于</w:t>
      </w:r>
      <w:r>
        <w:rPr>
          <w:rFonts w:hint="eastAsia" w:ascii="仿宋" w:hAnsi="仿宋" w:eastAsia="仿宋" w:cs="仿宋"/>
          <w:color w:val="auto"/>
          <w:kern w:val="0"/>
          <w:sz w:val="24"/>
          <w:szCs w:val="24"/>
          <w:lang w:val="en-US" w:eastAsia="zh-CN"/>
        </w:rPr>
        <w:t>18</w:t>
      </w:r>
      <w:r>
        <w:rPr>
          <w:rFonts w:hint="eastAsia" w:ascii="仿宋" w:hAnsi="仿宋" w:eastAsia="仿宋" w:cs="仿宋"/>
          <w:color w:val="auto"/>
          <w:kern w:val="0"/>
          <w:sz w:val="24"/>
          <w:szCs w:val="24"/>
        </w:rPr>
        <w:t>0㎡、可容纳1</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0人以上的培训会场</w:t>
      </w:r>
      <w:r>
        <w:rPr>
          <w:rFonts w:hint="eastAsia" w:ascii="仿宋" w:hAnsi="仿宋" w:eastAsia="仿宋" w:cs="仿宋"/>
          <w:color w:val="auto"/>
          <w:kern w:val="0"/>
          <w:sz w:val="24"/>
          <w:szCs w:val="24"/>
          <w:lang w:eastAsia="zh-CN"/>
        </w:rPr>
        <w:t>。</w:t>
      </w:r>
    </w:p>
    <w:p w14:paraId="41CF2488">
      <w:pPr>
        <w:pStyle w:val="41"/>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所有会场配齐专业音响、LED电子屏、无线麦克风、成套桌椅等设施，可满足教学、会议、小组研讨等使用需求。</w:t>
      </w:r>
    </w:p>
    <w:p w14:paraId="35EA1E25">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（二）住宿质量要求</w:t>
      </w:r>
    </w:p>
    <w:p w14:paraId="71934595">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客房装修整洁舒适，设施定期维保；客房卫生符合国家卫生标准，无异味、污渍、蚊虫；布草及洗漱用品选用优质产品，严格执行更换清洗制度。</w:t>
      </w:r>
    </w:p>
    <w:p w14:paraId="39E164A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（三）餐饮质量要求</w:t>
      </w:r>
    </w:p>
    <w:p w14:paraId="16DF60DE">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所有菜品符合食品安全标准，口味适口；食材采购索证索票齐全；服务人员着装统一、服务规范热情。</w:t>
      </w:r>
    </w:p>
    <w:p w14:paraId="1293E45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（四）会场质量要求</w:t>
      </w:r>
    </w:p>
    <w:p w14:paraId="4EABA03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会场安静整洁、通风良好、温度适宜；音视频、显示设备运行稳定，画面、声音清晰；现场服务人员熟练操作各类设备，具备应急处置能力。</w:t>
      </w:r>
    </w:p>
    <w:p w14:paraId="292E4A2E">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（五）安全管理要求</w:t>
      </w:r>
    </w:p>
    <w:p w14:paraId="34FF426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建立完善安全管理制度，定期检修消防、监控等安防设备；制定突发事件应急预案并定期组织演练。</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1A14DA7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（一）评分标准</w:t>
      </w:r>
    </w:p>
    <w:p w14:paraId="2D0D0C5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1.住宿服务</w:t>
      </w:r>
    </w:p>
    <w:p w14:paraId="689F905D">
      <w:pPr>
        <w:pStyle w:val="41"/>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333333"/>
          <w:kern w:val="0"/>
          <w:sz w:val="24"/>
          <w:szCs w:val="24"/>
        </w:rPr>
        <w:t>客房</w:t>
      </w:r>
      <w:r>
        <w:rPr>
          <w:rFonts w:hint="eastAsia" w:ascii="仿宋" w:hAnsi="仿宋" w:eastAsia="仿宋" w:cs="仿宋"/>
          <w:color w:val="auto"/>
          <w:kern w:val="0"/>
          <w:sz w:val="24"/>
          <w:szCs w:val="24"/>
        </w:rPr>
        <w:t>设施故障未及时修复，每处扣2分；客房卫生不达标，每间次扣1分；未按规定更换客房用品，每次扣2分；未提供约定个性化服务，每次扣3分。</w:t>
      </w:r>
    </w:p>
    <w:p w14:paraId="4C723E6A">
      <w:pPr>
        <w:pStyle w:val="41"/>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2.餐饮服务</w:t>
      </w:r>
    </w:p>
    <w:p w14:paraId="55D1414C">
      <w:pPr>
        <w:pStyle w:val="41"/>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菜品出现质量问题，每例扣5分；未响应特殊饮食需求，每次扣3分；餐厅、厨房卫生不达标，每次扣2分；未按规定留样或记录不全，每次扣2分。</w:t>
      </w:r>
    </w:p>
    <w:p w14:paraId="57C2E3D0">
      <w:pPr>
        <w:pStyle w:val="41"/>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3.会场服务</w:t>
      </w:r>
    </w:p>
    <w:p w14:paraId="6AAA8F48">
      <w:pPr>
        <w:pStyle w:val="41"/>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会场设备调试不到位影响培训开展，每次扣3分；服务人员未及时处置现场问题，每次扣2分；培训结束未及时清理会场，每次扣1分。</w:t>
      </w:r>
    </w:p>
    <w:p w14:paraId="2C47AC80">
      <w:pPr>
        <w:pStyle w:val="41"/>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4.安全管理</w:t>
      </w:r>
    </w:p>
    <w:p w14:paraId="54B1813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auto"/>
          <w:kern w:val="0"/>
          <w:sz w:val="24"/>
          <w:szCs w:val="24"/>
        </w:rPr>
        <w:t>安全管理制度不健全，扣5分；安防设备故障未及时修复，每次扣3分；未制定应急预案或未组织演练，扣5分；发生安全事故，视情节扣10—</w:t>
      </w:r>
      <w:r>
        <w:rPr>
          <w:rFonts w:hint="eastAsia" w:ascii="仿宋" w:hAnsi="仿宋" w:eastAsia="仿宋" w:cs="仿宋"/>
          <w:color w:val="333333"/>
          <w:kern w:val="0"/>
          <w:sz w:val="24"/>
          <w:szCs w:val="24"/>
        </w:rPr>
        <w:t>20分。</w:t>
      </w:r>
    </w:p>
    <w:p w14:paraId="38B614B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（二）考核方式</w:t>
      </w:r>
    </w:p>
    <w:p w14:paraId="3C4550C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1.日常检查</w:t>
      </w:r>
    </w:p>
    <w:p w14:paraId="4A38A0C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采购人安排专人开展定期或不定期现场检查，并留存书面记录。</w:t>
      </w:r>
    </w:p>
    <w:p w14:paraId="797D053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2.学员评价</w:t>
      </w:r>
    </w:p>
    <w:p w14:paraId="4C3E637A">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每期培训结束后组织学员问卷调查，综合满意度低于80%的，每降低1个百分点扣2分。</w:t>
      </w:r>
    </w:p>
    <w:p w14:paraId="107B1E4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3.综合考核</w:t>
      </w:r>
    </w:p>
    <w:p w14:paraId="7A64EDA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单期培训班结束后开展综合考评，结合日常检查与学员评价计分。年度综合考核总分低于80分，采购人有权终止合作合同；年度得分在80—90分之间，要求限期整改。</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35635DC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w:t>
      </w:r>
      <w:r>
        <w:rPr>
          <w:rFonts w:hint="eastAsia" w:ascii="仿宋" w:hAnsi="仿宋" w:eastAsia="仿宋" w:cs="仿宋"/>
          <w:color w:val="333333"/>
          <w:kern w:val="0"/>
          <w:sz w:val="24"/>
          <w:szCs w:val="24"/>
          <w:u w:val="none"/>
        </w:rPr>
        <w:t>限价为13</w:t>
      </w:r>
      <w:r>
        <w:rPr>
          <w:rFonts w:hint="eastAsia" w:ascii="仿宋" w:hAnsi="仿宋" w:eastAsia="仿宋" w:cs="仿宋"/>
          <w:color w:val="333333"/>
          <w:kern w:val="0"/>
          <w:sz w:val="24"/>
          <w:szCs w:val="24"/>
          <w:u w:val="none"/>
          <w:lang w:val="en-US" w:eastAsia="zh-CN"/>
        </w:rPr>
        <w:t>.375万元</w:t>
      </w:r>
      <w:r>
        <w:rPr>
          <w:rFonts w:hint="eastAsia" w:ascii="仿宋" w:hAnsi="仿宋" w:eastAsia="仿宋" w:cs="仿宋"/>
          <w:color w:val="333333"/>
          <w:kern w:val="0"/>
          <w:sz w:val="24"/>
          <w:szCs w:val="24"/>
        </w:rPr>
        <w:t>，报价为一次性分细项报价。</w:t>
      </w:r>
    </w:p>
    <w:p w14:paraId="5133556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分项预算如下表所示。</w:t>
      </w:r>
    </w:p>
    <w:tbl>
      <w:tblPr>
        <w:tblStyle w:val="18"/>
        <w:tblW w:w="9056" w:type="dxa"/>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588"/>
        <w:gridCol w:w="2433"/>
        <w:gridCol w:w="770"/>
        <w:gridCol w:w="998"/>
        <w:gridCol w:w="1161"/>
        <w:gridCol w:w="1417"/>
      </w:tblGrid>
      <w:tr w14:paraId="7473A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vAlign w:val="center"/>
          </w:tcPr>
          <w:p w14:paraId="09A689DC">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序号</w:t>
            </w:r>
          </w:p>
        </w:tc>
        <w:tc>
          <w:tcPr>
            <w:tcW w:w="1588" w:type="dxa"/>
            <w:vAlign w:val="center"/>
          </w:tcPr>
          <w:p w14:paraId="55036A8D">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名称</w:t>
            </w:r>
          </w:p>
        </w:tc>
        <w:tc>
          <w:tcPr>
            <w:tcW w:w="2433" w:type="dxa"/>
            <w:vAlign w:val="center"/>
          </w:tcPr>
          <w:p w14:paraId="6028D77D">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规格</w:t>
            </w:r>
          </w:p>
        </w:tc>
        <w:tc>
          <w:tcPr>
            <w:tcW w:w="770" w:type="dxa"/>
            <w:vAlign w:val="center"/>
          </w:tcPr>
          <w:p w14:paraId="19DFADDB">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单位</w:t>
            </w:r>
          </w:p>
        </w:tc>
        <w:tc>
          <w:tcPr>
            <w:tcW w:w="998" w:type="dxa"/>
            <w:vAlign w:val="center"/>
          </w:tcPr>
          <w:p w14:paraId="351D5D10">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数量</w:t>
            </w:r>
          </w:p>
        </w:tc>
        <w:tc>
          <w:tcPr>
            <w:tcW w:w="1161" w:type="dxa"/>
            <w:vAlign w:val="center"/>
          </w:tcPr>
          <w:p w14:paraId="4287F29F">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单价(元)</w:t>
            </w:r>
          </w:p>
        </w:tc>
        <w:tc>
          <w:tcPr>
            <w:tcW w:w="1417" w:type="dxa"/>
            <w:vAlign w:val="center"/>
          </w:tcPr>
          <w:p w14:paraId="13FDE1D6">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总价(元)</w:t>
            </w:r>
          </w:p>
        </w:tc>
      </w:tr>
      <w:tr w14:paraId="47C5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689" w:type="dxa"/>
            <w:vAlign w:val="center"/>
          </w:tcPr>
          <w:p w14:paraId="13C20725">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1</w:t>
            </w:r>
          </w:p>
        </w:tc>
        <w:tc>
          <w:tcPr>
            <w:tcW w:w="1588" w:type="dxa"/>
            <w:vAlign w:val="center"/>
          </w:tcPr>
          <w:p w14:paraId="1598C354">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住宿</w:t>
            </w:r>
          </w:p>
        </w:tc>
        <w:tc>
          <w:tcPr>
            <w:tcW w:w="2433" w:type="dxa"/>
            <w:vAlign w:val="center"/>
          </w:tcPr>
          <w:p w14:paraId="6CFE2F01">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双人标间（含早餐）</w:t>
            </w:r>
          </w:p>
        </w:tc>
        <w:tc>
          <w:tcPr>
            <w:tcW w:w="770" w:type="dxa"/>
            <w:vAlign w:val="center"/>
          </w:tcPr>
          <w:p w14:paraId="6E5E3358">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间</w:t>
            </w:r>
          </w:p>
        </w:tc>
        <w:tc>
          <w:tcPr>
            <w:tcW w:w="998" w:type="dxa"/>
            <w:vAlign w:val="center"/>
          </w:tcPr>
          <w:p w14:paraId="2EE4AC15">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eastAsia="zh-CN"/>
              </w:rPr>
            </w:pPr>
            <w:r>
              <w:rPr>
                <w:rFonts w:hint="eastAsia" w:ascii="仿宋" w:hAnsi="仿宋" w:eastAsia="仿宋" w:cs="仿宋"/>
                <w:color w:val="333333"/>
                <w:kern w:val="0"/>
                <w:sz w:val="21"/>
                <w:szCs w:val="21"/>
                <w:highlight w:val="none"/>
                <w:lang w:val="en-US" w:eastAsia="zh-CN" w:bidi="ar"/>
              </w:rPr>
              <w:t>270</w:t>
            </w:r>
          </w:p>
        </w:tc>
        <w:tc>
          <w:tcPr>
            <w:tcW w:w="1161" w:type="dxa"/>
            <w:vAlign w:val="center"/>
          </w:tcPr>
          <w:p w14:paraId="15AA77E0">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245.00</w:t>
            </w:r>
          </w:p>
        </w:tc>
        <w:tc>
          <w:tcPr>
            <w:tcW w:w="1417" w:type="dxa"/>
            <w:vAlign w:val="center"/>
          </w:tcPr>
          <w:p w14:paraId="25F80F62">
            <w:pPr>
              <w:keepNext w:val="0"/>
              <w:keepLines w:val="0"/>
              <w:widowControl/>
              <w:suppressLineNumbers w:val="0"/>
              <w:spacing w:before="0" w:beforeAutospacing="0" w:after="0" w:afterAutospacing="0" w:line="300" w:lineRule="exact"/>
              <w:ind w:left="0" w:leftChars="0" w:right="0" w:right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66150.00</w:t>
            </w:r>
          </w:p>
        </w:tc>
      </w:tr>
      <w:tr w14:paraId="50E6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89" w:type="dxa"/>
            <w:vAlign w:val="center"/>
          </w:tcPr>
          <w:p w14:paraId="7F2B3B5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2</w:t>
            </w:r>
          </w:p>
        </w:tc>
        <w:tc>
          <w:tcPr>
            <w:tcW w:w="1588" w:type="dxa"/>
            <w:vAlign w:val="center"/>
          </w:tcPr>
          <w:p w14:paraId="38905B3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餐饮</w:t>
            </w:r>
          </w:p>
        </w:tc>
        <w:tc>
          <w:tcPr>
            <w:tcW w:w="2433" w:type="dxa"/>
            <w:vAlign w:val="center"/>
          </w:tcPr>
          <w:p w14:paraId="6F3FD79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桌餐或同标准自助餐</w:t>
            </w:r>
          </w:p>
        </w:tc>
        <w:tc>
          <w:tcPr>
            <w:tcW w:w="770" w:type="dxa"/>
            <w:vAlign w:val="center"/>
          </w:tcPr>
          <w:p w14:paraId="7F3E8F8C">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人次</w:t>
            </w:r>
          </w:p>
        </w:tc>
        <w:tc>
          <w:tcPr>
            <w:tcW w:w="998" w:type="dxa"/>
            <w:vAlign w:val="center"/>
          </w:tcPr>
          <w:p w14:paraId="1E15EA05">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eastAsia="zh-CN"/>
              </w:rPr>
            </w:pPr>
            <w:r>
              <w:rPr>
                <w:rFonts w:hint="eastAsia" w:ascii="仿宋" w:hAnsi="仿宋" w:eastAsia="仿宋" w:cs="仿宋"/>
                <w:color w:val="333333"/>
                <w:kern w:val="0"/>
                <w:sz w:val="21"/>
                <w:szCs w:val="21"/>
                <w:highlight w:val="none"/>
                <w:lang w:val="en-US" w:eastAsia="zh-CN" w:bidi="ar"/>
              </w:rPr>
              <w:t>1232</w:t>
            </w:r>
          </w:p>
        </w:tc>
        <w:tc>
          <w:tcPr>
            <w:tcW w:w="1161" w:type="dxa"/>
            <w:vAlign w:val="center"/>
          </w:tcPr>
          <w:p w14:paraId="49BF748B">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50.00</w:t>
            </w:r>
          </w:p>
        </w:tc>
        <w:tc>
          <w:tcPr>
            <w:tcW w:w="1417" w:type="dxa"/>
            <w:vAlign w:val="center"/>
          </w:tcPr>
          <w:p w14:paraId="34BDC363">
            <w:pPr>
              <w:keepNext w:val="0"/>
              <w:keepLines w:val="0"/>
              <w:widowControl/>
              <w:suppressLineNumbers w:val="0"/>
              <w:spacing w:before="0" w:beforeAutospacing="0" w:after="0" w:afterAutospacing="0" w:line="300" w:lineRule="exact"/>
              <w:ind w:left="0" w:leftChars="0" w:right="0" w:rightChars="0"/>
              <w:jc w:val="center"/>
              <w:rPr>
                <w:rFonts w:hint="default" w:ascii="仿宋" w:hAnsi="仿宋" w:eastAsia="仿宋" w:cs="仿宋"/>
                <w:color w:val="333333"/>
                <w:kern w:val="0"/>
                <w:sz w:val="21"/>
                <w:szCs w:val="21"/>
                <w:highlight w:val="none"/>
                <w:lang w:val="en-US" w:eastAsia="zh-CN" w:bidi="ar"/>
              </w:rPr>
            </w:pPr>
            <w:r>
              <w:rPr>
                <w:rFonts w:hint="eastAsia" w:ascii="仿宋" w:hAnsi="仿宋" w:eastAsia="仿宋" w:cs="仿宋"/>
                <w:color w:val="333333"/>
                <w:kern w:val="0"/>
                <w:sz w:val="21"/>
                <w:szCs w:val="21"/>
                <w:highlight w:val="none"/>
                <w:lang w:val="en-US" w:eastAsia="zh-CN" w:bidi="ar"/>
              </w:rPr>
              <w:t>61600.00</w:t>
            </w:r>
          </w:p>
        </w:tc>
      </w:tr>
      <w:tr w14:paraId="2D22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vAlign w:val="center"/>
          </w:tcPr>
          <w:p w14:paraId="41F4E0DB">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3</w:t>
            </w:r>
          </w:p>
        </w:tc>
        <w:tc>
          <w:tcPr>
            <w:tcW w:w="1588" w:type="dxa"/>
            <w:vAlign w:val="center"/>
          </w:tcPr>
          <w:p w14:paraId="6A62FC09">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教学培训场地</w:t>
            </w:r>
          </w:p>
        </w:tc>
        <w:tc>
          <w:tcPr>
            <w:tcW w:w="2433" w:type="dxa"/>
            <w:vAlign w:val="center"/>
          </w:tcPr>
          <w:p w14:paraId="2DBA0260">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auto"/>
                <w:kern w:val="0"/>
                <w:szCs w:val="21"/>
                <w:highlight w:val="none"/>
                <w:lang w:val="en-US"/>
              </w:rPr>
            </w:pPr>
            <w:r>
              <w:rPr>
                <w:rFonts w:hint="eastAsia" w:ascii="仿宋" w:hAnsi="仿宋" w:eastAsia="仿宋" w:cs="仿宋"/>
                <w:kern w:val="0"/>
                <w:sz w:val="21"/>
                <w:szCs w:val="21"/>
                <w:highlight w:val="none"/>
                <w:lang w:val="en-US" w:eastAsia="zh-CN" w:bidi="ar"/>
              </w:rPr>
              <w:t>180平米以上，半天/场</w:t>
            </w:r>
          </w:p>
        </w:tc>
        <w:tc>
          <w:tcPr>
            <w:tcW w:w="770" w:type="dxa"/>
            <w:vAlign w:val="center"/>
          </w:tcPr>
          <w:p w14:paraId="53F9EB0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kern w:val="0"/>
                <w:sz w:val="21"/>
                <w:szCs w:val="21"/>
                <w:highlight w:val="none"/>
                <w:lang w:val="en-US" w:eastAsia="zh-CN" w:bidi="ar"/>
              </w:rPr>
              <w:t>场</w:t>
            </w:r>
          </w:p>
        </w:tc>
        <w:tc>
          <w:tcPr>
            <w:tcW w:w="998" w:type="dxa"/>
            <w:vAlign w:val="center"/>
          </w:tcPr>
          <w:p w14:paraId="35BA3054">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eastAsia="zh-CN"/>
              </w:rPr>
            </w:pPr>
            <w:r>
              <w:rPr>
                <w:rFonts w:hint="eastAsia" w:ascii="仿宋" w:hAnsi="仿宋" w:eastAsia="仿宋" w:cs="仿宋"/>
                <w:color w:val="333333"/>
                <w:kern w:val="0"/>
                <w:sz w:val="21"/>
                <w:szCs w:val="21"/>
                <w:highlight w:val="none"/>
                <w:lang w:val="en-US" w:eastAsia="zh-CN" w:bidi="ar"/>
              </w:rPr>
              <w:t>4</w:t>
            </w:r>
          </w:p>
        </w:tc>
        <w:tc>
          <w:tcPr>
            <w:tcW w:w="1161" w:type="dxa"/>
            <w:vAlign w:val="center"/>
          </w:tcPr>
          <w:p w14:paraId="42DCD69D">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1500</w:t>
            </w:r>
          </w:p>
        </w:tc>
        <w:tc>
          <w:tcPr>
            <w:tcW w:w="1417" w:type="dxa"/>
            <w:vAlign w:val="center"/>
          </w:tcPr>
          <w:p w14:paraId="3E2B41F6">
            <w:pPr>
              <w:keepNext w:val="0"/>
              <w:keepLines w:val="0"/>
              <w:widowControl/>
              <w:suppressLineNumbers w:val="0"/>
              <w:spacing w:before="0" w:beforeAutospacing="0" w:after="0" w:afterAutospacing="0" w:line="300" w:lineRule="exact"/>
              <w:ind w:left="0" w:leftChars="0" w:right="0" w:right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6000.00</w:t>
            </w:r>
          </w:p>
        </w:tc>
      </w:tr>
      <w:tr w14:paraId="5B97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478" w:type="dxa"/>
            <w:gridSpan w:val="5"/>
            <w:vAlign w:val="center"/>
          </w:tcPr>
          <w:p w14:paraId="01A91DC7">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Cs w:val="21"/>
                <w:highlight w:val="none"/>
                <w:lang w:val="en-US" w:eastAsia="zh-CN"/>
              </w:rPr>
              <w:t xml:space="preserve"> </w:t>
            </w:r>
            <w:r>
              <w:rPr>
                <w:rFonts w:hint="eastAsia" w:ascii="仿宋" w:hAnsi="仿宋" w:eastAsia="仿宋" w:cs="仿宋"/>
                <w:color w:val="333333"/>
                <w:kern w:val="0"/>
                <w:sz w:val="21"/>
                <w:szCs w:val="21"/>
                <w:highlight w:val="none"/>
                <w:lang w:val="en-US" w:eastAsia="zh-CN" w:bidi="ar"/>
              </w:rPr>
              <w:t>合计（元）</w:t>
            </w:r>
          </w:p>
        </w:tc>
        <w:tc>
          <w:tcPr>
            <w:tcW w:w="2578" w:type="dxa"/>
            <w:gridSpan w:val="2"/>
            <w:vAlign w:val="center"/>
          </w:tcPr>
          <w:p w14:paraId="14495038">
            <w:pPr>
              <w:keepNext w:val="0"/>
              <w:keepLines w:val="0"/>
              <w:widowControl/>
              <w:suppressLineNumbers w:val="0"/>
              <w:spacing w:before="0" w:beforeAutospacing="0" w:after="0" w:afterAutospacing="0" w:line="300" w:lineRule="exact"/>
              <w:ind w:left="0" w:leftChars="0" w:right="0" w:right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133750.00</w:t>
            </w:r>
          </w:p>
        </w:tc>
      </w:tr>
    </w:tbl>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5A5DF9A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theme="minorEastAsia"/>
          <w:kern w:val="2"/>
          <w:sz w:val="24"/>
          <w:szCs w:val="24"/>
          <w:lang w:val="en-US" w:eastAsia="zh-CN" w:bidi="ar-SA"/>
        </w:rPr>
        <w:t>本合同价格以最终中标单价为准，按实际服务数量据实结算，最终实际总价不得超过采购预算总价。成交供应商收到成交通知后，应在一周内签订合同。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596973C6">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单期培训班结束后，供应商在10个工作日内提交完整费用明细清单及正规发票，采购人审核无误后，一次性支付该期全部服务费用。</w:t>
      </w:r>
    </w:p>
    <w:p w14:paraId="1F3C6598">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具体以签订的合同为准。</w:t>
      </w:r>
    </w:p>
    <w:p w14:paraId="0CE05F5F">
      <w:pPr>
        <w:pStyle w:val="2"/>
        <w:rPr>
          <w:rFonts w:hint="eastAsia" w:ascii="仿宋" w:hAnsi="仿宋" w:eastAsia="仿宋"/>
          <w:b/>
          <w:sz w:val="36"/>
          <w:szCs w:val="36"/>
        </w:rPr>
      </w:pPr>
    </w:p>
    <w:p w14:paraId="41299599">
      <w:pPr>
        <w:rPr>
          <w:rFonts w:hint="eastAsia"/>
        </w:rPr>
      </w:pPr>
      <w:r>
        <w:rPr>
          <w:rFonts w:hint="eastAsia"/>
        </w:rPr>
        <w:br w:type="page"/>
      </w:r>
    </w:p>
    <w:p w14:paraId="7FE399E4">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55243EF8">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17CB497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56D33DE6">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7628288">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0918972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1B9DBDF1">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1EB816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57CB3C33">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3E6626CA">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064D171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w:t>
      </w:r>
      <w:r>
        <w:rPr>
          <w:rFonts w:hint="eastAsia" w:ascii="仿宋" w:hAnsi="仿宋" w:eastAsia="仿宋"/>
          <w:sz w:val="24"/>
          <w:szCs w:val="24"/>
          <w:lang w:eastAsia="zh-CN"/>
        </w:rPr>
        <w:t>商各</w:t>
      </w:r>
      <w:r>
        <w:rPr>
          <w:rFonts w:hint="eastAsia" w:ascii="仿宋" w:hAnsi="仿宋" w:eastAsia="仿宋"/>
          <w:sz w:val="24"/>
          <w:szCs w:val="24"/>
        </w:rPr>
        <w:t>项评分因素的得分。</w:t>
      </w:r>
    </w:p>
    <w:p w14:paraId="38214D06">
      <w:pPr>
        <w:pStyle w:val="16"/>
        <w:spacing w:before="0" w:beforeAutospacing="0" w:after="0" w:line="240" w:lineRule="atLeast"/>
        <w:ind w:left="0" w:leftChars="0" w:firstLine="0"/>
        <w:jc w:val="center"/>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583"/>
        <w:gridCol w:w="1357"/>
        <w:gridCol w:w="827"/>
        <w:gridCol w:w="5034"/>
      </w:tblGrid>
      <w:tr w14:paraId="4F4A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23" w:type="pct"/>
            <w:vAlign w:val="center"/>
          </w:tcPr>
          <w:p w14:paraId="7CF8D846">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序号</w:t>
            </w:r>
          </w:p>
        </w:tc>
        <w:tc>
          <w:tcPr>
            <w:tcW w:w="1138" w:type="pct"/>
            <w:gridSpan w:val="2"/>
            <w:vAlign w:val="center"/>
          </w:tcPr>
          <w:p w14:paraId="2D4177A6">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485" w:type="pct"/>
            <w:vAlign w:val="center"/>
          </w:tcPr>
          <w:p w14:paraId="332F8EBB">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权值</w:t>
            </w:r>
          </w:p>
        </w:tc>
        <w:tc>
          <w:tcPr>
            <w:tcW w:w="2952" w:type="pct"/>
            <w:vAlign w:val="center"/>
          </w:tcPr>
          <w:p w14:paraId="26D05213">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sz w:val="24"/>
                <w:szCs w:val="24"/>
              </w:rPr>
              <w:t>评分标准</w:t>
            </w:r>
          </w:p>
        </w:tc>
      </w:tr>
      <w:tr w14:paraId="5C91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3" w:type="pct"/>
            <w:vAlign w:val="center"/>
          </w:tcPr>
          <w:p w14:paraId="3F5D3296">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1</w:t>
            </w:r>
          </w:p>
        </w:tc>
        <w:tc>
          <w:tcPr>
            <w:tcW w:w="342" w:type="pct"/>
            <w:vMerge w:val="restart"/>
            <w:vAlign w:val="center"/>
          </w:tcPr>
          <w:p w14:paraId="384F7203">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报价</w:t>
            </w:r>
          </w:p>
        </w:tc>
        <w:tc>
          <w:tcPr>
            <w:tcW w:w="796" w:type="pct"/>
            <w:vAlign w:val="center"/>
          </w:tcPr>
          <w:p w14:paraId="4FBDEAE6">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住宿报价</w:t>
            </w:r>
          </w:p>
        </w:tc>
        <w:tc>
          <w:tcPr>
            <w:tcW w:w="485" w:type="pct"/>
            <w:vAlign w:val="center"/>
          </w:tcPr>
          <w:p w14:paraId="6856BD69">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0</w:t>
            </w:r>
          </w:p>
        </w:tc>
        <w:tc>
          <w:tcPr>
            <w:tcW w:w="2952" w:type="pct"/>
            <w:vAlign w:val="center"/>
          </w:tcPr>
          <w:p w14:paraId="38262DB6">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以经评委会一致认定满足招标文件要求且投标住宿价格最低的投标报价为评标基准价，其价格得分计</w:t>
            </w:r>
            <w:r>
              <w:rPr>
                <w:rFonts w:hint="eastAsia" w:ascii="宋体" w:hAnsi="宋体" w:cs="宋体"/>
                <w:szCs w:val="21"/>
                <w:lang w:val="en-US" w:eastAsia="zh-CN"/>
              </w:rPr>
              <w:t>2</w:t>
            </w:r>
            <w:r>
              <w:rPr>
                <w:rFonts w:hint="eastAsia" w:ascii="宋体" w:hAnsi="宋体" w:cs="宋体"/>
                <w:szCs w:val="21"/>
              </w:rPr>
              <w:t>0分。其他投标人的价格得分统一按公式计算：报价得分=（评标基准价/投标报价）×价格权重。</w:t>
            </w:r>
          </w:p>
        </w:tc>
      </w:tr>
      <w:tr w14:paraId="76FD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3" w:type="pct"/>
            <w:vAlign w:val="center"/>
          </w:tcPr>
          <w:p w14:paraId="7D2790C9">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2</w:t>
            </w:r>
          </w:p>
        </w:tc>
        <w:tc>
          <w:tcPr>
            <w:tcW w:w="342" w:type="pct"/>
            <w:vMerge w:val="continue"/>
            <w:vAlign w:val="center"/>
          </w:tcPr>
          <w:p w14:paraId="23A146B6">
            <w:pPr>
              <w:keepNext w:val="0"/>
              <w:keepLines w:val="0"/>
              <w:suppressLineNumbers w:val="0"/>
              <w:spacing w:before="0" w:beforeAutospacing="0" w:after="0" w:afterAutospacing="0"/>
              <w:ind w:left="0" w:right="0"/>
              <w:jc w:val="center"/>
              <w:rPr>
                <w:rFonts w:hint="eastAsia" w:ascii="仿宋" w:hAnsi="仿宋" w:eastAsia="仿宋"/>
                <w:kern w:val="0"/>
                <w:sz w:val="24"/>
                <w:szCs w:val="24"/>
              </w:rPr>
            </w:pPr>
          </w:p>
        </w:tc>
        <w:tc>
          <w:tcPr>
            <w:tcW w:w="796" w:type="pct"/>
            <w:vAlign w:val="center"/>
          </w:tcPr>
          <w:p w14:paraId="654FD6D0">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会场报价</w:t>
            </w:r>
          </w:p>
        </w:tc>
        <w:tc>
          <w:tcPr>
            <w:tcW w:w="485" w:type="pct"/>
            <w:vAlign w:val="center"/>
          </w:tcPr>
          <w:p w14:paraId="53102FFC">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2952" w:type="pct"/>
            <w:vAlign w:val="center"/>
          </w:tcPr>
          <w:p w14:paraId="369564F8">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以经评委会一致认定满足招标文件要求且投标会场（1</w:t>
            </w:r>
            <w:r>
              <w:rPr>
                <w:rFonts w:hint="eastAsia" w:ascii="宋体" w:hAnsi="宋体" w:cs="宋体"/>
                <w:szCs w:val="21"/>
                <w:lang w:val="en-US" w:eastAsia="zh-CN"/>
              </w:rPr>
              <w:t>80</w:t>
            </w:r>
            <w:r>
              <w:rPr>
                <w:rFonts w:hint="eastAsia" w:ascii="宋体" w:hAnsi="宋体" w:cs="宋体"/>
                <w:szCs w:val="21"/>
              </w:rPr>
              <w:t>平方米及以上）价格最低的投标报价为评标基准价，其价格得分计</w:t>
            </w:r>
            <w:r>
              <w:rPr>
                <w:rFonts w:hint="eastAsia" w:ascii="宋体" w:hAnsi="宋体" w:cs="宋体"/>
                <w:szCs w:val="21"/>
                <w:lang w:val="en-US" w:eastAsia="zh-CN"/>
              </w:rPr>
              <w:t>1</w:t>
            </w:r>
            <w:r>
              <w:rPr>
                <w:rFonts w:hint="eastAsia" w:ascii="宋体" w:hAnsi="宋体" w:cs="宋体"/>
                <w:szCs w:val="21"/>
              </w:rPr>
              <w:t>0分。其他投标人的价格得分统一按公式计算：报价得分=（评标基准价/投标报价）×价格权重。</w:t>
            </w:r>
          </w:p>
        </w:tc>
      </w:tr>
      <w:tr w14:paraId="099E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3" w:type="pct"/>
            <w:vAlign w:val="center"/>
          </w:tcPr>
          <w:p w14:paraId="59AC5F65">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342" w:type="pct"/>
            <w:vMerge w:val="restart"/>
            <w:vAlign w:val="center"/>
          </w:tcPr>
          <w:p w14:paraId="21A6A940">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服务</w:t>
            </w:r>
          </w:p>
        </w:tc>
        <w:tc>
          <w:tcPr>
            <w:tcW w:w="796" w:type="pct"/>
            <w:vAlign w:val="center"/>
          </w:tcPr>
          <w:p w14:paraId="009DAA8A">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住宿服务</w:t>
            </w:r>
          </w:p>
        </w:tc>
        <w:tc>
          <w:tcPr>
            <w:tcW w:w="485" w:type="pct"/>
            <w:vAlign w:val="center"/>
          </w:tcPr>
          <w:p w14:paraId="6DADD910">
            <w:pPr>
              <w:keepNext w:val="0"/>
              <w:keepLines w:val="0"/>
              <w:suppressLineNumbers w:val="0"/>
              <w:spacing w:before="0" w:beforeAutospacing="0" w:after="0" w:afterAutospacing="0"/>
              <w:ind w:left="0" w:right="0"/>
              <w:jc w:val="center"/>
              <w:rPr>
                <w:rFonts w:hint="eastAsia" w:ascii="仿宋" w:hAnsi="仿宋" w:eastAsia="宋体" w:cs="宋体"/>
                <w:sz w:val="24"/>
                <w:szCs w:val="24"/>
                <w:lang w:val="en-US" w:eastAsia="zh-CN"/>
              </w:rPr>
            </w:pPr>
            <w:r>
              <w:rPr>
                <w:rFonts w:hint="eastAsia" w:ascii="宋体" w:hAnsi="宋体" w:cs="宋体"/>
                <w:szCs w:val="21"/>
              </w:rPr>
              <w:t>2</w:t>
            </w:r>
            <w:r>
              <w:rPr>
                <w:rFonts w:hint="eastAsia" w:ascii="宋体" w:hAnsi="宋体" w:cs="宋体"/>
                <w:szCs w:val="21"/>
                <w:lang w:val="en-US" w:eastAsia="zh-CN"/>
              </w:rPr>
              <w:t>5</w:t>
            </w:r>
          </w:p>
        </w:tc>
        <w:tc>
          <w:tcPr>
            <w:tcW w:w="2952" w:type="pct"/>
            <w:vAlign w:val="center"/>
          </w:tcPr>
          <w:p w14:paraId="4F9AD4D1">
            <w:pPr>
              <w:keepNext w:val="0"/>
              <w:keepLines w:val="0"/>
              <w:numPr>
                <w:ilvl w:val="0"/>
                <w:numId w:val="1"/>
              </w:numPr>
              <w:suppressLineNumbers w:val="0"/>
              <w:spacing w:before="0" w:beforeAutospacing="0" w:after="0" w:afterAutospacing="0"/>
              <w:ind w:left="0" w:right="0"/>
              <w:jc w:val="left"/>
              <w:rPr>
                <w:rFonts w:hint="eastAsia"/>
              </w:rPr>
            </w:pPr>
            <w:r>
              <w:rPr>
                <w:rFonts w:hint="eastAsia"/>
              </w:rPr>
              <w:t>标准双人间数量得分：数量≥5</w:t>
            </w:r>
            <w:r>
              <w:rPr>
                <w:rFonts w:hint="eastAsia"/>
                <w:lang w:val="en-US" w:eastAsia="zh-CN"/>
              </w:rPr>
              <w:t>5</w:t>
            </w:r>
            <w:r>
              <w:rPr>
                <w:rFonts w:hint="eastAsia"/>
              </w:rPr>
              <w:t>间，本项得5分，数量&lt;5</w:t>
            </w:r>
            <w:r>
              <w:rPr>
                <w:rFonts w:hint="eastAsia"/>
                <w:lang w:val="en-US" w:eastAsia="zh-CN"/>
              </w:rPr>
              <w:t>5</w:t>
            </w:r>
            <w:r>
              <w:rPr>
                <w:rFonts w:hint="eastAsia"/>
              </w:rPr>
              <w:t>间，不得分；</w:t>
            </w:r>
          </w:p>
          <w:p w14:paraId="748539AC">
            <w:pPr>
              <w:keepNext w:val="0"/>
              <w:keepLines w:val="0"/>
              <w:numPr>
                <w:ilvl w:val="0"/>
                <w:numId w:val="0"/>
              </w:numPr>
              <w:suppressLineNumbers w:val="0"/>
              <w:spacing w:before="0" w:beforeAutospacing="0" w:after="0" w:afterAutospacing="0"/>
              <w:ind w:left="0" w:right="0" w:rightChars="0"/>
              <w:jc w:val="left"/>
              <w:rPr>
                <w:rFonts w:hint="eastAsia"/>
              </w:rPr>
            </w:pPr>
            <w:r>
              <w:rPr>
                <w:rFonts w:hint="eastAsia"/>
              </w:rPr>
              <w:t>（2）星级酒店得分：每一个酒店星级加1分，五星级酒店得5分，本项最多得5分；</w:t>
            </w:r>
          </w:p>
          <w:p w14:paraId="08113AD3">
            <w:pPr>
              <w:keepNext w:val="0"/>
              <w:keepLines w:val="0"/>
              <w:suppressLineNumbers w:val="0"/>
              <w:spacing w:before="0" w:beforeAutospacing="0" w:after="0" w:afterAutospacing="0"/>
              <w:ind w:left="0" w:right="0"/>
              <w:jc w:val="left"/>
              <w:rPr>
                <w:rFonts w:hint="eastAsia"/>
                <w:highlight w:val="none"/>
                <w:lang w:val="en-US" w:eastAsia="zh-CN"/>
              </w:rPr>
            </w:pPr>
            <w:r>
              <w:rPr>
                <w:rFonts w:hint="eastAsia"/>
                <w:highlight w:val="none"/>
                <w:lang w:eastAsia="zh-CN"/>
              </w:rPr>
              <w:t>（</w:t>
            </w:r>
            <w:r>
              <w:rPr>
                <w:rFonts w:hint="eastAsia"/>
                <w:highlight w:val="none"/>
                <w:lang w:val="en-US" w:eastAsia="zh-CN"/>
              </w:rPr>
              <w:t>3</w:t>
            </w:r>
            <w:r>
              <w:rPr>
                <w:rFonts w:hint="eastAsia"/>
                <w:highlight w:val="none"/>
                <w:lang w:eastAsia="zh-CN"/>
              </w:rPr>
              <w:t>）</w:t>
            </w:r>
            <w:r>
              <w:rPr>
                <w:rFonts w:hint="eastAsia"/>
                <w:highlight w:val="none"/>
                <w:lang w:val="en-US" w:eastAsia="zh-CN"/>
              </w:rPr>
              <w:t>免费提供小车接送站服务，每3趟得1分，本项最高得10分；</w:t>
            </w:r>
          </w:p>
          <w:p w14:paraId="286DC73E">
            <w:pPr>
              <w:keepNext w:val="0"/>
              <w:keepLines w:val="0"/>
              <w:suppressLineNumbers w:val="0"/>
              <w:spacing w:before="0" w:beforeAutospacing="0" w:after="0" w:afterAutospacing="0"/>
              <w:ind w:left="0" w:right="0"/>
              <w:jc w:val="left"/>
              <w:rPr>
                <w:rFonts w:hint="default"/>
                <w:highlight w:val="none"/>
                <w:lang w:val="en-US" w:eastAsia="zh-CN"/>
              </w:rPr>
            </w:pPr>
            <w:r>
              <w:rPr>
                <w:rFonts w:hint="eastAsia"/>
                <w:highlight w:val="none"/>
                <w:lang w:val="en-US" w:eastAsia="zh-CN"/>
              </w:rPr>
              <w:t>（4）免费提供培训期间外出所需大巴车免费服务，每2趟得1分，本项最高得5分。</w:t>
            </w:r>
          </w:p>
          <w:p w14:paraId="0C5BABA7">
            <w:pPr>
              <w:keepNext w:val="0"/>
              <w:keepLines w:val="0"/>
              <w:suppressLineNumbers w:val="0"/>
              <w:spacing w:before="0" w:beforeAutospacing="0" w:after="0" w:afterAutospacing="0"/>
              <w:ind w:left="0" w:right="0"/>
              <w:jc w:val="left"/>
              <w:rPr>
                <w:rFonts w:hint="default"/>
                <w:b/>
                <w:bCs/>
              </w:rPr>
            </w:pPr>
            <w:r>
              <w:rPr>
                <w:rFonts w:hint="eastAsia"/>
                <w:b/>
                <w:bCs/>
              </w:rPr>
              <w:t>本项累计最多得</w:t>
            </w:r>
            <w:r>
              <w:rPr>
                <w:rFonts w:hint="eastAsia"/>
                <w:b/>
                <w:bCs/>
                <w:lang w:val="en-US" w:eastAsia="zh-CN"/>
              </w:rPr>
              <w:t>25</w:t>
            </w:r>
            <w:r>
              <w:rPr>
                <w:rFonts w:hint="eastAsia"/>
                <w:b/>
                <w:bCs/>
              </w:rPr>
              <w:t>分。</w:t>
            </w:r>
          </w:p>
          <w:p w14:paraId="529A7C83">
            <w:pPr>
              <w:keepNext w:val="0"/>
              <w:keepLines w:val="0"/>
              <w:suppressLineNumbers w:val="0"/>
              <w:spacing w:before="0" w:beforeAutospacing="0" w:after="0" w:afterAutospacing="0"/>
              <w:ind w:left="0" w:right="0"/>
              <w:jc w:val="left"/>
              <w:rPr>
                <w:rFonts w:hint="eastAsia" w:ascii="仿宋" w:hAnsi="仿宋" w:cs="宋体"/>
                <w:sz w:val="24"/>
                <w:szCs w:val="24"/>
              </w:rPr>
            </w:pPr>
            <w:r>
              <w:rPr>
                <w:rFonts w:hint="eastAsia" w:ascii="宋体" w:hAnsi="宋体" w:cs="宋体"/>
                <w:b/>
                <w:bCs/>
                <w:szCs w:val="21"/>
              </w:rPr>
              <w:t>【说明】</w:t>
            </w:r>
            <w:r>
              <w:rPr>
                <w:rFonts w:hint="eastAsia"/>
                <w:b/>
                <w:bCs/>
              </w:rPr>
              <w:t>提供标准双人间数量证明资料或承诺函；提供星级酒店证明资料；提供</w:t>
            </w:r>
            <w:r>
              <w:rPr>
                <w:rFonts w:hint="eastAsia"/>
                <w:b/>
                <w:bCs/>
                <w:lang w:val="en-US" w:eastAsia="zh-CN"/>
              </w:rPr>
              <w:t>免费车辆接送服务承诺书</w:t>
            </w:r>
            <w:r>
              <w:rPr>
                <w:rFonts w:hint="eastAsia"/>
                <w:b/>
                <w:bCs/>
              </w:rPr>
              <w:t>。</w:t>
            </w:r>
          </w:p>
        </w:tc>
      </w:tr>
      <w:tr w14:paraId="6500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423" w:type="pct"/>
            <w:vAlign w:val="center"/>
          </w:tcPr>
          <w:p w14:paraId="3C252CC8">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4</w:t>
            </w:r>
          </w:p>
        </w:tc>
        <w:tc>
          <w:tcPr>
            <w:tcW w:w="342" w:type="pct"/>
            <w:vMerge w:val="continue"/>
            <w:vAlign w:val="center"/>
          </w:tcPr>
          <w:p w14:paraId="532045F5">
            <w:pPr>
              <w:keepNext w:val="0"/>
              <w:keepLines w:val="0"/>
              <w:suppressLineNumbers w:val="0"/>
              <w:spacing w:before="0" w:beforeAutospacing="0" w:after="0" w:afterAutospacing="0"/>
              <w:ind w:left="0" w:right="0"/>
              <w:jc w:val="center"/>
              <w:rPr>
                <w:rFonts w:hint="eastAsia" w:ascii="宋体" w:hAnsi="宋体" w:cs="宋体"/>
                <w:szCs w:val="21"/>
              </w:rPr>
            </w:pPr>
          </w:p>
        </w:tc>
        <w:tc>
          <w:tcPr>
            <w:tcW w:w="796" w:type="pct"/>
            <w:vAlign w:val="center"/>
          </w:tcPr>
          <w:p w14:paraId="66ED9ADD">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餐饮服务</w:t>
            </w:r>
          </w:p>
        </w:tc>
        <w:tc>
          <w:tcPr>
            <w:tcW w:w="485" w:type="pct"/>
            <w:vAlign w:val="center"/>
          </w:tcPr>
          <w:p w14:paraId="4EA267A7">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10</w:t>
            </w:r>
          </w:p>
        </w:tc>
        <w:tc>
          <w:tcPr>
            <w:tcW w:w="2952" w:type="pct"/>
            <w:vAlign w:val="center"/>
          </w:tcPr>
          <w:p w14:paraId="0F3FA704">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（1）餐厅可容纳人数得分：人数≥120人，得5分，人数</w:t>
            </w:r>
            <w:r>
              <w:rPr>
                <w:rFonts w:hint="eastAsia"/>
              </w:rPr>
              <w:t>&lt;120人，不得分</w:t>
            </w:r>
            <w:r>
              <w:rPr>
                <w:rFonts w:hint="eastAsia" w:ascii="宋体" w:hAnsi="宋体" w:cs="宋体"/>
                <w:szCs w:val="21"/>
              </w:rPr>
              <w:t>；</w:t>
            </w:r>
          </w:p>
          <w:p w14:paraId="46144F52">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（2）菜品种类得分：每餐菜品提供12种以上（含），得5分；提供10-11种，得3分，少于10种不得分。</w:t>
            </w:r>
          </w:p>
          <w:p w14:paraId="7236706E">
            <w:pPr>
              <w:keepNext w:val="0"/>
              <w:keepLines w:val="0"/>
              <w:widowControl/>
              <w:suppressLineNumbers w:val="0"/>
              <w:spacing w:before="0" w:beforeAutospacing="0" w:after="0" w:afterAutospacing="0"/>
              <w:ind w:left="0" w:right="0"/>
              <w:jc w:val="left"/>
              <w:rPr>
                <w:rFonts w:hint="eastAsia" w:ascii="宋体" w:hAnsi="宋体" w:cs="宋体"/>
                <w:b/>
                <w:bCs/>
                <w:szCs w:val="21"/>
              </w:rPr>
            </w:pPr>
            <w:r>
              <w:rPr>
                <w:rFonts w:hint="eastAsia" w:ascii="宋体" w:hAnsi="宋体" w:cs="宋体"/>
                <w:b/>
                <w:bCs/>
                <w:szCs w:val="21"/>
              </w:rPr>
              <w:t>本项累计最多得10分。</w:t>
            </w:r>
          </w:p>
          <w:p w14:paraId="77E2D6AF">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b/>
                <w:bCs/>
                <w:szCs w:val="21"/>
              </w:rPr>
              <w:t>【说明】提供餐厅可容纳人数及菜品品种有关证明材料或承诺函。</w:t>
            </w:r>
          </w:p>
        </w:tc>
      </w:tr>
      <w:tr w14:paraId="7FE5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vAlign w:val="center"/>
          </w:tcPr>
          <w:p w14:paraId="3304BA29">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5</w:t>
            </w:r>
          </w:p>
        </w:tc>
        <w:tc>
          <w:tcPr>
            <w:tcW w:w="342" w:type="pct"/>
            <w:vMerge w:val="continue"/>
            <w:vAlign w:val="center"/>
          </w:tcPr>
          <w:p w14:paraId="0D0AD91E">
            <w:pPr>
              <w:keepNext w:val="0"/>
              <w:keepLines w:val="0"/>
              <w:suppressLineNumbers w:val="0"/>
              <w:spacing w:before="0" w:beforeAutospacing="0" w:after="0" w:afterAutospacing="0"/>
              <w:ind w:left="0" w:right="0"/>
              <w:jc w:val="center"/>
              <w:rPr>
                <w:rFonts w:hint="eastAsia" w:ascii="宋体" w:hAnsi="宋体" w:cs="宋体"/>
                <w:szCs w:val="21"/>
              </w:rPr>
            </w:pPr>
          </w:p>
        </w:tc>
        <w:tc>
          <w:tcPr>
            <w:tcW w:w="796" w:type="pct"/>
            <w:vAlign w:val="center"/>
          </w:tcPr>
          <w:p w14:paraId="3193805B">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会场服务</w:t>
            </w:r>
          </w:p>
        </w:tc>
        <w:tc>
          <w:tcPr>
            <w:tcW w:w="485" w:type="pct"/>
            <w:vAlign w:val="center"/>
          </w:tcPr>
          <w:p w14:paraId="34034295">
            <w:pPr>
              <w:keepNext w:val="0"/>
              <w:keepLines w:val="0"/>
              <w:suppressLineNumbers w:val="0"/>
              <w:spacing w:before="0" w:beforeAutospacing="0" w:after="0" w:afterAutospacing="0"/>
              <w:ind w:left="0" w:right="0"/>
              <w:jc w:val="center"/>
              <w:rPr>
                <w:rFonts w:hint="eastAsia" w:ascii="仿宋" w:hAnsi="仿宋" w:eastAsia="宋体" w:cs="宋体"/>
                <w:sz w:val="24"/>
                <w:szCs w:val="24"/>
                <w:lang w:eastAsia="zh-CN"/>
              </w:rPr>
            </w:pPr>
            <w:r>
              <w:rPr>
                <w:rFonts w:hint="eastAsia" w:ascii="宋体" w:hAnsi="宋体" w:cs="宋体"/>
                <w:szCs w:val="21"/>
              </w:rPr>
              <w:t>2</w:t>
            </w:r>
            <w:r>
              <w:rPr>
                <w:rFonts w:hint="eastAsia" w:ascii="宋体" w:hAnsi="宋体" w:cs="宋体"/>
                <w:szCs w:val="21"/>
                <w:lang w:val="en-US" w:eastAsia="zh-CN"/>
              </w:rPr>
              <w:t>5</w:t>
            </w:r>
          </w:p>
        </w:tc>
        <w:tc>
          <w:tcPr>
            <w:tcW w:w="2952" w:type="pct"/>
            <w:vAlign w:val="center"/>
          </w:tcPr>
          <w:p w14:paraId="3D123F03">
            <w:pPr>
              <w:keepNext w:val="0"/>
              <w:keepLines w:val="0"/>
              <w:widowControl/>
              <w:suppressLineNumbers w:val="0"/>
              <w:spacing w:before="0" w:beforeAutospacing="0" w:after="0" w:afterAutospacing="0"/>
              <w:ind w:left="0" w:right="0"/>
              <w:jc w:val="left"/>
              <w:rPr>
                <w:rFonts w:hint="eastAsia" w:ascii="宋体" w:hAnsi="宋体" w:cs="宋体"/>
                <w:color w:val="auto"/>
                <w:szCs w:val="21"/>
                <w:highlight w:val="none"/>
              </w:rPr>
            </w:pPr>
            <w:r>
              <w:rPr>
                <w:rFonts w:hint="eastAsia" w:ascii="宋体" w:hAnsi="宋体" w:cs="宋体"/>
                <w:szCs w:val="21"/>
                <w:highlight w:val="none"/>
              </w:rPr>
              <w:t>（1）提</w:t>
            </w:r>
            <w:r>
              <w:rPr>
                <w:rFonts w:hint="eastAsia" w:ascii="宋体" w:hAnsi="宋体" w:cs="宋体"/>
                <w:color w:val="auto"/>
                <w:szCs w:val="21"/>
                <w:highlight w:val="none"/>
              </w:rPr>
              <w:t>供</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处</w:t>
            </w:r>
            <w:r>
              <w:rPr>
                <w:rFonts w:hint="eastAsia" w:ascii="宋体" w:hAnsi="宋体" w:cs="宋体"/>
                <w:szCs w:val="21"/>
                <w:highlight w:val="none"/>
              </w:rPr>
              <w:t>1</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0㎡（含）以上</w:t>
            </w:r>
            <w:r>
              <w:rPr>
                <w:rFonts w:hint="eastAsia" w:ascii="宋体" w:hAnsi="宋体" w:cs="宋体"/>
                <w:color w:val="auto"/>
                <w:szCs w:val="21"/>
                <w:highlight w:val="none"/>
                <w:lang w:val="en-US" w:eastAsia="zh-CN"/>
              </w:rPr>
              <w:t>且可</w:t>
            </w:r>
            <w:r>
              <w:rPr>
                <w:rFonts w:hint="eastAsia" w:ascii="宋体" w:hAnsi="宋体" w:cs="宋体"/>
                <w:color w:val="auto"/>
                <w:szCs w:val="21"/>
                <w:highlight w:val="none"/>
              </w:rPr>
              <w:t xml:space="preserve">容纳 </w:t>
            </w:r>
            <w:r>
              <w:rPr>
                <w:rFonts w:hint="eastAsia" w:ascii="宋体" w:hAnsi="宋体" w:cs="宋体"/>
                <w:color w:val="auto"/>
                <w:szCs w:val="21"/>
                <w:highlight w:val="none"/>
                <w:lang w:val="en-US" w:eastAsia="zh-CN"/>
              </w:rPr>
              <w:t>120</w:t>
            </w:r>
            <w:r>
              <w:rPr>
                <w:rFonts w:hint="eastAsia" w:ascii="宋体" w:hAnsi="宋体" w:cs="宋体"/>
                <w:color w:val="auto"/>
                <w:szCs w:val="21"/>
                <w:highlight w:val="none"/>
              </w:rPr>
              <w:t>人以上</w:t>
            </w:r>
            <w:r>
              <w:rPr>
                <w:rFonts w:hint="eastAsia" w:ascii="宋体" w:hAnsi="宋体" w:cs="宋体"/>
                <w:color w:val="auto"/>
                <w:szCs w:val="21"/>
                <w:highlight w:val="none"/>
                <w:lang w:eastAsia="zh-CN"/>
              </w:rPr>
              <w:t>的</w:t>
            </w:r>
            <w:r>
              <w:rPr>
                <w:rFonts w:hint="eastAsia" w:ascii="宋体" w:hAnsi="宋体" w:cs="宋体"/>
                <w:color w:val="auto"/>
                <w:szCs w:val="21"/>
                <w:highlight w:val="none"/>
              </w:rPr>
              <w:t>会场，得</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分，不能提供的不得分；</w:t>
            </w:r>
            <w:r>
              <w:rPr>
                <w:rFonts w:hint="eastAsia"/>
                <w:highlight w:val="none"/>
                <w:lang w:val="en-US" w:eastAsia="zh-CN"/>
              </w:rPr>
              <w:t>本项最高得5分。</w:t>
            </w:r>
          </w:p>
          <w:p w14:paraId="7B4349A7">
            <w:pPr>
              <w:keepNext w:val="0"/>
              <w:keepLines w:val="0"/>
              <w:widowControl/>
              <w:suppressLineNumbers w:val="0"/>
              <w:spacing w:before="0" w:beforeAutospacing="0" w:after="0" w:afterAutospacing="0"/>
              <w:ind w:left="0" w:right="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）能提供音响、LED屏、麦克风等必备培训设备，得</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分，提供不全的得2分，不能提供的不得分。</w:t>
            </w:r>
          </w:p>
          <w:p w14:paraId="13FE4B2B">
            <w:pPr>
              <w:keepNext w:val="0"/>
              <w:keepLines w:val="0"/>
              <w:suppressLineNumbers w:val="0"/>
              <w:spacing w:before="0" w:beforeAutospacing="0" w:after="0" w:afterAutospacing="0"/>
              <w:ind w:left="0" w:right="0"/>
              <w:jc w:val="left"/>
              <w:rPr>
                <w:rFonts w:hint="default" w:ascii="宋体" w:hAnsi="宋体" w:cs="宋体"/>
                <w:szCs w:val="21"/>
                <w:highlight w:val="none"/>
                <w:lang w:val="en-US"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3</w:t>
            </w:r>
            <w:r>
              <w:rPr>
                <w:rFonts w:hint="eastAsia" w:ascii="宋体" w:hAnsi="宋体" w:cs="宋体"/>
                <w:szCs w:val="21"/>
                <w:highlight w:val="none"/>
                <w:lang w:eastAsia="zh-CN"/>
              </w:rPr>
              <w:t>）</w:t>
            </w:r>
            <w:r>
              <w:rPr>
                <w:rFonts w:hint="eastAsia" w:ascii="宋体" w:hAnsi="宋体" w:cs="宋体"/>
                <w:szCs w:val="21"/>
                <w:highlight w:val="none"/>
                <w:lang w:val="en-US" w:eastAsia="zh-CN"/>
              </w:rPr>
              <w:t>每场次（半天）提供1次免费茶歇服务，茶歇点心含水果、小零食，品种5样以上；数量30人份以上得2分，每增加10人份加1分，最高得7分。</w:t>
            </w:r>
          </w:p>
          <w:p w14:paraId="35047BCC">
            <w:pPr>
              <w:keepNext w:val="0"/>
              <w:keepLines w:val="0"/>
              <w:suppressLineNumbers w:val="0"/>
              <w:spacing w:before="0" w:beforeAutospacing="0" w:after="0" w:afterAutospacing="0"/>
              <w:ind w:left="0" w:right="0"/>
              <w:jc w:val="left"/>
              <w:rPr>
                <w:rFonts w:hint="eastAsia" w:ascii="宋体" w:hAnsi="宋体" w:cs="宋体"/>
                <w:szCs w:val="21"/>
                <w:highlight w:val="none"/>
                <w:lang w:val="en-US"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4</w:t>
            </w:r>
            <w:r>
              <w:rPr>
                <w:rFonts w:hint="eastAsia" w:ascii="宋体" w:hAnsi="宋体" w:cs="宋体"/>
                <w:szCs w:val="21"/>
                <w:highlight w:val="none"/>
                <w:lang w:eastAsia="zh-CN"/>
              </w:rPr>
              <w:t>）</w:t>
            </w:r>
            <w:r>
              <w:rPr>
                <w:rFonts w:hint="eastAsia" w:ascii="宋体" w:hAnsi="宋体" w:cs="宋体"/>
                <w:szCs w:val="21"/>
                <w:highlight w:val="none"/>
                <w:lang w:val="en-US" w:eastAsia="zh-CN"/>
              </w:rPr>
              <w:t>会场新旧程度，2025年9月以后装修得8分，每往前1年扣1分，以装修合同时间为准。</w:t>
            </w:r>
          </w:p>
          <w:p w14:paraId="311A0CDA">
            <w:pPr>
              <w:keepNext w:val="0"/>
              <w:keepLines w:val="0"/>
              <w:suppressLineNumbers w:val="0"/>
              <w:spacing w:before="0" w:beforeAutospacing="0" w:after="0" w:afterAutospacing="0"/>
              <w:ind w:left="0" w:right="0"/>
              <w:jc w:val="left"/>
              <w:rPr>
                <w:rFonts w:hint="default" w:ascii="宋体" w:hAnsi="宋体" w:cs="宋体"/>
                <w:b/>
                <w:bCs/>
                <w:szCs w:val="21"/>
                <w:highlight w:val="none"/>
                <w:lang w:val="en-US" w:eastAsia="zh-CN"/>
              </w:rPr>
            </w:pPr>
            <w:r>
              <w:rPr>
                <w:rFonts w:hint="eastAsia" w:ascii="宋体" w:hAnsi="宋体" w:cs="宋体"/>
                <w:b/>
                <w:bCs/>
                <w:szCs w:val="21"/>
                <w:highlight w:val="none"/>
                <w:lang w:val="en-US" w:eastAsia="zh-CN"/>
              </w:rPr>
              <w:t>本项最高得25分</w:t>
            </w:r>
          </w:p>
          <w:p w14:paraId="4555D7D2">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b/>
                <w:bCs/>
                <w:szCs w:val="21"/>
              </w:rPr>
              <w:t>【说明】提供各会场照片及面积、数</w:t>
            </w:r>
            <w:r>
              <w:rPr>
                <w:rFonts w:hint="eastAsia" w:ascii="宋体" w:hAnsi="宋体" w:cs="宋体"/>
                <w:b/>
                <w:bCs/>
                <w:szCs w:val="21"/>
                <w:lang w:eastAsia="zh-CN"/>
              </w:rPr>
              <w:t>量等</w:t>
            </w:r>
            <w:r>
              <w:rPr>
                <w:rFonts w:hint="eastAsia" w:ascii="宋体" w:hAnsi="宋体" w:cs="宋体"/>
                <w:b/>
                <w:bCs/>
                <w:szCs w:val="21"/>
              </w:rPr>
              <w:t>有关证明资料或承诺函；</w:t>
            </w:r>
            <w:r>
              <w:rPr>
                <w:rFonts w:hint="eastAsia" w:ascii="宋体" w:hAnsi="宋体" w:cs="宋体"/>
                <w:b/>
                <w:bCs/>
                <w:szCs w:val="21"/>
                <w:lang w:val="en-US" w:eastAsia="zh-CN"/>
              </w:rPr>
              <w:t>茶歇服务提供承诺函；</w:t>
            </w:r>
            <w:r>
              <w:rPr>
                <w:rFonts w:hint="eastAsia" w:ascii="宋体" w:hAnsi="宋体" w:cs="宋体"/>
                <w:b/>
                <w:bCs/>
                <w:szCs w:val="21"/>
              </w:rPr>
              <w:t>提供各项培训设备清单及购置或租赁等证明材料。</w:t>
            </w:r>
          </w:p>
        </w:tc>
      </w:tr>
      <w:tr w14:paraId="16E6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vAlign w:val="center"/>
          </w:tcPr>
          <w:p w14:paraId="73A1588E">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6</w:t>
            </w:r>
          </w:p>
        </w:tc>
        <w:tc>
          <w:tcPr>
            <w:tcW w:w="342" w:type="pct"/>
            <w:vAlign w:val="center"/>
          </w:tcPr>
          <w:p w14:paraId="71659658">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业绩</w:t>
            </w:r>
          </w:p>
        </w:tc>
        <w:tc>
          <w:tcPr>
            <w:tcW w:w="796" w:type="pct"/>
            <w:vAlign w:val="center"/>
          </w:tcPr>
          <w:p w14:paraId="02D2E0FF">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同类业绩</w:t>
            </w:r>
          </w:p>
        </w:tc>
        <w:tc>
          <w:tcPr>
            <w:tcW w:w="485" w:type="pct"/>
            <w:vAlign w:val="center"/>
          </w:tcPr>
          <w:p w14:paraId="45BCBA91">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10</w:t>
            </w:r>
          </w:p>
        </w:tc>
        <w:tc>
          <w:tcPr>
            <w:tcW w:w="2952" w:type="pct"/>
            <w:vAlign w:val="center"/>
          </w:tcPr>
          <w:p w14:paraId="715C6D0E">
            <w:pPr>
              <w:keepNext w:val="0"/>
              <w:keepLines w:val="0"/>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提供近两年同类培训或会议服务业绩，每提供一项得2分，本项最多得10分。</w:t>
            </w:r>
          </w:p>
          <w:p w14:paraId="22CEA51B">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b/>
                <w:bCs/>
                <w:szCs w:val="21"/>
              </w:rPr>
              <w:t>【说明】：提供2024年6月1日至今，同类培训服务项目的合同复印件，合同没有公章或者公章无法辨识，视为无效合同。</w:t>
            </w:r>
          </w:p>
        </w:tc>
      </w:tr>
    </w:tbl>
    <w:p w14:paraId="55335EEE">
      <w:r>
        <w:rPr>
          <w:rFonts w:hint="eastAsia"/>
        </w:rPr>
        <w:t>【说明】餐饮报价不参与评分，仅作为签订服务合同的依据，餐饮</w:t>
      </w:r>
      <w:r>
        <w:rPr>
          <w:rFonts w:hint="eastAsia"/>
          <w:lang w:val="en-US" w:eastAsia="zh-CN"/>
        </w:rPr>
        <w:t>报价</w:t>
      </w:r>
      <w:r>
        <w:rPr>
          <w:rFonts w:hint="eastAsia"/>
        </w:rPr>
        <w:t>不</w:t>
      </w:r>
      <w:r>
        <w:rPr>
          <w:rFonts w:hint="eastAsia"/>
          <w:lang w:val="en-US" w:eastAsia="zh-CN"/>
        </w:rPr>
        <w:t>得</w:t>
      </w:r>
      <w:r>
        <w:rPr>
          <w:rFonts w:hint="eastAsia"/>
        </w:rPr>
        <w:t>超过最高限价。</w:t>
      </w:r>
    </w:p>
    <w:p w14:paraId="16D86979">
      <w:pPr>
        <w:pStyle w:val="16"/>
        <w:ind w:left="0" w:leftChars="0" w:firstLine="0"/>
        <w:jc w:val="center"/>
        <w:rPr>
          <w:rFonts w:hint="eastAsia" w:ascii="宋体" w:hAnsi="宋体" w:eastAsia="仿宋" w:cs="宋体"/>
          <w:b/>
          <w:color w:val="333333"/>
          <w:kern w:val="0"/>
          <w:sz w:val="36"/>
          <w:szCs w:val="36"/>
        </w:rPr>
      </w:pPr>
    </w:p>
    <w:p w14:paraId="7DA3D8E6">
      <w:pPr>
        <w:pStyle w:val="16"/>
        <w:ind w:left="0" w:leftChars="0" w:firstLine="0"/>
        <w:jc w:val="center"/>
        <w:rPr>
          <w:rFonts w:hint="eastAsia" w:ascii="宋体" w:hAnsi="宋体" w:eastAsia="仿宋" w:cs="宋体"/>
          <w:b/>
          <w:color w:val="333333"/>
          <w:kern w:val="0"/>
          <w:sz w:val="36"/>
          <w:szCs w:val="36"/>
        </w:rPr>
      </w:pPr>
    </w:p>
    <w:p w14:paraId="0406C5A9">
      <w:pPr>
        <w:pStyle w:val="16"/>
        <w:ind w:left="0" w:leftChars="0" w:firstLine="0"/>
        <w:jc w:val="center"/>
        <w:rPr>
          <w:rFonts w:hint="eastAsia" w:ascii="宋体" w:hAnsi="宋体" w:eastAsia="仿宋" w:cs="宋体"/>
          <w:b/>
          <w:color w:val="333333"/>
          <w:kern w:val="0"/>
          <w:sz w:val="36"/>
          <w:szCs w:val="36"/>
        </w:rPr>
      </w:pPr>
    </w:p>
    <w:p w14:paraId="2068F7AF">
      <w:pP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br w:type="page"/>
      </w:r>
    </w:p>
    <w:p w14:paraId="595C1604">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672635CD">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72CE6FB4">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2E3260E4">
      <w:pPr>
        <w:pStyle w:val="16"/>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13544E06"/>
    <w:p w14:paraId="7EDEF63B">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50C14AD3">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76A6FFFA">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317BA8F0">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8C6A527">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33EE1F5B">
      <w:pPr>
        <w:pStyle w:val="10"/>
        <w:adjustRightInd w:val="0"/>
        <w:snapToGrid w:val="0"/>
        <w:spacing w:line="360" w:lineRule="auto"/>
        <w:rPr>
          <w:rFonts w:hint="eastAsia" w:ascii="仿宋_GB2312" w:hAnsi="宋体" w:eastAsia="仿宋_GB2312"/>
          <w:b/>
        </w:rPr>
      </w:pPr>
    </w:p>
    <w:p w14:paraId="7BDED3A4">
      <w:pPr>
        <w:pStyle w:val="10"/>
        <w:adjustRightInd w:val="0"/>
        <w:snapToGrid w:val="0"/>
        <w:spacing w:line="360" w:lineRule="auto"/>
        <w:rPr>
          <w:rFonts w:hint="eastAsia" w:ascii="仿宋_GB2312" w:hAnsi="宋体" w:eastAsia="仿宋_GB2312"/>
          <w:b/>
        </w:rPr>
      </w:pPr>
      <w:r>
        <w:rPr>
          <w:rFonts w:hint="eastAsia" w:ascii="仿宋_GB2312" w:hAnsi="宋体" w:eastAsia="仿宋_GB2312"/>
          <w:b/>
        </w:rPr>
        <w:br w:type="page"/>
      </w:r>
    </w:p>
    <w:p w14:paraId="0E0310DF">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0172AB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3FF928D2">
      <w:pPr>
        <w:adjustRightInd w:val="0"/>
        <w:snapToGrid w:val="0"/>
        <w:spacing w:line="360" w:lineRule="auto"/>
        <w:rPr>
          <w:rFonts w:hint="eastAsia" w:ascii="仿宋_GB2312" w:hAnsi="宋体" w:eastAsia="仿宋_GB2312"/>
          <w:sz w:val="24"/>
          <w:szCs w:val="24"/>
        </w:rPr>
      </w:pPr>
    </w:p>
    <w:p w14:paraId="6C1A5FD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5A715FF">
      <w:pPr>
        <w:spacing w:line="360" w:lineRule="auto"/>
        <w:ind w:firstLine="480" w:firstLineChars="200"/>
        <w:rPr>
          <w:rFonts w:hint="eastAsia" w:ascii="仿宋" w:hAnsi="仿宋" w:eastAsia="仿宋"/>
          <w:sz w:val="24"/>
          <w:szCs w:val="24"/>
          <w:lang w:val="en-US" w:eastAsia="zh-CN"/>
        </w:rPr>
      </w:pPr>
      <w:r>
        <w:rPr>
          <w:rFonts w:hint="eastAsia" w:ascii="仿宋" w:hAnsi="仿宋" w:eastAsia="仿宋"/>
          <w:sz w:val="24"/>
          <w:szCs w:val="24"/>
        </w:rPr>
        <w:t>我方已仔细研究了</w:t>
      </w:r>
      <w:r>
        <w:rPr>
          <w:rFonts w:hint="eastAsia" w:ascii="仿宋" w:hAnsi="仿宋" w:eastAsia="仿宋" w:cs="仿宋"/>
          <w:color w:val="333333"/>
          <w:kern w:val="0"/>
          <w:sz w:val="24"/>
          <w:szCs w:val="24"/>
          <w:lang w:eastAsia="zh-CN"/>
        </w:rPr>
        <w:t>湖南铁道职业技术学院“匠满三湘”职工职业技能认定班（电子设备装接工专场）培训</w:t>
      </w:r>
      <w:r>
        <w:rPr>
          <w:rFonts w:hint="eastAsia" w:ascii="仿宋" w:hAnsi="仿宋" w:eastAsia="仿宋"/>
          <w:sz w:val="24"/>
          <w:szCs w:val="24"/>
        </w:rPr>
        <w:t>的询比采购文件的全部内容，知悉参加询比的风险，我方承诺接受询比采购文件的全部条款且无任何异议。</w:t>
      </w:r>
      <w:r>
        <w:rPr>
          <w:rFonts w:hint="eastAsia" w:ascii="仿宋" w:hAnsi="仿宋" w:eastAsia="仿宋"/>
          <w:sz w:val="24"/>
          <w:szCs w:val="24"/>
          <w:lang w:val="en-US" w:eastAsia="zh-CN"/>
        </w:rPr>
        <w:t xml:space="preserve"> </w:t>
      </w:r>
    </w:p>
    <w:p w14:paraId="4E02EF5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26D356EC">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0F57DCE4">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7FC16755">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3303367A">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7DAF7F24">
      <w:pPr>
        <w:adjustRightInd w:val="0"/>
        <w:snapToGrid w:val="0"/>
        <w:spacing w:line="360" w:lineRule="auto"/>
        <w:ind w:right="24"/>
        <w:rPr>
          <w:rFonts w:hint="eastAsia" w:ascii="仿宋" w:hAnsi="仿宋" w:eastAsia="仿宋"/>
          <w:bCs/>
          <w:sz w:val="24"/>
          <w:szCs w:val="24"/>
        </w:rPr>
      </w:pPr>
    </w:p>
    <w:p w14:paraId="699E2781">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附1-1：</w:t>
      </w:r>
      <w:r>
        <w:rPr>
          <w:rFonts w:hint="eastAsia" w:ascii="仿宋" w:hAnsi="仿宋" w:eastAsia="仿宋"/>
          <w:sz w:val="24"/>
          <w:szCs w:val="24"/>
        </w:rPr>
        <w:t>法定代表人身份证明(法定代表人参加询比)</w:t>
      </w:r>
    </w:p>
    <w:p w14:paraId="259F8CBE">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：法定代表人授权书(委托代理人参加询比)</w:t>
      </w:r>
    </w:p>
    <w:p w14:paraId="3D9B1E79">
      <w:pPr>
        <w:pStyle w:val="10"/>
        <w:adjustRightInd w:val="0"/>
        <w:snapToGrid w:val="0"/>
        <w:spacing w:line="360" w:lineRule="auto"/>
        <w:rPr>
          <w:rFonts w:hint="eastAsia" w:ascii="仿宋" w:hAnsi="仿宋" w:eastAsia="仿宋"/>
          <w:sz w:val="24"/>
          <w:szCs w:val="24"/>
        </w:rPr>
      </w:pPr>
    </w:p>
    <w:p w14:paraId="1D25411F">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158165F5">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5DAA5600">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42A68203">
      <w:pPr>
        <w:adjustRightInd w:val="0"/>
        <w:snapToGrid w:val="0"/>
        <w:spacing w:line="360" w:lineRule="auto"/>
        <w:ind w:right="24"/>
        <w:rPr>
          <w:rFonts w:hint="eastAsia" w:ascii="仿宋" w:hAnsi="仿宋" w:eastAsia="仿宋"/>
          <w:bCs/>
          <w:sz w:val="24"/>
        </w:rPr>
      </w:pPr>
      <w:r>
        <w:rPr>
          <w:rFonts w:hint="eastAsia" w:ascii="仿宋" w:hAnsi="仿宋" w:eastAsia="仿宋"/>
          <w:bCs/>
          <w:sz w:val="24"/>
        </w:rPr>
        <w:br w:type="page"/>
      </w:r>
    </w:p>
    <w:p w14:paraId="6A5600E8">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附1-1：</w:t>
      </w:r>
    </w:p>
    <w:p w14:paraId="14016E70">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497400F0">
      <w:pPr>
        <w:snapToGrid w:val="0"/>
        <w:spacing w:line="480" w:lineRule="auto"/>
        <w:rPr>
          <w:rFonts w:hint="eastAsia" w:ascii="仿宋" w:hAnsi="仿宋" w:eastAsia="仿宋"/>
          <w:sz w:val="24"/>
          <w:szCs w:val="24"/>
        </w:rPr>
      </w:pPr>
    </w:p>
    <w:p w14:paraId="34159FC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3D431659">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427F44AB">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A989E9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0AFD94DD">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754261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2FDB994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1EF269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6E4EE778">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5EAD6A2B">
      <w:pPr>
        <w:adjustRightInd w:val="0"/>
        <w:snapToGrid w:val="0"/>
        <w:spacing w:line="360" w:lineRule="auto"/>
        <w:rPr>
          <w:rFonts w:hint="eastAsia" w:ascii="仿宋" w:hAnsi="仿宋" w:eastAsia="仿宋"/>
          <w:sz w:val="24"/>
          <w:szCs w:val="24"/>
        </w:rPr>
      </w:pPr>
    </w:p>
    <w:p w14:paraId="1ABF673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268497F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6841CF42">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5DAF3C7F">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w:t>
      </w:r>
    </w:p>
    <w:p w14:paraId="2962B979">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4BA3C4C2">
      <w:pPr>
        <w:adjustRightInd w:val="0"/>
        <w:snapToGrid w:val="0"/>
        <w:spacing w:line="360" w:lineRule="auto"/>
        <w:jc w:val="center"/>
        <w:rPr>
          <w:rFonts w:hint="eastAsia" w:ascii="仿宋" w:hAnsi="仿宋" w:eastAsia="仿宋"/>
          <w:b/>
          <w:sz w:val="24"/>
          <w:szCs w:val="24"/>
        </w:rPr>
      </w:pPr>
    </w:p>
    <w:p w14:paraId="37A94081">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0FB9E90B">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62613F43">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0048EEF8">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1459DCDA">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23D40CA2">
      <w:pPr>
        <w:adjustRightInd w:val="0"/>
        <w:snapToGrid w:val="0"/>
        <w:spacing w:line="360" w:lineRule="auto"/>
        <w:ind w:right="420"/>
        <w:rPr>
          <w:rFonts w:ascii="仿宋_GB2312" w:eastAsia="仿宋_GB2312"/>
          <w:sz w:val="24"/>
          <w:szCs w:val="24"/>
        </w:rPr>
      </w:pPr>
    </w:p>
    <w:p w14:paraId="2462E16F">
      <w:pPr>
        <w:adjustRightInd w:val="0"/>
        <w:snapToGrid w:val="0"/>
        <w:spacing w:line="360" w:lineRule="auto"/>
        <w:ind w:right="420"/>
        <w:rPr>
          <w:rFonts w:ascii="仿宋_GB2312" w:eastAsia="仿宋_GB2312"/>
          <w:sz w:val="24"/>
          <w:szCs w:val="24"/>
        </w:rPr>
      </w:pPr>
    </w:p>
    <w:p w14:paraId="78825750">
      <w:pPr>
        <w:adjustRightInd w:val="0"/>
        <w:snapToGrid w:val="0"/>
        <w:spacing w:line="360" w:lineRule="auto"/>
        <w:ind w:right="420"/>
        <w:rPr>
          <w:rFonts w:ascii="仿宋_GB2312" w:eastAsia="仿宋_GB2312"/>
          <w:sz w:val="24"/>
          <w:szCs w:val="24"/>
        </w:rPr>
      </w:pPr>
    </w:p>
    <w:p w14:paraId="67459CBD">
      <w:pPr>
        <w:adjustRightInd w:val="0"/>
        <w:snapToGrid w:val="0"/>
        <w:spacing w:line="360" w:lineRule="auto"/>
        <w:ind w:right="420"/>
        <w:rPr>
          <w:rFonts w:ascii="仿宋_GB2312" w:eastAsia="仿宋_GB2312"/>
          <w:sz w:val="24"/>
          <w:szCs w:val="24"/>
        </w:rPr>
      </w:pPr>
    </w:p>
    <w:p w14:paraId="2618EDCC">
      <w:pPr>
        <w:adjustRightInd w:val="0"/>
        <w:snapToGrid w:val="0"/>
        <w:spacing w:line="360" w:lineRule="auto"/>
        <w:ind w:right="420"/>
        <w:rPr>
          <w:rFonts w:ascii="仿宋_GB2312" w:eastAsia="仿宋_GB2312"/>
          <w:sz w:val="24"/>
          <w:szCs w:val="24"/>
        </w:rPr>
      </w:pPr>
    </w:p>
    <w:p w14:paraId="433595A8">
      <w:pPr>
        <w:adjustRightInd w:val="0"/>
        <w:snapToGrid w:val="0"/>
        <w:spacing w:line="360" w:lineRule="auto"/>
        <w:ind w:right="420"/>
        <w:rPr>
          <w:rFonts w:ascii="仿宋_GB2312" w:eastAsia="仿宋_GB2312"/>
          <w:sz w:val="24"/>
          <w:szCs w:val="24"/>
        </w:rPr>
      </w:pPr>
    </w:p>
    <w:p w14:paraId="1B407245">
      <w:pPr>
        <w:adjustRightInd w:val="0"/>
        <w:snapToGrid w:val="0"/>
        <w:spacing w:line="360" w:lineRule="auto"/>
        <w:ind w:right="420"/>
        <w:rPr>
          <w:rFonts w:ascii="仿宋_GB2312" w:eastAsia="仿宋_GB2312"/>
          <w:sz w:val="24"/>
          <w:szCs w:val="24"/>
        </w:rPr>
      </w:pPr>
    </w:p>
    <w:p w14:paraId="1392561F">
      <w:pPr>
        <w:adjustRightInd w:val="0"/>
        <w:snapToGrid w:val="0"/>
        <w:spacing w:line="360" w:lineRule="auto"/>
        <w:ind w:right="420"/>
        <w:rPr>
          <w:rFonts w:ascii="仿宋_GB2312" w:eastAsia="仿宋_GB2312"/>
          <w:sz w:val="24"/>
          <w:szCs w:val="24"/>
        </w:rPr>
      </w:pPr>
    </w:p>
    <w:p w14:paraId="35F6CCF3">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5F2E788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56F1C96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051FA5BA">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54295101">
      <w:pPr>
        <w:spacing w:line="360" w:lineRule="exact"/>
        <w:rPr>
          <w:rFonts w:ascii="仿宋_GB2312" w:eastAsia="仿宋_GB2312"/>
          <w:b/>
          <w:sz w:val="24"/>
          <w:szCs w:val="24"/>
        </w:rPr>
      </w:pPr>
    </w:p>
    <w:p w14:paraId="45C726EA"/>
    <w:p w14:paraId="12478F56">
      <w:r>
        <w:br w:type="page"/>
      </w:r>
    </w:p>
    <w:p w14:paraId="347DF5F2">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7813CCEE">
      <w:pPr>
        <w:jc w:val="center"/>
        <w:rPr>
          <w:rFonts w:hint="eastAsia" w:ascii="仿宋" w:hAnsi="仿宋" w:eastAsia="仿宋"/>
          <w:b/>
          <w:sz w:val="32"/>
          <w:szCs w:val="32"/>
        </w:rPr>
      </w:pPr>
      <w:r>
        <w:rPr>
          <w:rFonts w:ascii="仿宋" w:hAnsi="仿宋" w:eastAsia="仿宋"/>
          <w:b/>
          <w:sz w:val="32"/>
          <w:szCs w:val="32"/>
        </w:rPr>
        <w:t>报价函</w:t>
      </w:r>
    </w:p>
    <w:p w14:paraId="244D19E1">
      <w:pPr>
        <w:rPr>
          <w:rFonts w:hint="eastAsia" w:ascii="仿宋" w:hAnsi="仿宋" w:eastAsia="仿宋"/>
          <w:sz w:val="24"/>
          <w:szCs w:val="24"/>
        </w:rPr>
      </w:pPr>
      <w:r>
        <w:rPr>
          <w:rFonts w:hint="eastAsia" w:ascii="仿宋" w:hAnsi="仿宋" w:eastAsia="仿宋"/>
          <w:sz w:val="24"/>
          <w:szCs w:val="24"/>
        </w:rPr>
        <w:t xml:space="preserve">                               </w:t>
      </w:r>
    </w:p>
    <w:p w14:paraId="52C9491E">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0B6B95D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我公司仔细阅读了湖南铁道职业技术学院“匠满三湘”职工职业技能认定班（电子设备装接工专场）培训酒店食宿及会场</w:t>
      </w:r>
      <w:r>
        <w:rPr>
          <w:rFonts w:hint="eastAsia" w:ascii="仿宋" w:hAnsi="仿宋" w:eastAsia="仿宋"/>
          <w:sz w:val="24"/>
          <w:szCs w:val="24"/>
          <w:lang w:val="en-US" w:eastAsia="zh-CN"/>
        </w:rPr>
        <w:t>租赁</w:t>
      </w:r>
      <w:r>
        <w:rPr>
          <w:rFonts w:hint="eastAsia" w:ascii="仿宋" w:hAnsi="仿宋" w:eastAsia="仿宋"/>
          <w:sz w:val="24"/>
          <w:szCs w:val="24"/>
        </w:rPr>
        <w:t>服务项</w:t>
      </w:r>
      <w:r>
        <w:rPr>
          <w:rFonts w:hint="eastAsia" w:ascii="仿宋" w:hAnsi="仿宋" w:eastAsia="仿宋"/>
          <w:sz w:val="24"/>
          <w:szCs w:val="24"/>
          <w:u w:val="none"/>
        </w:rPr>
        <w:t>目询</w:t>
      </w:r>
      <w:r>
        <w:rPr>
          <w:rFonts w:hint="eastAsia" w:ascii="仿宋" w:hAnsi="仿宋" w:eastAsia="仿宋"/>
          <w:sz w:val="24"/>
          <w:szCs w:val="24"/>
        </w:rPr>
        <w:t>比文件，清楚文件中关于本项目的相关采购需求。</w:t>
      </w:r>
    </w:p>
    <w:p w14:paraId="3133E168">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27654756">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 xml:space="preserve">我司最终报价如下： </w:t>
      </w:r>
    </w:p>
    <w:p w14:paraId="1FCDFDBD">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1.住宿、餐饮报价</w:t>
      </w:r>
    </w:p>
    <w:tbl>
      <w:tblPr>
        <w:tblStyle w:val="18"/>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4"/>
        <w:gridCol w:w="4122"/>
        <w:gridCol w:w="1538"/>
      </w:tblGrid>
      <w:tr w14:paraId="3847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80" w:type="pct"/>
            <w:vAlign w:val="center"/>
          </w:tcPr>
          <w:p w14:paraId="0BFEBD06">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类型</w:t>
            </w:r>
          </w:p>
        </w:tc>
        <w:tc>
          <w:tcPr>
            <w:tcW w:w="2418" w:type="pct"/>
            <w:vAlign w:val="center"/>
          </w:tcPr>
          <w:p w14:paraId="46A655D6">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报价</w:t>
            </w:r>
          </w:p>
        </w:tc>
        <w:tc>
          <w:tcPr>
            <w:tcW w:w="902" w:type="pct"/>
            <w:vAlign w:val="center"/>
          </w:tcPr>
          <w:p w14:paraId="6EBA517E">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default" w:ascii="仿宋" w:hAnsi="仿宋" w:eastAsia="仿宋" w:cs="仿宋"/>
                <w:sz w:val="24"/>
                <w:szCs w:val="24"/>
              </w:rPr>
              <w:t>说明</w:t>
            </w:r>
          </w:p>
        </w:tc>
      </w:tr>
      <w:tr w14:paraId="7EF9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28F45C7A">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标准双人间（普通标间）</w:t>
            </w:r>
          </w:p>
        </w:tc>
        <w:tc>
          <w:tcPr>
            <w:tcW w:w="2418" w:type="pct"/>
            <w:vAlign w:val="center"/>
          </w:tcPr>
          <w:p w14:paraId="418C8265">
            <w:pPr>
              <w:keepNext w:val="0"/>
              <w:keepLines w:val="0"/>
              <w:widowControl/>
              <w:suppressLineNumbers w:val="0"/>
              <w:spacing w:before="0" w:beforeAutospacing="0" w:after="0" w:afterAutospacing="0" w:line="450" w:lineRule="atLeast"/>
              <w:ind w:left="0" w:right="0"/>
              <w:textAlignment w:val="baseline"/>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hint="default"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default"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元/间·天（含双早）</w:t>
            </w:r>
          </w:p>
        </w:tc>
        <w:tc>
          <w:tcPr>
            <w:tcW w:w="902" w:type="pct"/>
            <w:vAlign w:val="center"/>
          </w:tcPr>
          <w:p w14:paraId="1E889B77">
            <w:pPr>
              <w:keepNext w:val="0"/>
              <w:keepLines w:val="0"/>
              <w:widowControl/>
              <w:suppressLineNumbers w:val="0"/>
              <w:spacing w:before="0" w:beforeAutospacing="0" w:after="0" w:afterAutospacing="0" w:line="300" w:lineRule="atLeast"/>
              <w:ind w:left="0" w:right="0"/>
              <w:jc w:val="center"/>
              <w:textAlignment w:val="baseline"/>
              <w:rPr>
                <w:rFonts w:hint="eastAsia" w:ascii="宋体" w:hAnsi="宋体" w:cs="宋体"/>
                <w:szCs w:val="21"/>
              </w:rPr>
            </w:pPr>
            <w:r>
              <w:rPr>
                <w:rFonts w:hint="eastAsia" w:ascii="宋体" w:hAnsi="宋体" w:cs="宋体"/>
                <w:szCs w:val="21"/>
              </w:rPr>
              <w:t>限价≤</w:t>
            </w:r>
            <w:r>
              <w:rPr>
                <w:rFonts w:hint="eastAsia" w:ascii="宋体" w:hAnsi="宋体" w:cs="宋体"/>
                <w:szCs w:val="21"/>
                <w:lang w:val="en-US" w:eastAsia="zh-CN"/>
              </w:rPr>
              <w:t>245</w:t>
            </w:r>
            <w:r>
              <w:rPr>
                <w:rFonts w:hint="eastAsia" w:ascii="宋体" w:hAnsi="宋体" w:cs="宋体"/>
                <w:szCs w:val="21"/>
              </w:rPr>
              <w:t>元 /间</w:t>
            </w:r>
            <w:r>
              <w:rPr>
                <w:rFonts w:hint="eastAsia" w:ascii="仿宋" w:hAnsi="仿宋" w:eastAsia="仿宋" w:cs="仿宋"/>
                <w:sz w:val="24"/>
                <w:szCs w:val="24"/>
              </w:rPr>
              <w:t>·天</w:t>
            </w:r>
          </w:p>
        </w:tc>
      </w:tr>
      <w:tr w14:paraId="3843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5242C83D">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正餐自助餐（中/晚餐）</w:t>
            </w:r>
          </w:p>
        </w:tc>
        <w:tc>
          <w:tcPr>
            <w:tcW w:w="2418" w:type="pct"/>
            <w:vAlign w:val="center"/>
          </w:tcPr>
          <w:p w14:paraId="6708A4CC">
            <w:pPr>
              <w:keepNext w:val="0"/>
              <w:keepLines w:val="0"/>
              <w:widowControl/>
              <w:suppressLineNumbers w:val="0"/>
              <w:tabs>
                <w:tab w:val="left" w:pos="3470"/>
              </w:tabs>
              <w:spacing w:before="0" w:beforeAutospacing="0" w:after="0" w:afterAutospacing="0" w:line="450" w:lineRule="atLeast"/>
              <w:ind w:left="0" w:right="-108"/>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元/人·</w:t>
            </w:r>
            <w:r>
              <w:rPr>
                <w:rFonts w:hint="eastAsia" w:ascii="仿宋" w:hAnsi="仿宋" w:eastAsia="仿宋" w:cs="仿宋"/>
                <w:color w:val="auto"/>
                <w:sz w:val="24"/>
                <w:szCs w:val="24"/>
                <w:lang w:val="en-US" w:eastAsia="zh-CN"/>
              </w:rPr>
              <w:t>餐</w:t>
            </w:r>
            <w:r>
              <w:rPr>
                <w:rFonts w:hint="eastAsia" w:ascii="仿宋" w:hAnsi="仿宋" w:eastAsia="仿宋" w:cs="仿宋"/>
                <w:color w:val="auto"/>
                <w:sz w:val="24"/>
                <w:szCs w:val="24"/>
              </w:rPr>
              <w:t>（中/晚餐）</w:t>
            </w:r>
          </w:p>
        </w:tc>
        <w:tc>
          <w:tcPr>
            <w:tcW w:w="902" w:type="pct"/>
            <w:vAlign w:val="center"/>
          </w:tcPr>
          <w:p w14:paraId="7989E51C">
            <w:pPr>
              <w:keepNext w:val="0"/>
              <w:keepLines w:val="0"/>
              <w:widowControl/>
              <w:suppressLineNumbers w:val="0"/>
              <w:spacing w:before="0" w:beforeAutospacing="0" w:after="0" w:afterAutospacing="0" w:line="300" w:lineRule="atLeast"/>
              <w:ind w:left="0" w:right="0"/>
              <w:jc w:val="center"/>
              <w:textAlignment w:val="baseline"/>
              <w:rPr>
                <w:rFonts w:hint="eastAsia" w:ascii="宋体" w:hAnsi="宋体" w:eastAsia="宋体" w:cs="宋体"/>
                <w:color w:val="auto"/>
                <w:szCs w:val="21"/>
                <w:lang w:eastAsia="zh-CN"/>
              </w:rPr>
            </w:pPr>
            <w:r>
              <w:rPr>
                <w:rFonts w:hint="eastAsia" w:ascii="宋体" w:hAnsi="宋体" w:cs="宋体"/>
                <w:color w:val="auto"/>
                <w:szCs w:val="21"/>
              </w:rPr>
              <w:t>限价≤</w:t>
            </w:r>
            <w:r>
              <w:rPr>
                <w:rFonts w:hint="eastAsia" w:ascii="宋体" w:hAnsi="宋体" w:cs="宋体"/>
                <w:color w:val="auto"/>
                <w:szCs w:val="21"/>
                <w:lang w:val="en-US" w:eastAsia="zh-CN"/>
              </w:rPr>
              <w:t>50</w:t>
            </w:r>
            <w:r>
              <w:rPr>
                <w:rFonts w:hint="eastAsia" w:ascii="宋体" w:hAnsi="宋体" w:cs="宋体"/>
                <w:color w:val="auto"/>
                <w:szCs w:val="21"/>
              </w:rPr>
              <w:t>元/</w:t>
            </w:r>
            <w:r>
              <w:rPr>
                <w:rFonts w:hint="eastAsia" w:ascii="仿宋" w:hAnsi="仿宋" w:eastAsia="仿宋" w:cs="仿宋"/>
                <w:color w:val="auto"/>
                <w:sz w:val="24"/>
                <w:szCs w:val="24"/>
              </w:rPr>
              <w:t>人·</w:t>
            </w:r>
            <w:r>
              <w:rPr>
                <w:rFonts w:hint="eastAsia" w:ascii="宋体" w:hAnsi="宋体" w:cs="宋体"/>
                <w:color w:val="auto"/>
                <w:szCs w:val="21"/>
                <w:lang w:val="en-US" w:eastAsia="zh-CN"/>
              </w:rPr>
              <w:t>餐</w:t>
            </w:r>
          </w:p>
        </w:tc>
      </w:tr>
    </w:tbl>
    <w:p w14:paraId="0F205ECC">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2.会场报价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8"/>
        <w:gridCol w:w="1865"/>
        <w:gridCol w:w="1408"/>
        <w:gridCol w:w="1410"/>
        <w:gridCol w:w="1481"/>
      </w:tblGrid>
      <w:tr w14:paraId="40CB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3" w:type="pct"/>
            <w:vAlign w:val="center"/>
          </w:tcPr>
          <w:p w14:paraId="08AF3973">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bookmarkStart w:id="9" w:name="OLE_LINK22"/>
            <w:r>
              <w:rPr>
                <w:rFonts w:hint="default" w:ascii="仿宋" w:hAnsi="仿宋" w:eastAsia="仿宋" w:cs="仿宋"/>
                <w:sz w:val="24"/>
                <w:szCs w:val="24"/>
              </w:rPr>
              <w:t>会场类型</w:t>
            </w:r>
          </w:p>
        </w:tc>
        <w:tc>
          <w:tcPr>
            <w:tcW w:w="1094" w:type="pct"/>
            <w:vAlign w:val="center"/>
          </w:tcPr>
          <w:p w14:paraId="453BA168">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报价（元/</w:t>
            </w:r>
            <w:r>
              <w:rPr>
                <w:rFonts w:hint="eastAsia" w:ascii="仿宋" w:hAnsi="仿宋" w:eastAsia="仿宋" w:cs="仿宋"/>
                <w:color w:val="auto"/>
                <w:sz w:val="24"/>
                <w:szCs w:val="24"/>
                <w:lang w:val="en-US" w:eastAsia="zh-CN"/>
              </w:rPr>
              <w:t>场</w:t>
            </w:r>
            <w:r>
              <w:rPr>
                <w:rFonts w:hint="eastAsia" w:ascii="仿宋" w:hAnsi="仿宋" w:eastAsia="仿宋" w:cs="仿宋"/>
                <w:color w:val="auto"/>
                <w:sz w:val="24"/>
                <w:szCs w:val="24"/>
              </w:rPr>
              <w:t>）</w:t>
            </w:r>
          </w:p>
        </w:tc>
        <w:tc>
          <w:tcPr>
            <w:tcW w:w="826" w:type="pct"/>
            <w:vAlign w:val="center"/>
          </w:tcPr>
          <w:p w14:paraId="1BABE834">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面积（㎡）</w:t>
            </w:r>
          </w:p>
        </w:tc>
        <w:tc>
          <w:tcPr>
            <w:tcW w:w="827" w:type="pct"/>
            <w:vAlign w:val="center"/>
          </w:tcPr>
          <w:p w14:paraId="7B4950AA">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可容纳</w:t>
            </w:r>
          </w:p>
          <w:p w14:paraId="2CF7C911">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人数</w:t>
            </w:r>
          </w:p>
        </w:tc>
        <w:tc>
          <w:tcPr>
            <w:tcW w:w="868" w:type="pct"/>
            <w:vAlign w:val="center"/>
          </w:tcPr>
          <w:p w14:paraId="2832D2BD">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default" w:ascii="仿宋" w:hAnsi="仿宋" w:eastAsia="仿宋" w:cs="仿宋"/>
                <w:color w:val="auto"/>
                <w:sz w:val="24"/>
                <w:szCs w:val="24"/>
              </w:rPr>
              <w:t>说明</w:t>
            </w:r>
          </w:p>
        </w:tc>
      </w:tr>
      <w:tr w14:paraId="4FA7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3" w:type="pct"/>
            <w:vAlign w:val="center"/>
          </w:tcPr>
          <w:p w14:paraId="54B10AA9">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18</w:t>
            </w:r>
            <w:r>
              <w:rPr>
                <w:rFonts w:hint="default" w:ascii="仿宋" w:hAnsi="仿宋" w:eastAsia="仿宋" w:cs="仿宋"/>
                <w:sz w:val="24"/>
                <w:szCs w:val="24"/>
              </w:rPr>
              <w:t>0平米以上</w:t>
            </w:r>
            <w:r>
              <w:rPr>
                <w:rFonts w:hint="eastAsia" w:ascii="仿宋" w:hAnsi="仿宋" w:eastAsia="仿宋" w:cs="仿宋"/>
                <w:sz w:val="24"/>
                <w:szCs w:val="24"/>
              </w:rPr>
              <w:t>且能容纳1</w:t>
            </w:r>
            <w:r>
              <w:rPr>
                <w:rFonts w:hint="eastAsia" w:ascii="仿宋" w:hAnsi="仿宋" w:eastAsia="仿宋" w:cs="仿宋"/>
                <w:sz w:val="24"/>
                <w:szCs w:val="24"/>
                <w:lang w:val="en-US" w:eastAsia="zh-CN"/>
              </w:rPr>
              <w:t>2</w:t>
            </w:r>
            <w:r>
              <w:rPr>
                <w:rFonts w:hint="default" w:ascii="仿宋" w:hAnsi="仿宋" w:eastAsia="仿宋" w:cs="仿宋"/>
                <w:sz w:val="24"/>
                <w:szCs w:val="24"/>
              </w:rPr>
              <w:t>0人以上</w:t>
            </w:r>
            <w:r>
              <w:rPr>
                <w:rFonts w:hint="eastAsia" w:ascii="仿宋" w:hAnsi="仿宋" w:eastAsia="仿宋" w:cs="仿宋"/>
                <w:sz w:val="24"/>
                <w:szCs w:val="24"/>
              </w:rPr>
              <w:t>会场</w:t>
            </w:r>
          </w:p>
        </w:tc>
        <w:tc>
          <w:tcPr>
            <w:tcW w:w="1094" w:type="pct"/>
            <w:vAlign w:val="center"/>
          </w:tcPr>
          <w:p w14:paraId="26F2CCFD">
            <w:pPr>
              <w:keepNext w:val="0"/>
              <w:keepLines w:val="0"/>
              <w:widowControl/>
              <w:suppressLineNumbers w:val="0"/>
              <w:spacing w:before="0" w:beforeAutospacing="0" w:after="0" w:afterAutospacing="0" w:line="300" w:lineRule="atLeast"/>
              <w:ind w:left="0" w:right="0"/>
              <w:jc w:val="left"/>
              <w:textAlignment w:val="baseline"/>
              <w:rPr>
                <w:rFonts w:hint="eastAsia" w:ascii="仿宋" w:hAnsi="仿宋" w:eastAsia="仿宋" w:cs="仿宋"/>
                <w:color w:val="auto"/>
                <w:sz w:val="24"/>
                <w:szCs w:val="24"/>
                <w:lang w:val="en-US" w:eastAsia="zh-CN"/>
              </w:rPr>
            </w:pPr>
            <w:r>
              <w:rPr>
                <w:rFonts w:hint="default" w:ascii="仿宋" w:hAnsi="仿宋" w:eastAsia="仿宋" w:cs="仿宋"/>
                <w:color w:val="auto"/>
                <w:sz w:val="24"/>
                <w:szCs w:val="24"/>
              </w:rPr>
              <w:t>________</w:t>
            </w:r>
            <w:r>
              <w:rPr>
                <w:rFonts w:hint="eastAsia" w:ascii="仿宋" w:hAnsi="仿宋" w:eastAsia="仿宋" w:cs="仿宋"/>
                <w:color w:val="auto"/>
                <w:sz w:val="24"/>
                <w:szCs w:val="24"/>
              </w:rPr>
              <w:t>元/</w:t>
            </w:r>
            <w:r>
              <w:rPr>
                <w:rFonts w:hint="eastAsia" w:ascii="仿宋" w:hAnsi="仿宋" w:eastAsia="仿宋" w:cs="仿宋"/>
                <w:color w:val="auto"/>
                <w:sz w:val="24"/>
                <w:szCs w:val="24"/>
                <w:lang w:val="en-US" w:eastAsia="zh-CN"/>
              </w:rPr>
              <w:t>场</w:t>
            </w:r>
          </w:p>
        </w:tc>
        <w:tc>
          <w:tcPr>
            <w:tcW w:w="826" w:type="pct"/>
            <w:vAlign w:val="center"/>
          </w:tcPr>
          <w:p w14:paraId="4BAEC659">
            <w:pPr>
              <w:keepNext w:val="0"/>
              <w:keepLines w:val="0"/>
              <w:widowControl/>
              <w:suppressLineNumbers w:val="0"/>
              <w:spacing w:before="0" w:beforeAutospacing="0" w:after="0" w:afterAutospacing="0" w:line="300" w:lineRule="atLeast"/>
              <w:ind w:left="0" w:right="0"/>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827" w:type="pct"/>
            <w:vAlign w:val="center"/>
          </w:tcPr>
          <w:p w14:paraId="0AFC2644">
            <w:pPr>
              <w:keepNext w:val="0"/>
              <w:keepLines w:val="0"/>
              <w:widowControl/>
              <w:suppressLineNumbers w:val="0"/>
              <w:spacing w:before="0" w:beforeAutospacing="0" w:after="0" w:afterAutospacing="0" w:line="300" w:lineRule="atLeast"/>
              <w:ind w:left="0" w:right="0"/>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w:t>
            </w:r>
          </w:p>
        </w:tc>
        <w:tc>
          <w:tcPr>
            <w:tcW w:w="868" w:type="pct"/>
            <w:vAlign w:val="center"/>
          </w:tcPr>
          <w:p w14:paraId="5722085B">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宋体" w:cs="仿宋"/>
                <w:color w:val="auto"/>
                <w:szCs w:val="21"/>
                <w:lang w:eastAsia="zh-CN"/>
              </w:rPr>
            </w:pPr>
            <w:r>
              <w:rPr>
                <w:rFonts w:hint="eastAsia" w:ascii="宋体" w:hAnsi="宋体" w:cs="宋体"/>
                <w:color w:val="auto"/>
                <w:szCs w:val="21"/>
              </w:rPr>
              <w:t>限价≤1</w:t>
            </w:r>
            <w:r>
              <w:rPr>
                <w:rFonts w:hint="eastAsia" w:ascii="宋体" w:hAnsi="宋体" w:cs="宋体"/>
                <w:color w:val="auto"/>
                <w:szCs w:val="21"/>
                <w:lang w:val="en-US" w:eastAsia="zh-CN"/>
              </w:rPr>
              <w:t>5</w:t>
            </w:r>
            <w:r>
              <w:rPr>
                <w:rFonts w:hint="eastAsia" w:ascii="宋体" w:hAnsi="宋体" w:cs="宋体"/>
                <w:color w:val="auto"/>
                <w:szCs w:val="21"/>
              </w:rPr>
              <w:t>00 元 /</w:t>
            </w:r>
            <w:r>
              <w:rPr>
                <w:rFonts w:hint="eastAsia" w:ascii="宋体" w:hAnsi="宋体" w:cs="宋体"/>
                <w:color w:val="auto"/>
                <w:szCs w:val="21"/>
                <w:lang w:val="en-US" w:eastAsia="zh-CN"/>
              </w:rPr>
              <w:t>场</w:t>
            </w:r>
          </w:p>
        </w:tc>
      </w:tr>
      <w:bookmarkEnd w:id="9"/>
    </w:tbl>
    <w:p w14:paraId="798D9FB1">
      <w:pPr>
        <w:adjustRightInd w:val="0"/>
        <w:snapToGrid w:val="0"/>
        <w:spacing w:line="360" w:lineRule="auto"/>
        <w:ind w:firstLine="420" w:firstLineChars="200"/>
        <w:rPr>
          <w:rFonts w:hint="eastAsia" w:ascii="仿宋" w:hAnsi="仿宋" w:eastAsia="仿宋"/>
          <w:szCs w:val="21"/>
        </w:rPr>
      </w:pPr>
      <w:r>
        <w:rPr>
          <w:rFonts w:ascii="仿宋" w:hAnsi="仿宋" w:eastAsia="仿宋"/>
          <w:szCs w:val="21"/>
        </w:rPr>
        <w:t>备注：</w:t>
      </w:r>
    </w:p>
    <w:p w14:paraId="397DE767">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（1）</w:t>
      </w:r>
      <w:r>
        <w:rPr>
          <w:rFonts w:ascii="仿宋" w:hAnsi="仿宋" w:eastAsia="仿宋"/>
          <w:szCs w:val="21"/>
        </w:rPr>
        <w:t>所有报价均为含税价</w:t>
      </w:r>
      <w:r>
        <w:rPr>
          <w:rFonts w:hint="eastAsia" w:ascii="仿宋" w:hAnsi="仿宋" w:eastAsia="仿宋"/>
          <w:szCs w:val="21"/>
        </w:rPr>
        <w:t>；</w:t>
      </w:r>
    </w:p>
    <w:p w14:paraId="0481B91E">
      <w:pPr>
        <w:adjustRightInd w:val="0"/>
        <w:snapToGrid w:val="0"/>
        <w:spacing w:line="360" w:lineRule="auto"/>
        <w:ind w:firstLine="420" w:firstLineChars="200"/>
        <w:rPr>
          <w:rFonts w:hint="eastAsia" w:ascii="仿宋" w:hAnsi="仿宋" w:eastAsia="仿宋"/>
          <w:color w:val="auto"/>
          <w:szCs w:val="21"/>
        </w:rPr>
      </w:pPr>
      <w:r>
        <w:rPr>
          <w:rFonts w:hint="eastAsia" w:ascii="仿宋" w:hAnsi="仿宋" w:eastAsia="仿宋"/>
          <w:color w:val="auto"/>
          <w:szCs w:val="21"/>
        </w:rPr>
        <w:t>（2）会场报价统一以每</w:t>
      </w:r>
      <w:r>
        <w:rPr>
          <w:rFonts w:hint="eastAsia" w:ascii="仿宋" w:hAnsi="仿宋" w:eastAsia="仿宋"/>
          <w:color w:val="auto"/>
          <w:szCs w:val="21"/>
          <w:lang w:val="en-US" w:eastAsia="zh-CN"/>
        </w:rPr>
        <w:t>场</w:t>
      </w:r>
      <w:r>
        <w:rPr>
          <w:rFonts w:hint="eastAsia" w:ascii="仿宋" w:hAnsi="仿宋" w:eastAsia="仿宋"/>
          <w:color w:val="auto"/>
          <w:szCs w:val="21"/>
        </w:rPr>
        <w:t>（</w:t>
      </w:r>
      <w:r>
        <w:rPr>
          <w:rFonts w:hint="eastAsia" w:ascii="仿宋" w:hAnsi="仿宋" w:eastAsia="仿宋"/>
          <w:color w:val="auto"/>
          <w:szCs w:val="21"/>
          <w:lang w:val="en-US" w:eastAsia="zh-CN"/>
        </w:rPr>
        <w:t>4</w:t>
      </w:r>
      <w:r>
        <w:rPr>
          <w:rFonts w:hint="eastAsia" w:ascii="仿宋" w:hAnsi="仿宋" w:eastAsia="仿宋"/>
          <w:color w:val="auto"/>
          <w:szCs w:val="21"/>
        </w:rPr>
        <w:t>小时）为单位对每间会场进行报价；</w:t>
      </w:r>
    </w:p>
    <w:p w14:paraId="1BA7D759">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（3）餐饮报价不参与评分，仅作为签订服务合同的依据。</w:t>
      </w:r>
    </w:p>
    <w:p w14:paraId="2013C349">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588DE988">
      <w:pPr>
        <w:spacing w:line="480" w:lineRule="auto"/>
        <w:ind w:firstLine="5520" w:firstLineChars="2300"/>
        <w:jc w:val="left"/>
        <w:rPr>
          <w:rFonts w:hint="default" w:ascii="仿宋" w:hAnsi="仿宋" w:eastAsia="仿宋"/>
          <w:sz w:val="24"/>
          <w:szCs w:val="24"/>
          <w:lang w:val="en-US" w:eastAsia="zh-CN"/>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FE03C69-CD5D-4989-97CD-7620F5C2E4B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2" w:fontKey="{03A34CEA-83D2-4755-ABAD-3B0E013D82C8}"/>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837FDF0B-ECD5-4E42-A9C4-06D75BED0F39}"/>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201060001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embedRegular r:id="rId4" w:fontKey="{47E00E67-1360-4E1D-9824-073A949D853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20"/>
      </w:rPr>
    </w:pPr>
    <w:r>
      <w:fldChar w:fldCharType="begin"/>
    </w:r>
    <w:r>
      <w:rPr>
        <w:rStyle w:val="20"/>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3BC5D8"/>
    <w:multiLevelType w:val="singleLevel"/>
    <w:tmpl w:val="D73BC5D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3E35A97"/>
    <w:rsid w:val="04413983"/>
    <w:rsid w:val="044E0E32"/>
    <w:rsid w:val="05997E8B"/>
    <w:rsid w:val="066D3445"/>
    <w:rsid w:val="08964B56"/>
    <w:rsid w:val="08C83CB5"/>
    <w:rsid w:val="097D7547"/>
    <w:rsid w:val="09902C2B"/>
    <w:rsid w:val="0A9926DB"/>
    <w:rsid w:val="0BDC4371"/>
    <w:rsid w:val="0C3721EC"/>
    <w:rsid w:val="0CEC11E8"/>
    <w:rsid w:val="0CFD51A3"/>
    <w:rsid w:val="0D7A240F"/>
    <w:rsid w:val="0FB06655"/>
    <w:rsid w:val="10912321"/>
    <w:rsid w:val="10C81F6C"/>
    <w:rsid w:val="11BE5B42"/>
    <w:rsid w:val="13A26E3E"/>
    <w:rsid w:val="13AE369B"/>
    <w:rsid w:val="144F1BCA"/>
    <w:rsid w:val="14FD6A90"/>
    <w:rsid w:val="15455939"/>
    <w:rsid w:val="15B12877"/>
    <w:rsid w:val="15DF777B"/>
    <w:rsid w:val="16D36F75"/>
    <w:rsid w:val="16FC64CC"/>
    <w:rsid w:val="172E31C9"/>
    <w:rsid w:val="17C3509D"/>
    <w:rsid w:val="19E54DD6"/>
    <w:rsid w:val="1A07140F"/>
    <w:rsid w:val="1A620D3B"/>
    <w:rsid w:val="1A7D2861"/>
    <w:rsid w:val="1B451A26"/>
    <w:rsid w:val="1BB90E2F"/>
    <w:rsid w:val="1C4A0C72"/>
    <w:rsid w:val="1D2D77E9"/>
    <w:rsid w:val="1D444728"/>
    <w:rsid w:val="1E4F7829"/>
    <w:rsid w:val="1ECF44C6"/>
    <w:rsid w:val="1F3A4035"/>
    <w:rsid w:val="1F572A0C"/>
    <w:rsid w:val="1F9951FF"/>
    <w:rsid w:val="1FEB532F"/>
    <w:rsid w:val="201D3E7D"/>
    <w:rsid w:val="202D76F6"/>
    <w:rsid w:val="20746BB2"/>
    <w:rsid w:val="21E64000"/>
    <w:rsid w:val="22451D9C"/>
    <w:rsid w:val="2253195E"/>
    <w:rsid w:val="22FB1D2D"/>
    <w:rsid w:val="23646EBE"/>
    <w:rsid w:val="23E9602A"/>
    <w:rsid w:val="242B03F0"/>
    <w:rsid w:val="24F13006"/>
    <w:rsid w:val="26E533CB"/>
    <w:rsid w:val="286B1703"/>
    <w:rsid w:val="28FF2109"/>
    <w:rsid w:val="295D104C"/>
    <w:rsid w:val="299C5AF9"/>
    <w:rsid w:val="299E6462"/>
    <w:rsid w:val="29B665AC"/>
    <w:rsid w:val="29D15596"/>
    <w:rsid w:val="2A7725E1"/>
    <w:rsid w:val="2B473D61"/>
    <w:rsid w:val="2CB01DDA"/>
    <w:rsid w:val="2D460049"/>
    <w:rsid w:val="30B748BA"/>
    <w:rsid w:val="3163566D"/>
    <w:rsid w:val="31D8203D"/>
    <w:rsid w:val="31FA2FC3"/>
    <w:rsid w:val="3248523C"/>
    <w:rsid w:val="341C563F"/>
    <w:rsid w:val="353327D7"/>
    <w:rsid w:val="35A3072E"/>
    <w:rsid w:val="35BA60CE"/>
    <w:rsid w:val="3715034B"/>
    <w:rsid w:val="38CA49CD"/>
    <w:rsid w:val="39B11210"/>
    <w:rsid w:val="39D54C2E"/>
    <w:rsid w:val="3A731769"/>
    <w:rsid w:val="3B3140E6"/>
    <w:rsid w:val="3B8763FC"/>
    <w:rsid w:val="3C0E61D6"/>
    <w:rsid w:val="3D912B45"/>
    <w:rsid w:val="3DBA1CCE"/>
    <w:rsid w:val="3DC92B7D"/>
    <w:rsid w:val="3E7013C9"/>
    <w:rsid w:val="3F2D1069"/>
    <w:rsid w:val="3F3E1FD1"/>
    <w:rsid w:val="3F581B89"/>
    <w:rsid w:val="404D79B1"/>
    <w:rsid w:val="40CF23D7"/>
    <w:rsid w:val="411058C0"/>
    <w:rsid w:val="413277CA"/>
    <w:rsid w:val="41A31919"/>
    <w:rsid w:val="42507548"/>
    <w:rsid w:val="457F75CA"/>
    <w:rsid w:val="46721E60"/>
    <w:rsid w:val="471A6376"/>
    <w:rsid w:val="476D5407"/>
    <w:rsid w:val="48A47AAF"/>
    <w:rsid w:val="495E1E55"/>
    <w:rsid w:val="4A6C57DD"/>
    <w:rsid w:val="4A842484"/>
    <w:rsid w:val="4ACE4B79"/>
    <w:rsid w:val="4ADA413D"/>
    <w:rsid w:val="4C811ECE"/>
    <w:rsid w:val="4C8E75EA"/>
    <w:rsid w:val="4CD64AED"/>
    <w:rsid w:val="4D634C67"/>
    <w:rsid w:val="4DEA6AA2"/>
    <w:rsid w:val="4DF74D1B"/>
    <w:rsid w:val="4E467A51"/>
    <w:rsid w:val="505E5526"/>
    <w:rsid w:val="50B25872"/>
    <w:rsid w:val="50C025FA"/>
    <w:rsid w:val="51355708"/>
    <w:rsid w:val="51CA3B38"/>
    <w:rsid w:val="51CC64BF"/>
    <w:rsid w:val="51DF4444"/>
    <w:rsid w:val="53425821"/>
    <w:rsid w:val="543D7D43"/>
    <w:rsid w:val="54413194"/>
    <w:rsid w:val="551408A9"/>
    <w:rsid w:val="554E608A"/>
    <w:rsid w:val="56D36709"/>
    <w:rsid w:val="56EB5013"/>
    <w:rsid w:val="573D6BC8"/>
    <w:rsid w:val="578D16E1"/>
    <w:rsid w:val="57A557E8"/>
    <w:rsid w:val="57DD4F82"/>
    <w:rsid w:val="59337A15"/>
    <w:rsid w:val="5A031FBA"/>
    <w:rsid w:val="5A865DA5"/>
    <w:rsid w:val="5B3B1FAA"/>
    <w:rsid w:val="5BD156BD"/>
    <w:rsid w:val="5BEE021E"/>
    <w:rsid w:val="5BF22FC6"/>
    <w:rsid w:val="5CF8252C"/>
    <w:rsid w:val="5D0631CD"/>
    <w:rsid w:val="5D215911"/>
    <w:rsid w:val="5D310163"/>
    <w:rsid w:val="5DBF70F0"/>
    <w:rsid w:val="5DF23B2E"/>
    <w:rsid w:val="5E7C394C"/>
    <w:rsid w:val="5F4578E7"/>
    <w:rsid w:val="5F4E26F5"/>
    <w:rsid w:val="5F97635E"/>
    <w:rsid w:val="60511ABB"/>
    <w:rsid w:val="62173015"/>
    <w:rsid w:val="6228716A"/>
    <w:rsid w:val="62652744"/>
    <w:rsid w:val="627B7CAD"/>
    <w:rsid w:val="63471E49"/>
    <w:rsid w:val="63A20CFF"/>
    <w:rsid w:val="63F83144"/>
    <w:rsid w:val="65AA7C28"/>
    <w:rsid w:val="66546D57"/>
    <w:rsid w:val="66AA2E1B"/>
    <w:rsid w:val="66DC6D4D"/>
    <w:rsid w:val="682A66A7"/>
    <w:rsid w:val="68B735CD"/>
    <w:rsid w:val="68E02B24"/>
    <w:rsid w:val="692549DB"/>
    <w:rsid w:val="6A400653"/>
    <w:rsid w:val="6A7F45BF"/>
    <w:rsid w:val="6AD15D55"/>
    <w:rsid w:val="6B5A68F5"/>
    <w:rsid w:val="6B7358D0"/>
    <w:rsid w:val="6BBF5D79"/>
    <w:rsid w:val="6BC9041D"/>
    <w:rsid w:val="6D725D15"/>
    <w:rsid w:val="6DAB7F02"/>
    <w:rsid w:val="6DE237AA"/>
    <w:rsid w:val="6EB3321A"/>
    <w:rsid w:val="719E17CE"/>
    <w:rsid w:val="71CD20B4"/>
    <w:rsid w:val="72567DE8"/>
    <w:rsid w:val="72C16AF2"/>
    <w:rsid w:val="72FA6ED8"/>
    <w:rsid w:val="73401E8B"/>
    <w:rsid w:val="73A76E7D"/>
    <w:rsid w:val="74A23383"/>
    <w:rsid w:val="75730384"/>
    <w:rsid w:val="75BC3839"/>
    <w:rsid w:val="75BF2D83"/>
    <w:rsid w:val="78401AE9"/>
    <w:rsid w:val="79627585"/>
    <w:rsid w:val="79B853F7"/>
    <w:rsid w:val="7A707A80"/>
    <w:rsid w:val="7B4E5EDA"/>
    <w:rsid w:val="7BEB3862"/>
    <w:rsid w:val="7C1E7575"/>
    <w:rsid w:val="7C7B7C1A"/>
    <w:rsid w:val="7D210FAE"/>
    <w:rsid w:val="7DE95B7F"/>
    <w:rsid w:val="7DF64DA9"/>
    <w:rsid w:val="7E151C77"/>
    <w:rsid w:val="7E7E7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7"/>
    <w:qFormat/>
    <w:uiPriority w:val="0"/>
    <w:pPr>
      <w:keepNext/>
      <w:keepLines/>
      <w:spacing w:before="480"/>
      <w:jc w:val="center"/>
      <w:outlineLvl w:val="0"/>
    </w:pPr>
    <w:rPr>
      <w:rFonts w:ascii="Cambria" w:hAnsi="Cambria" w:eastAsia="华文中宋"/>
      <w:b/>
      <w:bCs/>
      <w:sz w:val="44"/>
      <w:szCs w:val="28"/>
    </w:rPr>
  </w:style>
  <w:style w:type="paragraph" w:styleId="4">
    <w:name w:val="heading 2"/>
    <w:basedOn w:val="1"/>
    <w:next w:val="1"/>
    <w:link w:val="3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6"/>
    <w:basedOn w:val="1"/>
    <w:next w:val="1"/>
    <w:link w:val="34"/>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link w:val="35"/>
    <w:qFormat/>
    <w:uiPriority w:val="0"/>
    <w:pPr>
      <w:spacing w:after="120"/>
    </w:pPr>
    <w:rPr>
      <w:rFonts w:ascii="Times New Roman" w:hAnsi="Times New Roman"/>
      <w:szCs w:val="24"/>
    </w:rPr>
  </w:style>
  <w:style w:type="paragraph" w:styleId="6">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Document Map"/>
    <w:basedOn w:val="1"/>
    <w:link w:val="23"/>
    <w:semiHidden/>
    <w:unhideWhenUsed/>
    <w:qFormat/>
    <w:uiPriority w:val="99"/>
    <w:rPr>
      <w:rFonts w:ascii="宋体"/>
      <w:sz w:val="18"/>
      <w:szCs w:val="18"/>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9"/>
    <w:qFormat/>
    <w:uiPriority w:val="99"/>
    <w:pPr>
      <w:spacing w:after="120" w:line="480" w:lineRule="auto"/>
      <w:ind w:left="420" w:leftChars="200"/>
    </w:pPr>
    <w:rPr>
      <w:kern w:val="0"/>
      <w:sz w:val="24"/>
    </w:rPr>
  </w:style>
  <w:style w:type="paragraph" w:styleId="10">
    <w:name w:val="Plain Text"/>
    <w:basedOn w:val="1"/>
    <w:link w:val="28"/>
    <w:qFormat/>
    <w:uiPriority w:val="0"/>
    <w:rPr>
      <w:rFonts w:ascii="宋体" w:hAnsi="Courier New"/>
      <w:kern w:val="0"/>
      <w:szCs w:val="20"/>
    </w:rPr>
  </w:style>
  <w:style w:type="paragraph" w:styleId="11">
    <w:name w:val="Date"/>
    <w:basedOn w:val="1"/>
    <w:next w:val="1"/>
    <w:link w:val="25"/>
    <w:semiHidden/>
    <w:unhideWhenUsed/>
    <w:qFormat/>
    <w:uiPriority w:val="99"/>
    <w:pPr>
      <w:ind w:left="100" w:leftChars="2500"/>
    </w:pPr>
  </w:style>
  <w:style w:type="paragraph" w:styleId="12">
    <w:name w:val="footer"/>
    <w:basedOn w:val="1"/>
    <w:link w:val="22"/>
    <w:unhideWhenUsed/>
    <w:qFormat/>
    <w:uiPriority w:val="99"/>
    <w:pPr>
      <w:tabs>
        <w:tab w:val="center" w:pos="4153"/>
        <w:tab w:val="right" w:pos="8306"/>
      </w:tabs>
      <w:snapToGrid w:val="0"/>
      <w:jc w:val="left"/>
    </w:pPr>
    <w:rPr>
      <w:sz w:val="18"/>
      <w:szCs w:val="18"/>
    </w:rPr>
  </w:style>
  <w:style w:type="paragraph" w:styleId="13">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8"/>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customStyle="1" w:styleId="21">
    <w:name w:val="页眉 字符"/>
    <w:basedOn w:val="19"/>
    <w:link w:val="13"/>
    <w:qFormat/>
    <w:uiPriority w:val="0"/>
    <w:rPr>
      <w:rFonts w:ascii="Calibri" w:hAnsi="Calibri" w:eastAsia="宋体" w:cs="Times New Roman"/>
      <w:sz w:val="18"/>
      <w:szCs w:val="18"/>
    </w:rPr>
  </w:style>
  <w:style w:type="character" w:customStyle="1" w:styleId="22">
    <w:name w:val="页脚 字符"/>
    <w:basedOn w:val="19"/>
    <w:link w:val="12"/>
    <w:qFormat/>
    <w:uiPriority w:val="99"/>
    <w:rPr>
      <w:rFonts w:ascii="Calibri" w:hAnsi="Calibri" w:eastAsia="宋体" w:cs="Times New Roman"/>
      <w:sz w:val="18"/>
      <w:szCs w:val="18"/>
    </w:rPr>
  </w:style>
  <w:style w:type="character" w:customStyle="1" w:styleId="23">
    <w:name w:val="文档结构图 字符"/>
    <w:basedOn w:val="19"/>
    <w:link w:val="7"/>
    <w:semiHidden/>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字符"/>
    <w:basedOn w:val="19"/>
    <w:link w:val="11"/>
    <w:semiHidden/>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字符"/>
    <w:basedOn w:val="19"/>
    <w:link w:val="3"/>
    <w:qFormat/>
    <w:uiPriority w:val="0"/>
    <w:rPr>
      <w:rFonts w:ascii="Cambria" w:hAnsi="Cambria" w:eastAsia="华文中宋" w:cs="Times New Roman"/>
      <w:b/>
      <w:bCs/>
      <w:sz w:val="44"/>
      <w:szCs w:val="28"/>
    </w:rPr>
  </w:style>
  <w:style w:type="character" w:customStyle="1" w:styleId="28">
    <w:name w:val="纯文本 字符"/>
    <w:link w:val="10"/>
    <w:qFormat/>
    <w:locked/>
    <w:uiPriority w:val="0"/>
    <w:rPr>
      <w:rFonts w:ascii="宋体" w:hAnsi="Courier New"/>
      <w:sz w:val="21"/>
    </w:rPr>
  </w:style>
  <w:style w:type="character" w:customStyle="1" w:styleId="29">
    <w:name w:val="纯文本 Char"/>
    <w:basedOn w:val="19"/>
    <w:semiHidden/>
    <w:qFormat/>
    <w:uiPriority w:val="99"/>
    <w:rPr>
      <w:rFonts w:ascii="宋体" w:hAnsi="Courier New" w:cs="Courier New"/>
      <w:kern w:val="2"/>
      <w:sz w:val="21"/>
      <w:szCs w:val="21"/>
    </w:rPr>
  </w:style>
  <w:style w:type="character" w:customStyle="1" w:styleId="30">
    <w:name w:val="标题 2 字符"/>
    <w:basedOn w:val="19"/>
    <w:link w:val="4"/>
    <w:semiHidden/>
    <w:qFormat/>
    <w:uiPriority w:val="9"/>
    <w:rPr>
      <w:rFonts w:asciiTheme="majorHAnsi" w:hAnsiTheme="majorHAnsi" w:eastAsiaTheme="majorEastAsia" w:cstheme="majorBidi"/>
      <w:b/>
      <w:bCs/>
      <w:kern w:val="2"/>
      <w:sz w:val="32"/>
      <w:szCs w:val="32"/>
    </w:rPr>
  </w:style>
  <w:style w:type="paragraph" w:customStyle="1" w:styleId="31">
    <w:name w:val="Table Paragraph"/>
    <w:basedOn w:val="1"/>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字符"/>
    <w:basedOn w:val="19"/>
    <w:link w:val="5"/>
    <w:qFormat/>
    <w:uiPriority w:val="9"/>
    <w:rPr>
      <w:rFonts w:asciiTheme="majorHAnsi" w:hAnsiTheme="majorHAnsi" w:eastAsiaTheme="majorEastAsia" w:cstheme="majorBidi"/>
      <w:b/>
      <w:bCs/>
      <w:kern w:val="2"/>
      <w:sz w:val="24"/>
      <w:szCs w:val="24"/>
    </w:rPr>
  </w:style>
  <w:style w:type="character" w:customStyle="1" w:styleId="35">
    <w:name w:val="正文文本 字符"/>
    <w:basedOn w:val="19"/>
    <w:link w:val="2"/>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qFormat/>
    <w:uiPriority w:val="0"/>
    <w:rPr>
      <w:rFonts w:ascii="Calibri" w:hAnsi="Calibri" w:eastAsia="宋体" w:cs="Times New Roman"/>
      <w:sz w:val="24"/>
      <w:szCs w:val="24"/>
      <w:lang w:val="en-US" w:eastAsia="zh-CN" w:bidi="ar-SA"/>
    </w:rPr>
  </w:style>
  <w:style w:type="character" w:customStyle="1" w:styleId="39">
    <w:name w:val="正文文本缩进 2 字符"/>
    <w:link w:val="9"/>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4"/>
    <w:qFormat/>
    <w:uiPriority w:val="0"/>
    <w:pPr>
      <w:spacing w:before="0" w:after="0" w:line="560" w:lineRule="exact"/>
      <w:ind w:firstLine="200" w:firstLineChars="200"/>
    </w:pPr>
    <w:rPr>
      <w:rFonts w:ascii="楷体_GB2312" w:hAnsi="Times New Roman" w:eastAsia="楷体_GB2312"/>
      <w:b w:val="0"/>
    </w:rPr>
  </w:style>
  <w:style w:type="character" w:customStyle="1" w:styleId="43">
    <w:name w:val="15"/>
    <w:basedOn w:val="19"/>
    <w:qFormat/>
    <w:uiPriority w:val="0"/>
    <w:rPr>
      <w:rFonts w:hint="default" w:ascii="Times New Roman" w:hAnsi="Times New Roman" w:cs="Times New Roman"/>
    </w:rPr>
  </w:style>
  <w:style w:type="character" w:customStyle="1" w:styleId="44">
    <w:name w:val="10"/>
    <w:basedOn w:val="1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5093</Words>
  <Characters>5296</Characters>
  <Lines>31</Lines>
  <Paragraphs>9</Paragraphs>
  <TotalTime>0</TotalTime>
  <ScaleCrop>false</ScaleCrop>
  <LinksUpToDate>false</LinksUpToDate>
  <CharactersWithSpaces>5584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2026-07-01T09:20:17Z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C8F06D8ABD214A6684394CC49FD8FCA1_13</vt:lpwstr>
  </property>
  <property fmtid="{D5CDD505-2E9C-101B-9397-08002B2CF9AE}" pid="4" name="KSOTemplateDocerSaveRecord">
    <vt:lpwstr>eyJoZGlkIjoiNjExNjA1MzY4NDcxNDhlNGIwYWUzMzQ5YTk5ZTk5ZTUiLCJ1c2VySWQiOiI0OTQ3NjU2MzMifQ==</vt:lpwstr>
  </property>
</Properties>
</file>