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35386">
      <w:pPr>
        <w:adjustRightInd w:val="0"/>
        <w:snapToGrid w:val="0"/>
        <w:spacing w:line="360" w:lineRule="auto"/>
        <w:ind w:firstLine="405"/>
        <w:rPr>
          <w:rFonts w:hint="eastAsia" w:ascii="仿宋_GB2312" w:hAnsi="华文中宋" w:eastAsia="仿宋_GB2312"/>
          <w:b/>
          <w:color w:val="auto"/>
          <w:sz w:val="84"/>
          <w:szCs w:val="84"/>
        </w:rPr>
      </w:pPr>
    </w:p>
    <w:p w14:paraId="231526CA">
      <w:pPr>
        <w:pStyle w:val="12"/>
        <w:jc w:val="center"/>
        <w:rPr>
          <w:rFonts w:hint="eastAsia" w:ascii="黑体" w:hAnsi="黑体" w:eastAsia="黑体"/>
          <w:bCs/>
          <w:color w:val="auto"/>
          <w:sz w:val="84"/>
          <w:szCs w:val="84"/>
          <w14:shadow w14:blurRad="50800" w14:dist="38100" w14:dir="2700000" w14:sx="100000" w14:sy="100000" w14:kx="0" w14:ky="0" w14:algn="tl">
            <w14:srgbClr w14:val="000000">
              <w14:alpha w14:val="60000"/>
            </w14:srgbClr>
          </w14:shadow>
        </w:rPr>
      </w:pPr>
      <w:r>
        <w:rPr>
          <w:rFonts w:hint="eastAsia" w:ascii="黑体" w:hAnsi="黑体" w:eastAsia="黑体"/>
          <w:color w:val="auto"/>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color w:val="auto"/>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color w:val="auto"/>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color w:val="auto"/>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color w:val="auto"/>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color w:val="auto"/>
          <w:sz w:val="84"/>
          <w:szCs w:val="84"/>
          <w14:shadow w14:blurRad="50800" w14:dist="38100" w14:dir="2700000" w14:sx="100000" w14:sy="100000" w14:kx="0" w14:ky="0" w14:algn="tl">
            <w14:srgbClr w14:val="000000">
              <w14:alpha w14:val="60000"/>
            </w14:srgbClr>
          </w14:shadow>
        </w:rPr>
        <w:t>件</w:t>
      </w:r>
    </w:p>
    <w:p w14:paraId="2F590075">
      <w:pPr>
        <w:pStyle w:val="12"/>
        <w:adjustRightInd w:val="0"/>
        <w:snapToGrid w:val="0"/>
        <w:spacing w:line="360" w:lineRule="auto"/>
        <w:ind w:left="846" w:leftChars="403" w:firstLine="157" w:firstLineChars="49"/>
        <w:rPr>
          <w:rFonts w:hint="eastAsia" w:ascii="黑体" w:hAnsi="黑体" w:eastAsia="黑体"/>
          <w:b/>
          <w:color w:val="auto"/>
          <w:sz w:val="32"/>
          <w:szCs w:val="32"/>
        </w:rPr>
      </w:pPr>
    </w:p>
    <w:p w14:paraId="5BA9BEC2">
      <w:pPr>
        <w:pStyle w:val="12"/>
        <w:adjustRightInd w:val="0"/>
        <w:snapToGrid w:val="0"/>
        <w:spacing w:line="360" w:lineRule="auto"/>
        <w:ind w:left="846" w:leftChars="403" w:firstLine="157" w:firstLineChars="49"/>
        <w:rPr>
          <w:rFonts w:hint="eastAsia" w:ascii="黑体" w:hAnsi="黑体" w:eastAsia="黑体"/>
          <w:b/>
          <w:color w:val="auto"/>
          <w:sz w:val="32"/>
          <w:szCs w:val="32"/>
        </w:rPr>
      </w:pPr>
    </w:p>
    <w:p w14:paraId="5A075F2E">
      <w:pPr>
        <w:pStyle w:val="12"/>
        <w:adjustRightInd w:val="0"/>
        <w:snapToGrid w:val="0"/>
        <w:spacing w:line="360" w:lineRule="auto"/>
        <w:ind w:left="846" w:leftChars="403" w:firstLine="157" w:firstLineChars="49"/>
        <w:rPr>
          <w:rFonts w:hint="eastAsia" w:ascii="黑体" w:hAnsi="黑体" w:eastAsia="黑体"/>
          <w:b/>
          <w:color w:val="auto"/>
          <w:sz w:val="32"/>
          <w:szCs w:val="32"/>
        </w:rPr>
      </w:pPr>
    </w:p>
    <w:p w14:paraId="510548EF">
      <w:pPr>
        <w:pStyle w:val="12"/>
        <w:adjustRightInd w:val="0"/>
        <w:snapToGrid w:val="0"/>
        <w:spacing w:line="360" w:lineRule="auto"/>
        <w:ind w:left="846" w:leftChars="403" w:firstLine="157" w:firstLineChars="49"/>
        <w:rPr>
          <w:rFonts w:hint="eastAsia" w:ascii="黑体" w:hAnsi="黑体" w:eastAsia="黑体"/>
          <w:b/>
          <w:color w:val="auto"/>
          <w:sz w:val="32"/>
          <w:szCs w:val="32"/>
        </w:rPr>
      </w:pPr>
    </w:p>
    <w:p w14:paraId="5BE39F19">
      <w:pPr>
        <w:pStyle w:val="12"/>
        <w:adjustRightInd w:val="0"/>
        <w:snapToGrid w:val="0"/>
        <w:spacing w:line="360" w:lineRule="auto"/>
        <w:ind w:left="846" w:leftChars="403" w:firstLine="157" w:firstLineChars="49"/>
        <w:rPr>
          <w:rFonts w:hint="eastAsia" w:ascii="黑体" w:hAnsi="黑体" w:eastAsia="黑体"/>
          <w:b/>
          <w:color w:val="auto"/>
          <w:sz w:val="32"/>
          <w:szCs w:val="32"/>
        </w:rPr>
      </w:pPr>
    </w:p>
    <w:p w14:paraId="17FA706D">
      <w:pPr>
        <w:pStyle w:val="42"/>
        <w:ind w:firstLine="300" w:firstLineChars="100"/>
        <w:jc w:val="both"/>
        <w:rPr>
          <w:rFonts w:hint="eastAsia" w:ascii="黑体" w:hAnsi="黑体" w:eastAsia="黑体"/>
          <w:color w:val="auto"/>
          <w:sz w:val="30"/>
          <w:szCs w:val="30"/>
          <w:lang w:val="en-US" w:eastAsia="zh-CN"/>
        </w:rPr>
      </w:pPr>
      <w:r>
        <w:rPr>
          <w:rFonts w:ascii="黑体" w:hAnsi="黑体" w:eastAsia="黑体"/>
          <w:color w:val="auto"/>
          <w:sz w:val="30"/>
          <w:szCs w:val="30"/>
        </w:rPr>
        <w:t>采购项目名称：</w:t>
      </w:r>
      <w:r>
        <w:rPr>
          <w:rFonts w:hint="eastAsia" w:ascii="黑体" w:hAnsi="黑体" w:eastAsia="黑体"/>
          <w:color w:val="auto"/>
          <w:sz w:val="30"/>
          <w:szCs w:val="30"/>
          <w:lang w:val="en-US" w:eastAsia="zh-CN"/>
        </w:rPr>
        <w:t>轨道交通装备智能制造与运维产教融合</w:t>
      </w:r>
    </w:p>
    <w:p w14:paraId="00C6F214">
      <w:pPr>
        <w:pStyle w:val="42"/>
        <w:ind w:firstLine="2400" w:firstLineChars="800"/>
        <w:jc w:val="both"/>
        <w:rPr>
          <w:rFonts w:hint="eastAsia" w:ascii="黑体" w:hAnsi="黑体" w:eastAsia="黑体"/>
          <w:color w:val="auto"/>
          <w:kern w:val="0"/>
          <w:sz w:val="30"/>
          <w:szCs w:val="30"/>
        </w:rPr>
      </w:pPr>
      <w:r>
        <w:rPr>
          <w:rFonts w:hint="eastAsia" w:ascii="黑体" w:hAnsi="黑体" w:eastAsia="黑体"/>
          <w:color w:val="auto"/>
          <w:sz w:val="30"/>
          <w:szCs w:val="30"/>
          <w:lang w:val="en-US" w:eastAsia="zh-CN"/>
        </w:rPr>
        <w:t>实训基地设备更新项目国债申报咨询服务</w:t>
      </w:r>
    </w:p>
    <w:p w14:paraId="1B65E9A7">
      <w:pPr>
        <w:pStyle w:val="12"/>
        <w:adjustRightInd w:val="0"/>
        <w:snapToGrid w:val="0"/>
        <w:spacing w:before="156" w:beforeLines="50" w:after="156" w:afterLines="50"/>
        <w:ind w:left="2419" w:leftChars="152" w:hanging="2100" w:hangingChars="700"/>
        <w:rPr>
          <w:rFonts w:hint="eastAsia" w:ascii="黑体" w:hAnsi="黑体" w:eastAsia="黑体"/>
          <w:color w:val="auto"/>
          <w:sz w:val="30"/>
          <w:szCs w:val="30"/>
        </w:rPr>
      </w:pPr>
    </w:p>
    <w:p w14:paraId="778E93CC">
      <w:pPr>
        <w:pStyle w:val="12"/>
        <w:adjustRightInd w:val="0"/>
        <w:snapToGrid w:val="0"/>
        <w:spacing w:before="156" w:beforeLines="50" w:after="156" w:afterLines="50" w:line="360" w:lineRule="auto"/>
        <w:ind w:firstLine="300" w:firstLineChars="100"/>
        <w:rPr>
          <w:rFonts w:hint="eastAsia" w:ascii="黑体" w:hAnsi="黑体" w:eastAsia="黑体"/>
          <w:color w:val="auto"/>
          <w:sz w:val="32"/>
          <w:szCs w:val="32"/>
        </w:rPr>
      </w:pPr>
      <w:r>
        <w:rPr>
          <w:rFonts w:ascii="黑体" w:hAnsi="黑体" w:eastAsia="黑体"/>
          <w:color w:val="auto"/>
          <w:sz w:val="30"/>
          <w:szCs w:val="30"/>
        </w:rPr>
        <w:t>采   购   人：</w:t>
      </w:r>
      <w:r>
        <w:rPr>
          <w:rFonts w:hint="eastAsia" w:ascii="黑体" w:hAnsi="黑体" w:eastAsia="黑体"/>
          <w:color w:val="auto"/>
          <w:sz w:val="30"/>
          <w:szCs w:val="30"/>
        </w:rPr>
        <w:t xml:space="preserve">湖南铁道职业技术学院    </w:t>
      </w:r>
      <w:r>
        <w:rPr>
          <w:rFonts w:hint="eastAsia" w:ascii="黑体" w:hAnsi="黑体" w:eastAsia="黑体"/>
          <w:color w:val="auto"/>
          <w:sz w:val="32"/>
          <w:szCs w:val="32"/>
        </w:rPr>
        <w:t xml:space="preserve">  </w:t>
      </w:r>
    </w:p>
    <w:p w14:paraId="16C7BFAA">
      <w:pPr>
        <w:pStyle w:val="12"/>
        <w:adjustRightInd w:val="0"/>
        <w:snapToGrid w:val="0"/>
        <w:spacing w:line="440" w:lineRule="exact"/>
        <w:jc w:val="center"/>
        <w:rPr>
          <w:rFonts w:hint="eastAsia" w:ascii="黑体" w:hAnsi="黑体" w:eastAsia="黑体"/>
          <w:b/>
          <w:color w:val="auto"/>
          <w:sz w:val="32"/>
        </w:rPr>
      </w:pPr>
    </w:p>
    <w:p w14:paraId="18124261">
      <w:pPr>
        <w:pStyle w:val="12"/>
        <w:adjustRightInd w:val="0"/>
        <w:snapToGrid w:val="0"/>
        <w:spacing w:line="440" w:lineRule="exact"/>
        <w:jc w:val="center"/>
        <w:rPr>
          <w:rFonts w:hint="eastAsia" w:ascii="黑体" w:hAnsi="黑体" w:eastAsia="黑体"/>
          <w:b/>
          <w:color w:val="auto"/>
          <w:sz w:val="32"/>
        </w:rPr>
      </w:pPr>
    </w:p>
    <w:p w14:paraId="7C10E4D2">
      <w:pPr>
        <w:pStyle w:val="12"/>
        <w:adjustRightInd w:val="0"/>
        <w:snapToGrid w:val="0"/>
        <w:spacing w:line="440" w:lineRule="exact"/>
        <w:jc w:val="center"/>
        <w:rPr>
          <w:rFonts w:hint="eastAsia" w:ascii="黑体" w:hAnsi="黑体" w:eastAsia="黑体"/>
          <w:b/>
          <w:color w:val="auto"/>
          <w:sz w:val="32"/>
        </w:rPr>
      </w:pPr>
    </w:p>
    <w:p w14:paraId="0C2CB07B">
      <w:pPr>
        <w:pStyle w:val="12"/>
        <w:adjustRightInd w:val="0"/>
        <w:snapToGrid w:val="0"/>
        <w:spacing w:line="440" w:lineRule="exact"/>
        <w:jc w:val="center"/>
        <w:rPr>
          <w:rFonts w:hint="eastAsia" w:ascii="黑体" w:hAnsi="黑体" w:eastAsia="黑体"/>
          <w:b/>
          <w:color w:val="auto"/>
          <w:sz w:val="32"/>
        </w:rPr>
      </w:pPr>
    </w:p>
    <w:p w14:paraId="3DFA3784">
      <w:pPr>
        <w:pStyle w:val="12"/>
        <w:adjustRightInd w:val="0"/>
        <w:snapToGrid w:val="0"/>
        <w:spacing w:line="440" w:lineRule="exact"/>
        <w:jc w:val="center"/>
        <w:rPr>
          <w:rFonts w:hint="eastAsia" w:ascii="黑体" w:hAnsi="黑体" w:eastAsia="黑体"/>
          <w:b/>
          <w:color w:val="auto"/>
          <w:sz w:val="32"/>
        </w:rPr>
      </w:pPr>
    </w:p>
    <w:p w14:paraId="444D13D7">
      <w:pPr>
        <w:pStyle w:val="12"/>
        <w:adjustRightInd w:val="0"/>
        <w:snapToGrid w:val="0"/>
        <w:spacing w:line="440" w:lineRule="exact"/>
        <w:jc w:val="center"/>
        <w:rPr>
          <w:rFonts w:hint="eastAsia" w:ascii="黑体" w:hAnsi="黑体" w:eastAsia="黑体"/>
          <w:b/>
          <w:color w:val="auto"/>
          <w:sz w:val="32"/>
        </w:rPr>
      </w:pPr>
    </w:p>
    <w:p w14:paraId="1C87AD9D">
      <w:pPr>
        <w:pStyle w:val="12"/>
        <w:adjustRightInd w:val="0"/>
        <w:snapToGrid w:val="0"/>
        <w:spacing w:line="440" w:lineRule="exact"/>
        <w:jc w:val="center"/>
        <w:rPr>
          <w:rFonts w:hint="eastAsia" w:ascii="黑体" w:hAnsi="黑体" w:eastAsia="黑体"/>
          <w:b/>
          <w:color w:val="auto"/>
          <w:sz w:val="32"/>
        </w:rPr>
      </w:pPr>
    </w:p>
    <w:p w14:paraId="681332EA">
      <w:pPr>
        <w:pStyle w:val="12"/>
        <w:adjustRightInd w:val="0"/>
        <w:snapToGrid w:val="0"/>
        <w:spacing w:line="440" w:lineRule="exact"/>
        <w:jc w:val="center"/>
        <w:rPr>
          <w:rFonts w:hint="eastAsia" w:ascii="黑体" w:hAnsi="黑体" w:eastAsia="黑体"/>
          <w:b/>
          <w:color w:val="auto"/>
          <w:sz w:val="32"/>
        </w:rPr>
      </w:pPr>
    </w:p>
    <w:p w14:paraId="636366A1">
      <w:pPr>
        <w:pStyle w:val="12"/>
        <w:adjustRightInd w:val="0"/>
        <w:snapToGrid w:val="0"/>
        <w:spacing w:line="440" w:lineRule="exact"/>
        <w:jc w:val="center"/>
        <w:rPr>
          <w:rFonts w:hint="eastAsia" w:ascii="黑体" w:hAnsi="黑体" w:eastAsia="黑体"/>
          <w:b/>
          <w:color w:val="auto"/>
          <w:sz w:val="32"/>
        </w:rPr>
      </w:pPr>
    </w:p>
    <w:p w14:paraId="5D43ED99">
      <w:pPr>
        <w:spacing w:line="360" w:lineRule="auto"/>
        <w:jc w:val="center"/>
        <w:rPr>
          <w:rFonts w:hint="eastAsia" w:ascii="黑体" w:hAnsi="黑体" w:eastAsia="黑体"/>
          <w:color w:val="auto"/>
          <w:sz w:val="32"/>
          <w:szCs w:val="32"/>
        </w:rPr>
      </w:pPr>
      <w:r>
        <w:rPr>
          <w:rFonts w:hint="eastAsia" w:ascii="黑体" w:hAnsi="黑体" w:eastAsia="黑体"/>
          <w:color w:val="auto"/>
          <w:sz w:val="32"/>
          <w:szCs w:val="32"/>
        </w:rPr>
        <w:t>二0二</w:t>
      </w:r>
      <w:r>
        <w:rPr>
          <w:rFonts w:hint="eastAsia" w:ascii="黑体" w:hAnsi="黑体" w:eastAsia="黑体"/>
          <w:color w:val="auto"/>
          <w:sz w:val="32"/>
          <w:szCs w:val="32"/>
          <w:lang w:eastAsia="zh-CN"/>
        </w:rPr>
        <w:t>六</w:t>
      </w:r>
      <w:r>
        <w:rPr>
          <w:rFonts w:ascii="黑体" w:hAnsi="黑体" w:eastAsia="黑体"/>
          <w:color w:val="auto"/>
          <w:sz w:val="32"/>
          <w:szCs w:val="32"/>
        </w:rPr>
        <w:t>年</w:t>
      </w:r>
      <w:r>
        <w:rPr>
          <w:rFonts w:hint="eastAsia" w:ascii="黑体" w:hAnsi="黑体" w:eastAsia="黑体"/>
          <w:color w:val="auto"/>
          <w:sz w:val="32"/>
          <w:szCs w:val="32"/>
          <w:lang w:eastAsia="zh-CN"/>
        </w:rPr>
        <w:t>六</w:t>
      </w:r>
      <w:r>
        <w:rPr>
          <w:rFonts w:ascii="黑体" w:hAnsi="黑体" w:eastAsia="黑体"/>
          <w:color w:val="auto"/>
          <w:sz w:val="32"/>
          <w:szCs w:val="32"/>
        </w:rPr>
        <w:t>月</w:t>
      </w:r>
    </w:p>
    <w:p w14:paraId="0869C6DA">
      <w:pPr>
        <w:pStyle w:val="18"/>
        <w:rPr>
          <w:color w:val="auto"/>
        </w:rPr>
      </w:pPr>
    </w:p>
    <w:p w14:paraId="1814AAF5">
      <w:pPr>
        <w:pStyle w:val="18"/>
        <w:rPr>
          <w:color w:val="auto"/>
          <w:szCs w:val="22"/>
        </w:rPr>
      </w:pPr>
    </w:p>
    <w:p w14:paraId="4DFB79F0">
      <w:pPr>
        <w:jc w:val="center"/>
        <w:outlineLvl w:val="0"/>
        <w:rPr>
          <w:rFonts w:hint="eastAsia" w:ascii="黑体" w:hAnsi="黑体" w:eastAsia="黑体" w:cs="宋体"/>
          <w:b/>
          <w:bCs/>
          <w:color w:val="auto"/>
          <w:spacing w:val="-20"/>
          <w:kern w:val="36"/>
          <w:sz w:val="36"/>
          <w:szCs w:val="36"/>
        </w:rPr>
      </w:pPr>
      <w:r>
        <w:rPr>
          <w:rFonts w:hint="eastAsia" w:ascii="黑体" w:hAnsi="黑体" w:eastAsia="黑体"/>
          <w:b/>
          <w:color w:val="auto"/>
          <w:sz w:val="36"/>
          <w:szCs w:val="36"/>
        </w:rPr>
        <w:t>湖南铁道职业技术学院</w:t>
      </w:r>
      <w:r>
        <w:rPr>
          <w:rFonts w:hint="eastAsia" w:ascii="黑体" w:hAnsi="黑体" w:eastAsia="黑体"/>
          <w:b/>
          <w:color w:val="auto"/>
          <w:sz w:val="36"/>
          <w:szCs w:val="36"/>
          <w:lang w:val="en-US" w:eastAsia="zh-CN"/>
        </w:rPr>
        <w:t>轨道交通装备智能制造与运维产教融合实训基地设备更新项目国债申报咨询服务</w:t>
      </w:r>
      <w:r>
        <w:rPr>
          <w:rFonts w:hint="eastAsia" w:ascii="黑体" w:hAnsi="黑体" w:eastAsia="黑体"/>
          <w:b/>
          <w:color w:val="auto"/>
          <w:sz w:val="36"/>
          <w:szCs w:val="36"/>
        </w:rPr>
        <w:t>询比</w:t>
      </w:r>
      <w:r>
        <w:rPr>
          <w:rFonts w:ascii="黑体" w:hAnsi="黑体" w:eastAsia="黑体" w:cs="宋体"/>
          <w:b/>
          <w:bCs/>
          <w:color w:val="auto"/>
          <w:spacing w:val="-20"/>
          <w:kern w:val="36"/>
          <w:sz w:val="36"/>
          <w:szCs w:val="36"/>
        </w:rPr>
        <w:t>采购</w:t>
      </w:r>
      <w:r>
        <w:rPr>
          <w:rFonts w:hint="eastAsia" w:ascii="黑体" w:hAnsi="黑体" w:eastAsia="黑体" w:cs="宋体"/>
          <w:b/>
          <w:bCs/>
          <w:color w:val="auto"/>
          <w:spacing w:val="-20"/>
          <w:kern w:val="36"/>
          <w:sz w:val="36"/>
          <w:szCs w:val="36"/>
        </w:rPr>
        <w:t>公告</w:t>
      </w:r>
    </w:p>
    <w:p w14:paraId="4FBD4CF1">
      <w:pPr>
        <w:pStyle w:val="18"/>
        <w:snapToGrid w:val="0"/>
        <w:spacing w:before="0" w:beforeAutospacing="0" w:after="0" w:line="360" w:lineRule="auto"/>
        <w:ind w:left="0" w:leftChars="0" w:firstLine="480" w:firstLineChars="200"/>
        <w:jc w:val="left"/>
        <w:rPr>
          <w:rFonts w:ascii="仿宋" w:hAnsi="仿宋" w:eastAsia="仿宋"/>
          <w:color w:val="auto"/>
          <w:sz w:val="24"/>
          <w:szCs w:val="24"/>
        </w:rPr>
      </w:pPr>
    </w:p>
    <w:p w14:paraId="5231704E">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ascii="仿宋" w:hAnsi="仿宋" w:eastAsia="仿宋"/>
          <w:color w:val="auto"/>
          <w:sz w:val="24"/>
          <w:szCs w:val="24"/>
        </w:rPr>
        <w:t>湖南铁道职业技术学院</w:t>
      </w:r>
      <w:r>
        <w:rPr>
          <w:rFonts w:hint="eastAsia" w:ascii="仿宋" w:hAnsi="仿宋" w:eastAsia="仿宋"/>
          <w:color w:val="auto"/>
          <w:sz w:val="24"/>
          <w:szCs w:val="24"/>
          <w:u w:val="none"/>
          <w:lang w:val="en-US" w:eastAsia="zh-CN"/>
        </w:rPr>
        <w:t>轨道交通装备智能制造与运维产教融合实训基地设备更新项目国债申报咨询服务</w:t>
      </w:r>
      <w:r>
        <w:rPr>
          <w:rFonts w:hint="eastAsia" w:ascii="仿宋" w:hAnsi="仿宋" w:eastAsia="仿宋"/>
          <w:color w:val="auto"/>
          <w:sz w:val="24"/>
          <w:szCs w:val="24"/>
          <w:u w:val="none"/>
        </w:rPr>
        <w:t>需</w:t>
      </w:r>
      <w:r>
        <w:rPr>
          <w:rFonts w:hint="eastAsia" w:ascii="仿宋" w:hAnsi="仿宋" w:eastAsia="仿宋"/>
          <w:color w:val="auto"/>
          <w:sz w:val="24"/>
          <w:szCs w:val="24"/>
        </w:rPr>
        <w:t>进行采购，现采用发布公告方式，邀请符合资格条件的供应商参与采购活动。</w:t>
      </w:r>
    </w:p>
    <w:p w14:paraId="633ADF76">
      <w:pPr>
        <w:snapToGrid w:val="0"/>
        <w:spacing w:line="360" w:lineRule="auto"/>
        <w:ind w:firstLine="482" w:firstLineChars="200"/>
        <w:jc w:val="left"/>
        <w:rPr>
          <w:rFonts w:hint="eastAsia" w:ascii="仿宋" w:hAnsi="仿宋" w:eastAsia="仿宋" w:cs="仿宋"/>
          <w:b/>
          <w:bCs/>
          <w:color w:val="auto"/>
          <w:kern w:val="0"/>
          <w:sz w:val="24"/>
          <w:szCs w:val="24"/>
        </w:rPr>
      </w:pPr>
      <w:bookmarkStart w:id="0" w:name="_Toc26475"/>
      <w:bookmarkStart w:id="1" w:name="_Toc31662_WPSOffice_Level2"/>
      <w:bookmarkStart w:id="2" w:name="_Toc3564"/>
      <w:bookmarkStart w:id="3" w:name="_Toc4659"/>
      <w:bookmarkStart w:id="4" w:name="_Toc17794_WPSOffice_Level2"/>
      <w:r>
        <w:rPr>
          <w:rFonts w:hint="eastAsia" w:ascii="仿宋" w:hAnsi="仿宋" w:eastAsia="仿宋" w:cs="仿宋"/>
          <w:b/>
          <w:bCs/>
          <w:color w:val="auto"/>
          <w:kern w:val="0"/>
          <w:sz w:val="24"/>
          <w:szCs w:val="24"/>
        </w:rPr>
        <w:t>一、采购项目基本情况</w:t>
      </w:r>
      <w:bookmarkEnd w:id="0"/>
      <w:bookmarkEnd w:id="1"/>
      <w:bookmarkEnd w:id="2"/>
      <w:bookmarkEnd w:id="3"/>
      <w:bookmarkEnd w:id="4"/>
    </w:p>
    <w:p w14:paraId="10585CB4">
      <w:pPr>
        <w:pStyle w:val="18"/>
        <w:snapToGrid w:val="0"/>
        <w:spacing w:before="0" w:beforeAutospacing="0" w:after="0" w:line="360" w:lineRule="auto"/>
        <w:ind w:left="0" w:leftChars="0" w:firstLine="480" w:firstLineChars="200"/>
        <w:jc w:val="left"/>
        <w:rPr>
          <w:rFonts w:hint="eastAsia" w:ascii="仿宋" w:hAnsi="仿宋" w:eastAsia="仿宋"/>
          <w:color w:val="auto"/>
          <w:spacing w:val="-6"/>
          <w:sz w:val="24"/>
          <w:szCs w:val="24"/>
        </w:rPr>
      </w:pPr>
      <w:r>
        <w:rPr>
          <w:rFonts w:hint="eastAsia" w:ascii="仿宋" w:hAnsi="仿宋" w:eastAsia="仿宋"/>
          <w:color w:val="auto"/>
          <w:sz w:val="24"/>
          <w:szCs w:val="24"/>
        </w:rPr>
        <w:t>1.项目名称：</w:t>
      </w:r>
      <w:r>
        <w:rPr>
          <w:rFonts w:hint="eastAsia" w:ascii="仿宋" w:hAnsi="仿宋" w:eastAsia="仿宋"/>
          <w:color w:val="auto"/>
          <w:spacing w:val="-6"/>
          <w:sz w:val="24"/>
          <w:szCs w:val="24"/>
          <w:lang w:val="en-US" w:eastAsia="zh-CN"/>
        </w:rPr>
        <w:t>轨道交通装备智能制造与运维产教融合实训基地设备更新项目国债申报咨询服务</w:t>
      </w:r>
    </w:p>
    <w:p w14:paraId="711C2EC3">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lang w:val="en-US" w:eastAsia="zh-CN"/>
        </w:rPr>
      </w:pPr>
      <w:r>
        <w:rPr>
          <w:rFonts w:hint="eastAsia" w:ascii="仿宋" w:hAnsi="仿宋" w:eastAsia="仿宋"/>
          <w:color w:val="auto"/>
          <w:sz w:val="24"/>
          <w:szCs w:val="24"/>
        </w:rPr>
        <w:t>2.项目概况:</w:t>
      </w:r>
      <w:r>
        <w:rPr>
          <w:rFonts w:hint="eastAsia" w:ascii="仿宋" w:hAnsi="仿宋" w:eastAsia="仿宋"/>
          <w:color w:val="auto"/>
          <w:sz w:val="24"/>
          <w:szCs w:val="24"/>
          <w:lang w:val="en-US" w:eastAsia="zh-Hans"/>
        </w:rPr>
        <w:t>为贯彻落实国家发展改革委、教育部《教育领域重大设备更新实施方案》《超长期特别国债资金支持教育、卫生、文旅领域设备更新项目管理办法》及湘发改社会【2026】159号文《湖南省发展和改革委员会等六部门关于做好省属高校设备更新项目谋划储备和申报工作的通知》等各级政策文件要求，结合本学院实际情况，拟谋划与申报《轨道交通装备智能制造与运维产教融合实训基地设备更新项目》，本项目预计淘汰老旧落后实训设备81套、新购置智能化、现代化实训设备81套，项目总投资约1亿元</w:t>
      </w:r>
      <w:r>
        <w:rPr>
          <w:rFonts w:hint="eastAsia" w:ascii="仿宋" w:hAnsi="仿宋" w:eastAsia="仿宋"/>
          <w:color w:val="auto"/>
          <w:sz w:val="24"/>
          <w:szCs w:val="24"/>
          <w:lang w:val="en-US" w:eastAsia="zh-CN"/>
        </w:rPr>
        <w:t>。</w:t>
      </w:r>
    </w:p>
    <w:p w14:paraId="3F813829">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u w:val="none"/>
        </w:rPr>
      </w:pPr>
      <w:r>
        <w:rPr>
          <w:rFonts w:hint="eastAsia" w:ascii="仿宋" w:hAnsi="仿宋" w:eastAsia="仿宋"/>
          <w:color w:val="auto"/>
          <w:sz w:val="24"/>
          <w:szCs w:val="24"/>
          <w:highlight w:val="none"/>
          <w:u w:val="none"/>
        </w:rPr>
        <w:t>3.服务内容：</w:t>
      </w:r>
      <w:r>
        <w:rPr>
          <w:rFonts w:hint="eastAsia" w:ascii="仿宋" w:hAnsi="仿宋" w:eastAsia="仿宋"/>
          <w:color w:val="auto"/>
          <w:sz w:val="24"/>
          <w:szCs w:val="24"/>
        </w:rPr>
        <w:t>为保障本项目符合特别国债及湖南省省属高校设备更新项目申报标准，顺利完成项目谋划、申报资料编制、评审答疑、逐级申报等全流程工作，现采购专业项目谋划与申报咨询服务，全方位助力项目成功立项入库、获批资金支持。</w:t>
      </w:r>
      <w:r>
        <w:rPr>
          <w:rFonts w:hint="eastAsia" w:ascii="仿宋" w:hAnsi="仿宋" w:eastAsia="仿宋"/>
          <w:color w:val="auto"/>
          <w:sz w:val="24"/>
          <w:szCs w:val="24"/>
          <w:u w:val="none"/>
        </w:rPr>
        <w:t>具体内容详见采购</w:t>
      </w:r>
      <w:r>
        <w:rPr>
          <w:rFonts w:hint="eastAsia" w:ascii="仿宋" w:hAnsi="仿宋" w:eastAsia="仿宋"/>
          <w:color w:val="auto"/>
          <w:sz w:val="24"/>
          <w:szCs w:val="24"/>
          <w:u w:val="none"/>
          <w:lang w:eastAsia="zh-CN"/>
        </w:rPr>
        <w:t>需求</w:t>
      </w:r>
      <w:r>
        <w:rPr>
          <w:rFonts w:hint="eastAsia" w:ascii="仿宋" w:hAnsi="仿宋" w:eastAsia="仿宋"/>
          <w:color w:val="auto"/>
          <w:sz w:val="24"/>
          <w:szCs w:val="24"/>
          <w:u w:val="none"/>
        </w:rPr>
        <w:t>。</w:t>
      </w:r>
    </w:p>
    <w:p w14:paraId="727278BB">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lang w:eastAsia="zh-CN"/>
        </w:rPr>
      </w:pPr>
      <w:r>
        <w:rPr>
          <w:rFonts w:ascii="仿宋" w:hAnsi="仿宋" w:eastAsia="仿宋"/>
          <w:color w:val="auto"/>
          <w:sz w:val="24"/>
          <w:szCs w:val="24"/>
        </w:rPr>
        <w:t>4</w:t>
      </w:r>
      <w:r>
        <w:rPr>
          <w:rFonts w:hint="eastAsia" w:ascii="仿宋" w:hAnsi="仿宋" w:eastAsia="仿宋"/>
          <w:color w:val="auto"/>
          <w:sz w:val="24"/>
          <w:szCs w:val="24"/>
        </w:rPr>
        <w:t>.采购预算：</w:t>
      </w:r>
      <w:r>
        <w:rPr>
          <w:rFonts w:hint="eastAsia" w:ascii="仿宋" w:hAnsi="仿宋" w:eastAsia="仿宋"/>
          <w:color w:val="auto"/>
          <w:sz w:val="24"/>
          <w:szCs w:val="24"/>
          <w:u w:val="none"/>
          <w:lang w:val="en-US" w:eastAsia="zh-CN"/>
        </w:rPr>
        <w:t>9.8</w:t>
      </w:r>
      <w:r>
        <w:rPr>
          <w:rFonts w:ascii="仿宋" w:hAnsi="仿宋" w:eastAsia="仿宋"/>
          <w:color w:val="auto"/>
          <w:sz w:val="24"/>
          <w:szCs w:val="24"/>
        </w:rPr>
        <w:t>万元</w:t>
      </w:r>
      <w:r>
        <w:rPr>
          <w:rFonts w:hint="eastAsia" w:ascii="仿宋" w:hAnsi="仿宋" w:eastAsia="仿宋"/>
          <w:color w:val="auto"/>
          <w:sz w:val="24"/>
          <w:szCs w:val="24"/>
          <w:lang w:eastAsia="zh-CN"/>
        </w:rPr>
        <w:t>。</w:t>
      </w:r>
    </w:p>
    <w:p w14:paraId="1D1A5A6D">
      <w:pPr>
        <w:pStyle w:val="18"/>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二、投标人资格要求</w:t>
      </w:r>
    </w:p>
    <w:p w14:paraId="2A86CB64">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1、基本资格条件：供应商必须是在中华人民共和国境内注册登记的法人、其他组织或者自然人，且应当符合下列规定，即：</w:t>
      </w:r>
    </w:p>
    <w:p w14:paraId="05D0B7EF">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（1）具有独立承担民事责任的能力；</w:t>
      </w:r>
    </w:p>
    <w:p w14:paraId="0D37C5BC">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（2）具有良好的商业信誉和健全的财务会计制度；</w:t>
      </w:r>
    </w:p>
    <w:p w14:paraId="3B069D7C">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（3）具有履行合同所必需的设备和专业技术能力；</w:t>
      </w:r>
    </w:p>
    <w:p w14:paraId="17393691">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（4）有依法缴纳税收的良好记录；</w:t>
      </w:r>
    </w:p>
    <w:p w14:paraId="65EB6DA4">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（5）参加采购活动前三年内，在经营活动中没有重大违法记录；</w:t>
      </w:r>
    </w:p>
    <w:p w14:paraId="44014878">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（6）法律、行政法规规定的其他条件。</w:t>
      </w:r>
    </w:p>
    <w:p w14:paraId="46BBEDBF">
      <w:pPr>
        <w:pStyle w:val="18"/>
        <w:snapToGrid w:val="0"/>
        <w:spacing w:before="0" w:beforeAutospacing="0" w:after="0" w:line="360" w:lineRule="auto"/>
        <w:ind w:left="0" w:leftChars="0" w:firstLine="480" w:firstLineChars="200"/>
        <w:jc w:val="left"/>
        <w:rPr>
          <w:rFonts w:hint="eastAsia" w:ascii="仿宋" w:hAnsi="仿宋" w:eastAsia="仿宋" w:cs="Times New Roman"/>
          <w:color w:val="auto"/>
          <w:sz w:val="24"/>
          <w:szCs w:val="24"/>
          <w:lang w:val="en-US" w:eastAsia="zh-CN"/>
        </w:rPr>
      </w:pPr>
      <w:bookmarkStart w:id="5" w:name="_Toc58335831"/>
      <w:r>
        <w:rPr>
          <w:rFonts w:hint="eastAsia" w:ascii="仿宋" w:hAnsi="仿宋" w:eastAsia="仿宋" w:cs="Times New Roman"/>
          <w:color w:val="auto"/>
          <w:sz w:val="24"/>
          <w:szCs w:val="24"/>
          <w:lang w:val="en-US" w:eastAsia="zh-CN"/>
        </w:rPr>
        <w:t>2.本次采购不接受联合体投标。</w:t>
      </w:r>
    </w:p>
    <w:p w14:paraId="67B5DAC0">
      <w:pPr>
        <w:pStyle w:val="18"/>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三、响应文件提交的截止时间、开启时间及地点</w:t>
      </w:r>
      <w:bookmarkEnd w:id="5"/>
    </w:p>
    <w:p w14:paraId="3A90040E">
      <w:pPr>
        <w:pStyle w:val="18"/>
        <w:snapToGrid w:val="0"/>
        <w:spacing w:before="0" w:beforeAutospacing="0" w:after="0" w:line="360" w:lineRule="auto"/>
        <w:ind w:left="0" w:leftChars="0" w:firstLine="480" w:firstLineChars="200"/>
        <w:jc w:val="left"/>
        <w:rPr>
          <w:rFonts w:hint="default" w:ascii="仿宋" w:hAnsi="仿宋" w:eastAsia="仿宋"/>
          <w:color w:val="auto"/>
          <w:sz w:val="24"/>
          <w:szCs w:val="24"/>
          <w:u w:val="none"/>
          <w:lang w:val="en-US" w:eastAsia="zh-CN"/>
        </w:rPr>
      </w:pPr>
      <w:r>
        <w:rPr>
          <w:rFonts w:hint="eastAsia" w:ascii="仿宋" w:hAnsi="仿宋" w:eastAsia="仿宋"/>
          <w:color w:val="auto"/>
          <w:sz w:val="24"/>
          <w:szCs w:val="24"/>
        </w:rPr>
        <w:t>1．首次响应文件的提交截止时间：</w:t>
      </w:r>
      <w:r>
        <w:rPr>
          <w:rFonts w:hint="eastAsia" w:ascii="仿宋" w:hAnsi="仿宋" w:eastAsia="仿宋"/>
          <w:color w:val="auto"/>
          <w:sz w:val="24"/>
          <w:szCs w:val="24"/>
          <w:u w:val="none"/>
          <w:lang w:eastAsia="zh-CN"/>
        </w:rPr>
        <w:t>2026年</w:t>
      </w:r>
      <w:r>
        <w:rPr>
          <w:rFonts w:hint="eastAsia" w:ascii="仿宋" w:hAnsi="仿宋" w:eastAsia="仿宋"/>
          <w:color w:val="auto"/>
          <w:sz w:val="24"/>
          <w:szCs w:val="24"/>
          <w:u w:val="none"/>
          <w:lang w:val="en-US" w:eastAsia="zh-CN"/>
        </w:rPr>
        <w:t>7</w:t>
      </w:r>
      <w:r>
        <w:rPr>
          <w:rFonts w:hint="eastAsia" w:ascii="仿宋" w:hAnsi="仿宋" w:eastAsia="仿宋"/>
          <w:color w:val="auto"/>
          <w:sz w:val="24"/>
          <w:szCs w:val="24"/>
          <w:u w:val="none"/>
          <w:lang w:eastAsia="zh-CN"/>
        </w:rPr>
        <w:t>月</w:t>
      </w:r>
      <w:r>
        <w:rPr>
          <w:rFonts w:hint="eastAsia" w:ascii="仿宋" w:hAnsi="仿宋" w:eastAsia="仿宋"/>
          <w:color w:val="auto"/>
          <w:sz w:val="24"/>
          <w:szCs w:val="24"/>
          <w:u w:val="none"/>
          <w:lang w:val="en-US" w:eastAsia="zh-CN"/>
        </w:rPr>
        <w:t>2</w:t>
      </w:r>
      <w:r>
        <w:rPr>
          <w:rFonts w:hint="eastAsia" w:ascii="仿宋" w:hAnsi="仿宋" w:eastAsia="仿宋"/>
          <w:color w:val="auto"/>
          <w:sz w:val="24"/>
          <w:szCs w:val="24"/>
          <w:u w:val="none"/>
        </w:rPr>
        <w:t>日 9时</w:t>
      </w:r>
      <w:r>
        <w:rPr>
          <w:rFonts w:hint="eastAsia" w:ascii="仿宋" w:hAnsi="仿宋" w:eastAsia="仿宋"/>
          <w:color w:val="auto"/>
          <w:sz w:val="24"/>
          <w:szCs w:val="24"/>
          <w:u w:val="none"/>
          <w:lang w:val="en-US" w:eastAsia="zh-CN"/>
        </w:rPr>
        <w:t>30分</w:t>
      </w:r>
    </w:p>
    <w:p w14:paraId="4FBCF0ED">
      <w:pPr>
        <w:pStyle w:val="18"/>
        <w:snapToGrid w:val="0"/>
        <w:spacing w:before="0" w:beforeAutospacing="0" w:after="0" w:line="360" w:lineRule="auto"/>
        <w:ind w:left="0" w:leftChars="0" w:firstLine="480" w:firstLineChars="200"/>
        <w:jc w:val="left"/>
        <w:rPr>
          <w:rFonts w:hint="default" w:ascii="仿宋" w:hAnsi="仿宋" w:eastAsia="仿宋"/>
          <w:color w:val="auto"/>
          <w:sz w:val="24"/>
          <w:szCs w:val="24"/>
          <w:u w:val="none"/>
          <w:lang w:val="en-US" w:eastAsia="zh-CN"/>
        </w:rPr>
      </w:pPr>
      <w:r>
        <w:rPr>
          <w:rFonts w:hint="eastAsia" w:ascii="仿宋" w:hAnsi="仿宋" w:eastAsia="仿宋"/>
          <w:color w:val="auto"/>
          <w:sz w:val="24"/>
          <w:szCs w:val="24"/>
          <w:u w:val="none"/>
        </w:rPr>
        <w:t>2．首次响应文件的开启时间：</w:t>
      </w:r>
      <w:r>
        <w:rPr>
          <w:rFonts w:hint="eastAsia" w:ascii="仿宋" w:hAnsi="仿宋" w:eastAsia="仿宋"/>
          <w:color w:val="auto"/>
          <w:sz w:val="24"/>
          <w:szCs w:val="24"/>
          <w:u w:val="none"/>
          <w:lang w:eastAsia="zh-CN"/>
        </w:rPr>
        <w:t>2026年</w:t>
      </w:r>
      <w:r>
        <w:rPr>
          <w:rFonts w:hint="eastAsia" w:ascii="仿宋" w:hAnsi="仿宋" w:eastAsia="仿宋"/>
          <w:color w:val="auto"/>
          <w:sz w:val="24"/>
          <w:szCs w:val="24"/>
          <w:u w:val="none"/>
          <w:lang w:val="en-US" w:eastAsia="zh-CN"/>
        </w:rPr>
        <w:t>7</w:t>
      </w:r>
      <w:r>
        <w:rPr>
          <w:rFonts w:hint="eastAsia" w:ascii="仿宋" w:hAnsi="仿宋" w:eastAsia="仿宋"/>
          <w:color w:val="auto"/>
          <w:sz w:val="24"/>
          <w:szCs w:val="24"/>
          <w:u w:val="none"/>
          <w:lang w:eastAsia="zh-CN"/>
        </w:rPr>
        <w:t>月</w:t>
      </w:r>
      <w:r>
        <w:rPr>
          <w:rFonts w:hint="eastAsia" w:ascii="仿宋" w:hAnsi="仿宋" w:eastAsia="仿宋"/>
          <w:color w:val="auto"/>
          <w:sz w:val="24"/>
          <w:szCs w:val="24"/>
          <w:u w:val="none"/>
          <w:lang w:val="en-US" w:eastAsia="zh-CN"/>
        </w:rPr>
        <w:t>2</w:t>
      </w:r>
      <w:r>
        <w:rPr>
          <w:rFonts w:hint="eastAsia" w:ascii="仿宋" w:hAnsi="仿宋" w:eastAsia="仿宋"/>
          <w:color w:val="auto"/>
          <w:sz w:val="24"/>
          <w:szCs w:val="24"/>
          <w:u w:val="none"/>
        </w:rPr>
        <w:t>日 9时</w:t>
      </w:r>
      <w:r>
        <w:rPr>
          <w:rFonts w:hint="eastAsia" w:ascii="仿宋" w:hAnsi="仿宋" w:eastAsia="仿宋"/>
          <w:color w:val="auto"/>
          <w:sz w:val="24"/>
          <w:szCs w:val="24"/>
          <w:u w:val="none"/>
          <w:lang w:val="en-US" w:eastAsia="zh-CN"/>
        </w:rPr>
        <w:t>30分</w:t>
      </w:r>
    </w:p>
    <w:p w14:paraId="3B048F0F">
      <w:pPr>
        <w:pStyle w:val="18"/>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3．首次响应文件的开启地点：湖南铁道职业技术学院</w:t>
      </w:r>
    </w:p>
    <w:p w14:paraId="6D7CB4A3">
      <w:pPr>
        <w:pStyle w:val="3"/>
        <w:snapToGrid w:val="0"/>
        <w:spacing w:before="0" w:after="0" w:line="360" w:lineRule="auto"/>
        <w:ind w:firstLine="470" w:firstLineChars="195"/>
        <w:jc w:val="left"/>
        <w:rPr>
          <w:rFonts w:hint="eastAsia" w:ascii="仿宋" w:hAnsi="仿宋" w:eastAsia="仿宋" w:cs="宋体"/>
          <w:bCs w:val="0"/>
          <w:color w:val="auto"/>
          <w:kern w:val="0"/>
          <w:sz w:val="24"/>
          <w:szCs w:val="24"/>
        </w:rPr>
      </w:pPr>
      <w:bookmarkStart w:id="6" w:name="_Toc58335832"/>
      <w:r>
        <w:rPr>
          <w:rFonts w:hint="eastAsia" w:ascii="仿宋" w:hAnsi="仿宋" w:eastAsia="仿宋" w:cs="宋体"/>
          <w:bCs w:val="0"/>
          <w:color w:val="auto"/>
          <w:kern w:val="0"/>
          <w:sz w:val="24"/>
          <w:szCs w:val="24"/>
        </w:rPr>
        <w:t>四、公告期限</w:t>
      </w:r>
      <w:bookmarkEnd w:id="6"/>
    </w:p>
    <w:p w14:paraId="38B1DE6A">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1．本招标公告在湖南铁道职业技术学院官网（www.</w:t>
      </w:r>
      <w:r>
        <w:rPr>
          <w:rFonts w:ascii="仿宋" w:hAnsi="仿宋" w:eastAsia="仿宋" w:cstheme="minorEastAsia"/>
          <w:color w:val="auto"/>
          <w:sz w:val="24"/>
          <w:szCs w:val="24"/>
        </w:rPr>
        <w:t>hnrpc.com</w:t>
      </w:r>
      <w:r>
        <w:rPr>
          <w:rFonts w:hint="eastAsia" w:ascii="仿宋" w:hAnsi="仿宋" w:eastAsia="仿宋" w:cstheme="minorEastAsia"/>
          <w:color w:val="auto"/>
          <w:sz w:val="24"/>
          <w:szCs w:val="24"/>
        </w:rPr>
        <w:t>）发布。公告期限从本招标公告发布之日起3个工作日。</w:t>
      </w:r>
    </w:p>
    <w:p w14:paraId="31095B18">
      <w:pPr>
        <w:pStyle w:val="3"/>
        <w:snapToGrid w:val="0"/>
        <w:spacing w:before="0" w:after="0" w:line="360" w:lineRule="auto"/>
        <w:ind w:firstLine="470" w:firstLineChars="195"/>
        <w:jc w:val="left"/>
        <w:rPr>
          <w:rFonts w:hint="eastAsia" w:ascii="仿宋" w:hAnsi="仿宋" w:eastAsia="仿宋" w:cs="宋体"/>
          <w:bCs w:val="0"/>
          <w:color w:val="auto"/>
          <w:kern w:val="0"/>
          <w:sz w:val="24"/>
          <w:szCs w:val="24"/>
        </w:rPr>
      </w:pPr>
      <w:bookmarkStart w:id="7" w:name="_Toc58335833"/>
      <w:r>
        <w:rPr>
          <w:rFonts w:hint="eastAsia" w:ascii="仿宋" w:hAnsi="仿宋" w:eastAsia="仿宋" w:cs="宋体"/>
          <w:bCs w:val="0"/>
          <w:color w:val="auto"/>
          <w:kern w:val="0"/>
          <w:sz w:val="24"/>
          <w:szCs w:val="24"/>
        </w:rPr>
        <w:t>五、疑问及质疑</w:t>
      </w:r>
      <w:bookmarkEnd w:id="7"/>
    </w:p>
    <w:p w14:paraId="036B3505">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1．潜在投标人对采购活动事项如有疑问的，可以向采购人提出询问。采购人将在3个工作日内作出答复。</w:t>
      </w:r>
    </w:p>
    <w:p w14:paraId="68331AF7">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2．潜在投标人认为招标文件或招标公告使自己的合法权益受到损害的，可以在收到招标文件之日或招标公告期限届满之日起7个工作日内，以书面形式向采购人提出质疑。</w:t>
      </w:r>
    </w:p>
    <w:p w14:paraId="3D6E5EB1">
      <w:pPr>
        <w:pStyle w:val="3"/>
        <w:snapToGrid w:val="0"/>
        <w:spacing w:before="0" w:after="0" w:line="360" w:lineRule="auto"/>
        <w:ind w:firstLine="470" w:firstLineChars="195"/>
        <w:jc w:val="left"/>
        <w:rPr>
          <w:rFonts w:hint="eastAsia" w:ascii="仿宋" w:hAnsi="仿宋" w:eastAsia="仿宋" w:cs="宋体"/>
          <w:bCs w:val="0"/>
          <w:color w:val="auto"/>
          <w:kern w:val="0"/>
          <w:sz w:val="24"/>
          <w:szCs w:val="24"/>
        </w:rPr>
      </w:pPr>
      <w:bookmarkStart w:id="8" w:name="_Toc58335834"/>
      <w:r>
        <w:rPr>
          <w:rFonts w:hint="eastAsia" w:ascii="仿宋" w:hAnsi="仿宋" w:eastAsia="仿宋" w:cs="宋体"/>
          <w:bCs w:val="0"/>
          <w:color w:val="auto"/>
          <w:kern w:val="0"/>
          <w:sz w:val="24"/>
          <w:szCs w:val="24"/>
        </w:rPr>
        <w:t>六、采购项目联系人姓名和电话</w:t>
      </w:r>
      <w:bookmarkEnd w:id="8"/>
    </w:p>
    <w:p w14:paraId="233915AF">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1．采购项目</w:t>
      </w:r>
    </w:p>
    <w:p w14:paraId="341697AA">
      <w:pPr>
        <w:snapToGrid w:val="0"/>
        <w:spacing w:line="360" w:lineRule="auto"/>
        <w:ind w:firstLine="480" w:firstLineChars="200"/>
        <w:jc w:val="left"/>
        <w:rPr>
          <w:rFonts w:hint="eastAsia" w:ascii="仿宋" w:hAnsi="仿宋" w:eastAsia="仿宋" w:cstheme="minorEastAsia"/>
          <w:color w:val="auto"/>
          <w:sz w:val="24"/>
          <w:szCs w:val="24"/>
          <w:u w:val="single"/>
        </w:rPr>
      </w:pPr>
      <w:r>
        <w:rPr>
          <w:rFonts w:hint="eastAsia" w:ascii="仿宋" w:hAnsi="仿宋" w:eastAsia="仿宋" w:cstheme="minorEastAsia"/>
          <w:color w:val="auto"/>
          <w:sz w:val="24"/>
          <w:szCs w:val="24"/>
        </w:rPr>
        <w:t>联系人姓名</w:t>
      </w:r>
      <w:r>
        <w:rPr>
          <w:rFonts w:hint="eastAsia" w:ascii="仿宋" w:hAnsi="仿宋" w:eastAsia="仿宋" w:cstheme="minorEastAsia"/>
          <w:color w:val="auto"/>
          <w:sz w:val="24"/>
          <w:szCs w:val="24"/>
          <w:lang w:val="en-US" w:eastAsia="zh-CN"/>
        </w:rPr>
        <w:t>:</w:t>
      </w:r>
      <w:r>
        <w:rPr>
          <w:rFonts w:hint="eastAsia" w:ascii="仿宋" w:hAnsi="仿宋" w:eastAsia="仿宋" w:cstheme="minorEastAsia"/>
          <w:color w:val="auto"/>
          <w:sz w:val="24"/>
          <w:szCs w:val="24"/>
          <w:u w:val="none"/>
          <w:lang w:val="en-US" w:eastAsia="zh-CN"/>
        </w:rPr>
        <w:t>赵老师</w:t>
      </w:r>
      <w:r>
        <w:rPr>
          <w:rFonts w:hint="eastAsia" w:ascii="仿宋" w:hAnsi="仿宋" w:eastAsia="仿宋" w:cstheme="minorEastAsia"/>
          <w:color w:val="auto"/>
          <w:sz w:val="24"/>
          <w:szCs w:val="24"/>
          <w:u w:val="none"/>
        </w:rPr>
        <w:t xml:space="preserve">   </w:t>
      </w:r>
    </w:p>
    <w:p w14:paraId="717555CE">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电 话：</w:t>
      </w:r>
      <w:r>
        <w:rPr>
          <w:rFonts w:hint="eastAsia" w:ascii="仿宋" w:hAnsi="仿宋" w:eastAsia="仿宋" w:cstheme="minorEastAsia"/>
          <w:color w:val="auto"/>
          <w:sz w:val="24"/>
          <w:szCs w:val="24"/>
          <w:u w:val="none"/>
          <w:lang w:val="en-US" w:eastAsia="zh-CN"/>
        </w:rPr>
        <w:t>18975332748</w:t>
      </w:r>
    </w:p>
    <w:p w14:paraId="4D41203C">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2．采购人</w:t>
      </w:r>
    </w:p>
    <w:p w14:paraId="3CB22BB4">
      <w:pPr>
        <w:snapToGrid w:val="0"/>
        <w:spacing w:line="360" w:lineRule="auto"/>
        <w:ind w:firstLine="480" w:firstLineChars="200"/>
        <w:jc w:val="left"/>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名 称：湖南铁道职业技术学院</w:t>
      </w:r>
    </w:p>
    <w:p w14:paraId="07864416">
      <w:pPr>
        <w:ind w:firstLine="480" w:firstLineChars="200"/>
        <w:rPr>
          <w:rFonts w:hint="eastAsia" w:ascii="仿宋" w:hAnsi="仿宋" w:eastAsia="仿宋" w:cstheme="minorEastAsia"/>
          <w:color w:val="auto"/>
          <w:sz w:val="24"/>
          <w:szCs w:val="24"/>
        </w:rPr>
      </w:pPr>
      <w:r>
        <w:rPr>
          <w:rFonts w:hint="eastAsia" w:ascii="仿宋" w:hAnsi="仿宋" w:eastAsia="仿宋" w:cstheme="minorEastAsia"/>
          <w:color w:val="auto"/>
          <w:sz w:val="24"/>
          <w:szCs w:val="24"/>
        </w:rPr>
        <w:t>地 址：株洲市</w:t>
      </w:r>
      <w:r>
        <w:rPr>
          <w:rFonts w:hint="eastAsia" w:ascii="仿宋" w:hAnsi="仿宋" w:eastAsia="仿宋" w:cstheme="minorEastAsia"/>
          <w:color w:val="auto"/>
          <w:sz w:val="24"/>
          <w:szCs w:val="24"/>
          <w:lang w:val="en-US" w:eastAsia="zh-CN"/>
        </w:rPr>
        <w:t>石峰区智慧路1号</w:t>
      </w:r>
    </w:p>
    <w:p w14:paraId="1BEF8877">
      <w:pPr>
        <w:pStyle w:val="18"/>
        <w:rPr>
          <w:color w:val="auto"/>
        </w:rPr>
      </w:pPr>
    </w:p>
    <w:p w14:paraId="73301E09">
      <w:pPr>
        <w:rPr>
          <w:color w:val="auto"/>
        </w:rPr>
      </w:pPr>
    </w:p>
    <w:p w14:paraId="3DB79E42">
      <w:pPr>
        <w:pStyle w:val="18"/>
        <w:rPr>
          <w:color w:val="auto"/>
        </w:rPr>
      </w:pPr>
    </w:p>
    <w:p w14:paraId="3846B871"/>
    <w:p w14:paraId="6E1683AE">
      <w:pPr>
        <w:rPr>
          <w:color w:val="auto"/>
        </w:rPr>
      </w:pPr>
    </w:p>
    <w:p w14:paraId="778D917F">
      <w:pPr>
        <w:pStyle w:val="18"/>
        <w:ind w:left="0" w:leftChars="0" w:firstLine="0"/>
        <w:jc w:val="center"/>
        <w:rPr>
          <w:rFonts w:hint="eastAsia" w:ascii="仿宋" w:hAnsi="仿宋" w:eastAsia="仿宋"/>
          <w:b/>
          <w:color w:val="auto"/>
          <w:sz w:val="36"/>
          <w:szCs w:val="36"/>
        </w:rPr>
      </w:pPr>
      <w:r>
        <w:rPr>
          <w:rFonts w:ascii="仿宋" w:hAnsi="仿宋" w:eastAsia="仿宋"/>
          <w:b/>
          <w:color w:val="auto"/>
          <w:sz w:val="36"/>
          <w:szCs w:val="36"/>
        </w:rPr>
        <w:t>一</w:t>
      </w:r>
      <w:r>
        <w:rPr>
          <w:rFonts w:hint="eastAsia" w:ascii="仿宋" w:hAnsi="仿宋" w:eastAsia="仿宋"/>
          <w:b/>
          <w:color w:val="auto"/>
          <w:sz w:val="36"/>
          <w:szCs w:val="36"/>
        </w:rPr>
        <w:t>、</w:t>
      </w:r>
      <w:r>
        <w:rPr>
          <w:rFonts w:ascii="仿宋" w:hAnsi="仿宋" w:eastAsia="仿宋"/>
          <w:b/>
          <w:color w:val="auto"/>
          <w:sz w:val="36"/>
          <w:szCs w:val="36"/>
        </w:rPr>
        <w:t>采购需求</w:t>
      </w:r>
    </w:p>
    <w:p w14:paraId="77A199DA">
      <w:pPr>
        <w:snapToGrid w:val="0"/>
        <w:spacing w:line="360" w:lineRule="auto"/>
        <w:ind w:firstLine="482" w:firstLineChars="200"/>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一、项目基本情况</w:t>
      </w:r>
    </w:p>
    <w:p w14:paraId="7F81F575">
      <w:pPr>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1.项目名称：轨道交通装备智能制造与运维产教融合实训基地设备更新项目国债申报咨询服务采购</w:t>
      </w:r>
    </w:p>
    <w:p w14:paraId="35436708">
      <w:pPr>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项目概况：为贯彻落实国家发展改革委、教育部《教育领域重大设备更新实施方案》《超长期特别国债资金支持教育、卫生、文旅领域设备更新项目管理办法》及湘发改社会【2026】159号文《湖南省发展和改革委员会等六部门关于做好省属高校设备更新项目谋划储备和申报工作的通知》等各级政策文件要求，结合本学院实际情况，拟谋划与申报《轨道交通装备智能制造与运维产教融合实训基地设备更新项目》，本项目预计淘汰老旧落后实训设备81套、新购置智能化、现代化实训设备81套，项目总投资约1亿元。</w:t>
      </w:r>
    </w:p>
    <w:p w14:paraId="4CE78FED">
      <w:pPr>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为保障本项目符合特别国债及湖南省省属高校设备更新项目申报标准，顺利完成项目谋划、申报资料编制、评审答疑、逐级申报等全流程工作，现采购专业项目谋划与申报咨询服务，全方位助力项目成功立项入库、获批资金支持。</w:t>
      </w:r>
    </w:p>
    <w:p w14:paraId="12E3F069">
      <w:pPr>
        <w:numPr>
          <w:ilvl w:val="0"/>
          <w:numId w:val="2"/>
        </w:numPr>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采购预算：9.8万元。</w:t>
      </w:r>
    </w:p>
    <w:p w14:paraId="07E53611">
      <w:pPr>
        <w:pStyle w:val="43"/>
        <w:spacing w:line="520" w:lineRule="exact"/>
        <w:ind w:firstLine="480"/>
        <w:rPr>
          <w:rFonts w:hint="eastAsia" w:ascii="仿宋" w:hAnsi="仿宋" w:eastAsia="仿宋" w:cs="仿宋"/>
          <w:color w:val="auto"/>
          <w:kern w:val="0"/>
          <w:sz w:val="24"/>
          <w:szCs w:val="24"/>
          <w:lang w:eastAsia="zh-CN"/>
        </w:rPr>
      </w:pPr>
      <w:r>
        <w:rPr>
          <w:rFonts w:hint="default" w:ascii="仿宋" w:hAnsi="仿宋" w:eastAsia="仿宋" w:cs="仿宋"/>
          <w:color w:val="auto"/>
          <w:kern w:val="0"/>
          <w:sz w:val="24"/>
          <w:szCs w:val="24"/>
          <w:lang w:eastAsia="zh-CN"/>
          <w:woUserID w:val="1"/>
        </w:rPr>
        <w:t>4.</w:t>
      </w:r>
      <w:r>
        <w:rPr>
          <w:rFonts w:hint="eastAsia" w:ascii="仿宋" w:hAnsi="仿宋" w:eastAsia="仿宋" w:cs="仿宋"/>
          <w:color w:val="auto"/>
          <w:kern w:val="0"/>
          <w:sz w:val="24"/>
          <w:szCs w:val="24"/>
          <w:lang w:val="en-US" w:eastAsia="zh-CN"/>
        </w:rPr>
        <w:t>服务期限：</w:t>
      </w:r>
      <w:r>
        <w:rPr>
          <w:rFonts w:hint="eastAsia" w:ascii="仿宋" w:hAnsi="仿宋" w:eastAsia="仿宋" w:cs="仿宋"/>
          <w:color w:val="auto"/>
          <w:kern w:val="0"/>
          <w:sz w:val="24"/>
          <w:szCs w:val="24"/>
          <w:lang w:eastAsia="zh-CN"/>
        </w:rPr>
        <w:t>自合同签订之日起至项目上报国家发改委止。</w:t>
      </w:r>
    </w:p>
    <w:p w14:paraId="4B01CF64">
      <w:pPr>
        <w:numPr>
          <w:ilvl w:val="0"/>
          <w:numId w:val="0"/>
        </w:numPr>
        <w:snapToGrid w:val="0"/>
        <w:spacing w:before="156" w:beforeLines="50" w:line="360" w:lineRule="auto"/>
        <w:ind w:firstLine="482" w:firstLineChars="200"/>
        <w:jc w:val="left"/>
        <w:rPr>
          <w:rFonts w:hint="eastAsia" w:ascii="仿宋" w:hAnsi="仿宋" w:eastAsia="仿宋" w:cstheme="minorEastAsia"/>
          <w:b/>
          <w:color w:val="auto"/>
          <w:sz w:val="24"/>
          <w:szCs w:val="24"/>
          <w:highlight w:val="none"/>
        </w:rPr>
      </w:pPr>
      <w:r>
        <w:rPr>
          <w:rFonts w:hint="eastAsia" w:ascii="仿宋" w:hAnsi="仿宋" w:eastAsia="仿宋" w:cstheme="minorEastAsia"/>
          <w:b/>
          <w:color w:val="auto"/>
          <w:sz w:val="24"/>
          <w:szCs w:val="24"/>
          <w:highlight w:val="none"/>
        </w:rPr>
        <w:t>二、服务内容及要求</w:t>
      </w:r>
    </w:p>
    <w:p w14:paraId="5CA26C82">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b/>
          <w:bCs/>
          <w:color w:val="auto"/>
          <w:kern w:val="0"/>
          <w:sz w:val="24"/>
          <w:szCs w:val="24"/>
          <w:lang w:val="en-US" w:eastAsia="zh-CN"/>
        </w:rPr>
        <w:t>（一）项目政策合规谋划与可行性优化</w:t>
      </w:r>
    </w:p>
    <w:p w14:paraId="463AC4F4">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 政策深度解读：全面拆解国家及湖南省教育设备更新、特别国债资金申报最新政策、申报条件、支持范围、投资标准、准入门槛及评审重点，精准匹配本项目建设内容，排查项目申报风险点，确保项目完全契合各级文件要求。</w:t>
      </w:r>
    </w:p>
    <w:p w14:paraId="645003C3">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 项目现状梳理：实地踏勘学院轨道交通实训基地，核查现有老旧实训设备淘汰依据、使用年限、落后短板，结合行业智能制造、运维技术发展趋势，优化新购实训设备的选型、配置、建设必要性，贴合产教融合、实训教学、技能培养核心需求。</w:t>
      </w:r>
    </w:p>
    <w:p w14:paraId="65FE17BE">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 项目方案谋划：结合投资规模，科学优化项目整体建设方案、实施计划、建设目标、技术路线，细化设备更新方案，确保项目定位精准、内容合规、投资合理，符合省属高校设备更新项目申报国家发改委的标准。</w:t>
      </w:r>
    </w:p>
    <w:p w14:paraId="2E8A6DB2">
      <w:pPr>
        <w:pStyle w:val="43"/>
        <w:spacing w:line="520" w:lineRule="exact"/>
        <w:ind w:firstLine="48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（二）全套申报资料编制与打磨</w:t>
      </w:r>
    </w:p>
    <w:p w14:paraId="3DDC5827">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按照湖南省发改委六部门联合通知及特别国债项目申报规范，高标准编制、修订、完善项目全部申报资料，确保资料逻辑严谨、数据精准、格式规范、内容完整，完全匹配评审要求，完成可行性研究报告及评审、协助完成配套申报资料，具体包含但不限于：</w:t>
      </w:r>
    </w:p>
    <w:p w14:paraId="7A22726C">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1.设备更新申报政策辅导；</w:t>
      </w:r>
    </w:p>
    <w:p w14:paraId="2D3FB828">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2.协助完成设备购置清单与设备询价单的填报；</w:t>
      </w:r>
    </w:p>
    <w:p w14:paraId="729C0C1A">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3.协助完成教育厅、财政厅、省发改委关于项目表格填报、请示文件起草；</w:t>
      </w:r>
    </w:p>
    <w:p w14:paraId="117DA8F3">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4.协助完成省人社厅关于软建设方案编制框架内容；</w:t>
      </w:r>
    </w:p>
    <w:p w14:paraId="6644A1F2">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5.协助完成国家重大建设项目库＋投资在线审批监管平台填报；</w:t>
      </w:r>
    </w:p>
    <w:p w14:paraId="26090BA6">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lang w:val="en-US" w:eastAsia="zh-Hans"/>
        </w:rPr>
        <w:t>编制</w:t>
      </w:r>
      <w:r>
        <w:rPr>
          <w:rFonts w:hint="eastAsia" w:ascii="仿宋" w:hAnsi="仿宋" w:eastAsia="仿宋" w:cs="仿宋"/>
          <w:color w:val="auto"/>
          <w:kern w:val="0"/>
          <w:sz w:val="24"/>
          <w:szCs w:val="24"/>
          <w:lang w:val="en-US" w:eastAsia="zh-CN"/>
        </w:rPr>
        <w:t>湖南铁道职业技术学院轨道交通装备智能制造与运维产教融合实训基地设备更新项目</w:t>
      </w:r>
      <w:r>
        <w:rPr>
          <w:rFonts w:hint="eastAsia" w:ascii="仿宋" w:hAnsi="仿宋" w:eastAsia="仿宋" w:cs="仿宋"/>
          <w:color w:val="auto"/>
          <w:kern w:val="0"/>
          <w:sz w:val="24"/>
          <w:szCs w:val="24"/>
          <w:lang w:val="en-US" w:eastAsia="zh-Hans"/>
        </w:rPr>
        <w:t>可行性研究报告</w:t>
      </w:r>
      <w:r>
        <w:rPr>
          <w:rFonts w:hint="eastAsia" w:ascii="仿宋" w:hAnsi="仿宋" w:eastAsia="仿宋" w:cs="仿宋"/>
          <w:color w:val="auto"/>
          <w:kern w:val="0"/>
          <w:sz w:val="24"/>
          <w:szCs w:val="24"/>
          <w:lang w:val="en-US" w:eastAsia="zh-CN"/>
        </w:rPr>
        <w:t>，并协助完成省发改委重点事务中心可研评审及修改完善定稿。</w:t>
      </w:r>
    </w:p>
    <w:p w14:paraId="0914BE5A">
      <w:pPr>
        <w:pStyle w:val="43"/>
        <w:spacing w:line="520" w:lineRule="exact"/>
        <w:ind w:firstLine="48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（三）全流程申报对接与落地服务</w:t>
      </w:r>
    </w:p>
    <w:p w14:paraId="57634543">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 全程协助学院完成项目线上储备入库、系统填报、资料上传、线下材料报送等全部申报流程，严格把控申报时间节点，杜绝漏报、错报、迟报问题。</w:t>
      </w:r>
    </w:p>
    <w:p w14:paraId="7D59B261">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 全程协助学院完成省发改委、省教育厅、省财政厅等各级主管部门对接，实时跟进项目审核、评审进度，第一时间反馈审核意见。</w:t>
      </w:r>
    </w:p>
    <w:p w14:paraId="0D665086">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 针对评审过程中提出的疑问、整改要求，无偿完成资料修改、补充、优化、答辩答疑等工作，全程闭环整改，直至可研报告审核通过、成功上报国家发改委。</w:t>
      </w:r>
    </w:p>
    <w:p w14:paraId="44FF2E7B">
      <w:pPr>
        <w:pStyle w:val="43"/>
        <w:spacing w:line="520" w:lineRule="exact"/>
        <w:ind w:firstLine="48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（四）专项咨询与培训指导</w:t>
      </w:r>
    </w:p>
    <w:p w14:paraId="4F20A86A">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为学院项目工作小组开展政策解读、申报流程、资料规范、评审要点专项培训，帮助工作人员掌握特别国债设备更新项目申报核心要求。</w:t>
      </w:r>
    </w:p>
    <w:p w14:paraId="4875D287">
      <w:pPr>
        <w:numPr>
          <w:ilvl w:val="0"/>
          <w:numId w:val="0"/>
        </w:numPr>
        <w:snapToGrid w:val="0"/>
        <w:spacing w:before="156" w:beforeLines="50" w:line="360" w:lineRule="auto"/>
        <w:ind w:firstLine="482" w:firstLineChars="200"/>
        <w:jc w:val="left"/>
        <w:rPr>
          <w:rFonts w:hint="eastAsia" w:ascii="仿宋" w:hAnsi="仿宋" w:eastAsia="仿宋" w:cstheme="minorEastAsia"/>
          <w:b/>
          <w:color w:val="auto"/>
          <w:sz w:val="24"/>
          <w:szCs w:val="24"/>
        </w:rPr>
      </w:pPr>
      <w:r>
        <w:rPr>
          <w:rFonts w:hint="eastAsia" w:ascii="仿宋" w:hAnsi="仿宋" w:eastAsia="仿宋" w:cstheme="minorEastAsia"/>
          <w:b/>
          <w:color w:val="auto"/>
          <w:kern w:val="2"/>
          <w:sz w:val="24"/>
          <w:szCs w:val="24"/>
          <w:lang w:val="en-US" w:eastAsia="zh-CN" w:bidi="ar-SA"/>
        </w:rPr>
        <w:t>三、</w:t>
      </w:r>
      <w:r>
        <w:rPr>
          <w:rFonts w:hint="eastAsia" w:ascii="仿宋" w:hAnsi="仿宋" w:eastAsia="仿宋" w:cstheme="minorEastAsia"/>
          <w:b/>
          <w:color w:val="auto"/>
          <w:sz w:val="24"/>
          <w:szCs w:val="24"/>
        </w:rPr>
        <w:t>服务质量要求：</w:t>
      </w:r>
    </w:p>
    <w:p w14:paraId="254D1D4B">
      <w:pPr>
        <w:adjustRightInd w:val="0"/>
        <w:snapToGrid w:val="0"/>
        <w:spacing w:line="360" w:lineRule="auto"/>
        <w:ind w:firstLine="480" w:firstLineChars="20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供应商需熟悉国家教育领域设备更新、超长期特别国债资金申报政策及湖南省省属高校项目申报流程、评审标准、资料规范，结合学院轨道交通专业办学特色、实训基地建设现状及项目实际情况，提供全流程、专业化、定制化的项目谋划与申报咨询服务。全程负责项目合规性梳理、方案优化、全套申报资料编制、逐级上报、评审对接、问题整改等工作，确保项目符合各级主管部门审核要求，顺利完成上报国家发改委的工作。</w:t>
      </w:r>
    </w:p>
    <w:p w14:paraId="4843AA58">
      <w:pPr>
        <w:adjustRightInd w:val="0"/>
        <w:snapToGrid w:val="0"/>
        <w:spacing w:line="360" w:lineRule="auto"/>
        <w:ind w:firstLine="480" w:firstLineChars="20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2.全程专人专属对接服务，7×24小时响应项目咨询、整改、答疑需求，及时配合主管部门及学院完成各项工作。</w:t>
      </w:r>
    </w:p>
    <w:p w14:paraId="4C5E32D7">
      <w:pPr>
        <w:adjustRightInd w:val="0"/>
        <w:snapToGrid w:val="0"/>
        <w:spacing w:line="360" w:lineRule="auto"/>
        <w:ind w:firstLine="480" w:firstLineChars="20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3.项目申报周期内，无偿提供所有资料修改、优化、补充、答辩支持服务，不额外收取任何费用。</w:t>
      </w:r>
    </w:p>
    <w:p w14:paraId="3D53E8E4">
      <w:pPr>
        <w:spacing w:line="360" w:lineRule="auto"/>
        <w:ind w:firstLine="482" w:firstLineChars="200"/>
        <w:rPr>
          <w:rFonts w:hint="eastAsia" w:ascii="仿宋" w:hAnsi="仿宋" w:eastAsia="仿宋" w:cstheme="minorEastAsia"/>
          <w:b/>
          <w:color w:val="auto"/>
          <w:sz w:val="24"/>
          <w:szCs w:val="24"/>
        </w:rPr>
      </w:pPr>
      <w:r>
        <w:rPr>
          <w:rFonts w:hint="eastAsia" w:ascii="仿宋" w:hAnsi="仿宋" w:eastAsia="仿宋" w:cstheme="minorEastAsia"/>
          <w:b/>
          <w:color w:val="auto"/>
          <w:sz w:val="24"/>
          <w:szCs w:val="24"/>
        </w:rPr>
        <w:t>四、服务</w:t>
      </w:r>
      <w:r>
        <w:rPr>
          <w:rFonts w:hint="eastAsia" w:ascii="仿宋" w:hAnsi="仿宋" w:eastAsia="仿宋" w:cstheme="minorEastAsia"/>
          <w:b/>
          <w:color w:val="auto"/>
          <w:sz w:val="24"/>
          <w:szCs w:val="24"/>
          <w:lang w:val="en-US" w:eastAsia="zh-CN"/>
        </w:rPr>
        <w:t>验收</w:t>
      </w:r>
      <w:r>
        <w:rPr>
          <w:rFonts w:hint="eastAsia" w:ascii="仿宋" w:hAnsi="仿宋" w:eastAsia="仿宋" w:cstheme="minorEastAsia"/>
          <w:b/>
          <w:color w:val="auto"/>
          <w:sz w:val="24"/>
          <w:szCs w:val="24"/>
        </w:rPr>
        <w:t>标准和方法：</w:t>
      </w:r>
    </w:p>
    <w:p w14:paraId="39F0A00F">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（一）交付成果</w:t>
      </w:r>
    </w:p>
    <w:p w14:paraId="7AF2473D">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供应商需最终交付完整、合规、可通过审核的全套成果资料，包含纸质版（按主管部门要求份数装订盖章）+电子版，具体包含但不限于：</w:t>
      </w:r>
    </w:p>
    <w:p w14:paraId="659D42E1">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1.申报咨询实施计划；</w:t>
      </w:r>
    </w:p>
    <w:p w14:paraId="18A21CBB">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2.项目可行性研究报告及评审意见；</w:t>
      </w:r>
    </w:p>
    <w:p w14:paraId="230B5B0D">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3.教育厅、财政厅、省发改委关于项目表格填报、请示文件等；</w:t>
      </w:r>
    </w:p>
    <w:p w14:paraId="2DC28ECD">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4.完成国家重大建设项目库＋投资在线审批监管平台等系统填报；</w:t>
      </w:r>
    </w:p>
    <w:p w14:paraId="7E92627F">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5.项目软建设方案（框架）。</w:t>
      </w:r>
    </w:p>
    <w:p w14:paraId="5DB1C1BD">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二</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验收标准</w:t>
      </w:r>
    </w:p>
    <w:p w14:paraId="59AF7EAD">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 所有交付成果完全符合国家、湖南省关于教育设备更新、超长期特别国债项目的申报政策、规范及格式要求，数据真实准确、逻辑清晰、内容完整，无错漏、无违规内容。</w:t>
      </w:r>
    </w:p>
    <w:p w14:paraId="70590C82">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2. 项目可研报告通过省发改委（投资主管部门）评审，并按评审意见修改完善形成项目可研报告（定稿）并上报国家发改委。</w:t>
      </w:r>
    </w:p>
    <w:p w14:paraId="37B9D8F0">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3. 全程响应及时，按时完成各阶段工作任务，评审整改、答疑工作闭环完成，无申报延误、审核驳回等问题。</w:t>
      </w:r>
    </w:p>
    <w:p w14:paraId="54BE6F46">
      <w:pPr>
        <w:spacing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4. 完整交付全部服务成果，资料归档规范，满足学院项目存档、后续建设、资金申报、验收核查等使用需求。</w:t>
      </w:r>
    </w:p>
    <w:p w14:paraId="54BE57B3">
      <w:pPr>
        <w:adjustRightInd w:val="0"/>
        <w:snapToGrid w:val="0"/>
        <w:spacing w:line="520" w:lineRule="exact"/>
        <w:ind w:firstLine="482" w:firstLineChars="200"/>
        <w:jc w:val="left"/>
        <w:rPr>
          <w:rFonts w:hint="eastAsia" w:ascii="仿宋" w:hAnsi="仿宋" w:eastAsia="仿宋" w:cstheme="minorEastAsia"/>
          <w:b/>
          <w:color w:val="auto"/>
          <w:sz w:val="24"/>
          <w:szCs w:val="24"/>
        </w:rPr>
      </w:pPr>
      <w:r>
        <w:rPr>
          <w:rFonts w:hint="eastAsia" w:ascii="仿宋" w:hAnsi="仿宋" w:eastAsia="仿宋" w:cstheme="minorEastAsia"/>
          <w:b/>
          <w:color w:val="auto"/>
          <w:sz w:val="24"/>
          <w:szCs w:val="24"/>
        </w:rPr>
        <w:t>五、投标报价说明</w:t>
      </w:r>
    </w:p>
    <w:p w14:paraId="7628DCD1">
      <w:pPr>
        <w:pStyle w:val="43"/>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本项目招标上限价为</w:t>
      </w:r>
      <w:r>
        <w:rPr>
          <w:rFonts w:hint="eastAsia" w:ascii="仿宋" w:hAnsi="仿宋" w:eastAsia="仿宋" w:cs="仿宋"/>
          <w:color w:val="auto"/>
          <w:kern w:val="0"/>
          <w:sz w:val="24"/>
          <w:szCs w:val="24"/>
          <w:u w:val="none"/>
          <w:lang w:val="en-US" w:eastAsia="zh-CN"/>
        </w:rPr>
        <w:t>9.8</w:t>
      </w:r>
      <w:r>
        <w:rPr>
          <w:rFonts w:hint="eastAsia" w:ascii="仿宋" w:hAnsi="仿宋" w:eastAsia="仿宋" w:cs="仿宋"/>
          <w:color w:val="auto"/>
          <w:kern w:val="0"/>
          <w:sz w:val="24"/>
          <w:szCs w:val="24"/>
        </w:rPr>
        <w:t>万元，报价为一次性报价。</w:t>
      </w:r>
    </w:p>
    <w:p w14:paraId="564CC75D">
      <w:pPr>
        <w:adjustRightInd w:val="0"/>
        <w:snapToGrid w:val="0"/>
        <w:spacing w:line="520" w:lineRule="exact"/>
        <w:ind w:firstLine="482" w:firstLineChars="200"/>
        <w:jc w:val="left"/>
        <w:rPr>
          <w:rFonts w:hint="eastAsia" w:ascii="仿宋" w:hAnsi="仿宋" w:eastAsia="仿宋" w:cstheme="minorEastAsia"/>
          <w:b/>
          <w:color w:val="auto"/>
          <w:sz w:val="24"/>
          <w:szCs w:val="24"/>
        </w:rPr>
      </w:pPr>
      <w:r>
        <w:rPr>
          <w:rFonts w:hint="eastAsia" w:ascii="仿宋" w:hAnsi="仿宋" w:eastAsia="仿宋" w:cstheme="minorEastAsia"/>
          <w:b/>
          <w:color w:val="auto"/>
          <w:sz w:val="24"/>
          <w:szCs w:val="24"/>
        </w:rPr>
        <w:t>六、合同价款和履行合同时间服务质量要求</w:t>
      </w:r>
    </w:p>
    <w:p w14:paraId="4A537012">
      <w:pPr>
        <w:pStyle w:val="43"/>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一</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合同价款：</w:t>
      </w:r>
      <w:r>
        <w:rPr>
          <w:rFonts w:hint="eastAsia" w:ascii="仿宋" w:hAnsi="仿宋" w:eastAsia="仿宋" w:cs="仿宋"/>
          <w:color w:val="auto"/>
          <w:kern w:val="0"/>
          <w:sz w:val="24"/>
          <w:szCs w:val="24"/>
        </w:rPr>
        <w:t>本合同为含税总价包干，成交供应商收到成交通知后，应在一周内签订合同。</w:t>
      </w:r>
      <w:bookmarkStart w:id="9" w:name="_GoBack"/>
      <w:bookmarkEnd w:id="9"/>
    </w:p>
    <w:p w14:paraId="4E88048B">
      <w:pPr>
        <w:numPr>
          <w:ilvl w:val="0"/>
          <w:numId w:val="0"/>
        </w:numPr>
        <w:snapToGrid w:val="0"/>
        <w:spacing w:before="156" w:beforeLines="50" w:line="360" w:lineRule="auto"/>
        <w:ind w:firstLine="480" w:firstLineChars="200"/>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二</w:t>
      </w:r>
      <w:r>
        <w:rPr>
          <w:rFonts w:hint="eastAsia" w:ascii="仿宋" w:hAnsi="仿宋" w:eastAsia="仿宋" w:cs="仿宋"/>
          <w:color w:val="auto"/>
          <w:kern w:val="0"/>
          <w:sz w:val="24"/>
          <w:szCs w:val="24"/>
          <w:lang w:eastAsia="zh-CN"/>
        </w:rPr>
        <w:t>）履行合同时间</w:t>
      </w:r>
      <w:r>
        <w:rPr>
          <w:rFonts w:hint="eastAsia" w:ascii="仿宋" w:hAnsi="仿宋" w:eastAsia="仿宋" w:cs="仿宋"/>
          <w:color w:val="auto"/>
          <w:kern w:val="0"/>
          <w:sz w:val="24"/>
          <w:szCs w:val="24"/>
          <w:lang w:val="en-US" w:eastAsia="zh-CN"/>
        </w:rPr>
        <w:t>及要求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自合同签订之日起至完成项目可研报告审批和项目上报国家发改委，严格按照湖南省主管部门规定的本批次项目申报截止时间，提前完成全套申报资料编制、审核、定稿、报送工作</w:t>
      </w:r>
      <w:r>
        <w:rPr>
          <w:rFonts w:hint="eastAsia" w:ascii="仿宋" w:hAnsi="仿宋" w:eastAsia="仿宋" w:cs="仿宋"/>
          <w:color w:val="auto"/>
          <w:kern w:val="0"/>
          <w:sz w:val="24"/>
          <w:szCs w:val="24"/>
          <w:lang w:eastAsia="zh-CN"/>
        </w:rPr>
        <w:t>。</w:t>
      </w:r>
    </w:p>
    <w:p w14:paraId="442F7D7C">
      <w:pPr>
        <w:snapToGrid w:val="0"/>
        <w:spacing w:line="360" w:lineRule="auto"/>
        <w:ind w:firstLine="482" w:firstLineChars="200"/>
        <w:jc w:val="left"/>
        <w:rPr>
          <w:rFonts w:hint="eastAsia" w:ascii="仿宋" w:hAnsi="仿宋" w:eastAsia="仿宋" w:cstheme="minorEastAsia"/>
          <w:b/>
          <w:color w:val="auto"/>
          <w:sz w:val="24"/>
          <w:szCs w:val="24"/>
        </w:rPr>
      </w:pPr>
      <w:r>
        <w:rPr>
          <w:rFonts w:hint="eastAsia" w:ascii="仿宋" w:hAnsi="仿宋" w:eastAsia="仿宋" w:cstheme="minorEastAsia"/>
          <w:b/>
          <w:color w:val="auto"/>
          <w:sz w:val="24"/>
          <w:szCs w:val="24"/>
        </w:rPr>
        <w:t>七、付款方式</w:t>
      </w:r>
    </w:p>
    <w:p w14:paraId="629B660E">
      <w:pPr>
        <w:snapToGrid w:val="0"/>
        <w:spacing w:line="360" w:lineRule="auto"/>
        <w:ind w:firstLine="480" w:firstLineChars="200"/>
        <w:jc w:val="left"/>
        <w:rPr>
          <w:rFonts w:hint="eastAsia" w:ascii="仿宋" w:hAnsi="仿宋" w:eastAsia="仿宋" w:cstheme="minorEastAsia"/>
          <w:color w:val="auto"/>
          <w:sz w:val="24"/>
          <w:szCs w:val="24"/>
          <w:lang w:val="en-US" w:eastAsia="zh-CN"/>
        </w:rPr>
      </w:pPr>
      <w:r>
        <w:rPr>
          <w:rFonts w:hint="eastAsia" w:ascii="仿宋" w:hAnsi="仿宋" w:eastAsia="仿宋" w:cstheme="minorEastAsia"/>
          <w:color w:val="auto"/>
          <w:sz w:val="24"/>
          <w:szCs w:val="24"/>
          <w:lang w:val="en-US" w:eastAsia="zh-CN"/>
        </w:rPr>
        <w:t>在完成并提交项目可研报告（初稿）后支付合同金额50%，余款在项目可研报告通过省发改委（投资主管部门）评审，并按评审意见修改完形成项目可研报告（定稿）且通过省发改委上报国家发改委后一次性付清。最终付款方式以合同为准。</w:t>
      </w:r>
    </w:p>
    <w:p w14:paraId="14431530">
      <w:pPr>
        <w:snapToGrid w:val="0"/>
        <w:spacing w:line="360" w:lineRule="auto"/>
        <w:ind w:firstLine="482" w:firstLineChars="200"/>
        <w:jc w:val="left"/>
        <w:rPr>
          <w:rFonts w:hint="eastAsia" w:ascii="仿宋" w:hAnsi="仿宋" w:eastAsia="仿宋" w:cstheme="minorEastAsia"/>
          <w:b/>
          <w:color w:val="auto"/>
          <w:sz w:val="24"/>
          <w:szCs w:val="24"/>
          <w:lang w:val="en-US" w:eastAsia="zh-CN"/>
        </w:rPr>
      </w:pPr>
      <w:r>
        <w:rPr>
          <w:rFonts w:hint="eastAsia" w:ascii="仿宋" w:hAnsi="仿宋" w:eastAsia="仿宋" w:cstheme="minorEastAsia"/>
          <w:b/>
          <w:color w:val="auto"/>
          <w:sz w:val="24"/>
          <w:szCs w:val="24"/>
          <w:lang w:val="en-US" w:eastAsia="zh-CN"/>
        </w:rPr>
        <w:t>八、其他要求</w:t>
      </w:r>
    </w:p>
    <w:p w14:paraId="673A4FF8">
      <w:pPr>
        <w:snapToGrid w:val="0"/>
        <w:spacing w:line="360" w:lineRule="auto"/>
        <w:ind w:firstLine="480" w:firstLineChars="200"/>
        <w:jc w:val="left"/>
        <w:rPr>
          <w:rFonts w:hint="eastAsia" w:ascii="仿宋" w:hAnsi="仿宋" w:eastAsia="仿宋" w:cstheme="minorEastAsia"/>
          <w:color w:val="auto"/>
          <w:sz w:val="24"/>
          <w:szCs w:val="24"/>
          <w:lang w:val="en-US" w:eastAsia="zh-CN"/>
        </w:rPr>
      </w:pPr>
      <w:r>
        <w:rPr>
          <w:rFonts w:hint="eastAsia" w:ascii="仿宋" w:hAnsi="仿宋" w:eastAsia="仿宋" w:cstheme="minorEastAsia"/>
          <w:color w:val="auto"/>
          <w:sz w:val="24"/>
          <w:szCs w:val="24"/>
          <w:lang w:val="en-US" w:eastAsia="zh-CN"/>
        </w:rPr>
        <w:t>1. 供应商须严格遵守保密规定，对学院所有项目数据、资料、申报信息严格保密，不得泄露、转借、用于其他商业用途，服务结束后完整移交所有资料。</w:t>
      </w:r>
    </w:p>
    <w:p w14:paraId="565339E8">
      <w:pPr>
        <w:snapToGrid w:val="0"/>
        <w:spacing w:line="360" w:lineRule="auto"/>
        <w:ind w:firstLine="480" w:firstLineChars="200"/>
        <w:jc w:val="left"/>
        <w:rPr>
          <w:rFonts w:hint="eastAsia" w:ascii="仿宋" w:hAnsi="仿宋" w:eastAsia="仿宋" w:cstheme="minorEastAsia"/>
          <w:color w:val="auto"/>
          <w:sz w:val="24"/>
          <w:szCs w:val="24"/>
          <w:lang w:val="en-US" w:eastAsia="zh-CN"/>
        </w:rPr>
      </w:pPr>
      <w:r>
        <w:rPr>
          <w:rFonts w:hint="eastAsia" w:ascii="仿宋" w:hAnsi="仿宋" w:eastAsia="仿宋" w:cstheme="minorEastAsia"/>
          <w:color w:val="auto"/>
          <w:sz w:val="24"/>
          <w:szCs w:val="24"/>
          <w:lang w:val="en-US" w:eastAsia="zh-CN"/>
        </w:rPr>
        <w:t>2. 服务过程中所有人员、设备、交通、资料编制等相关费用均包含在投标报价内，采购人不另行支付任何费用。</w:t>
      </w:r>
    </w:p>
    <w:p w14:paraId="258356E5">
      <w:pPr>
        <w:snapToGrid w:val="0"/>
        <w:spacing w:line="360" w:lineRule="auto"/>
        <w:ind w:firstLine="480" w:firstLineChars="200"/>
        <w:jc w:val="left"/>
        <w:rPr>
          <w:rFonts w:hint="eastAsia" w:ascii="仿宋" w:hAnsi="仿宋" w:eastAsia="仿宋" w:cstheme="minorEastAsia"/>
          <w:color w:val="auto"/>
          <w:sz w:val="24"/>
          <w:szCs w:val="24"/>
          <w:lang w:val="en-US" w:eastAsia="zh-CN"/>
        </w:rPr>
      </w:pPr>
      <w:r>
        <w:rPr>
          <w:rFonts w:hint="eastAsia" w:ascii="仿宋" w:hAnsi="仿宋" w:eastAsia="仿宋" w:cstheme="minorEastAsia"/>
          <w:color w:val="auto"/>
          <w:sz w:val="24"/>
          <w:szCs w:val="24"/>
          <w:lang w:val="en-US" w:eastAsia="zh-CN"/>
        </w:rPr>
        <w:t>3. 供应商须保证服务成果合法合规、真实可靠，满足省发改委审核和上报国家发改委的要求。</w:t>
      </w:r>
    </w:p>
    <w:p w14:paraId="4A01B776">
      <w:pPr>
        <w:snapToGrid w:val="0"/>
        <w:spacing w:line="360" w:lineRule="auto"/>
        <w:ind w:firstLine="480" w:firstLineChars="200"/>
        <w:jc w:val="left"/>
        <w:rPr>
          <w:rFonts w:hint="eastAsia" w:ascii="仿宋" w:hAnsi="仿宋" w:eastAsia="仿宋" w:cstheme="minorEastAsia"/>
          <w:color w:val="auto"/>
          <w:sz w:val="24"/>
          <w:szCs w:val="24"/>
          <w:lang w:val="en-US" w:eastAsia="zh-CN"/>
        </w:rPr>
      </w:pPr>
    </w:p>
    <w:p w14:paraId="34780DBE">
      <w:pPr>
        <w:rPr>
          <w:rFonts w:hint="eastAsia" w:ascii="仿宋" w:hAnsi="仿宋" w:eastAsia="仿宋" w:cstheme="minorEastAsia"/>
          <w:color w:val="auto"/>
          <w:sz w:val="24"/>
          <w:szCs w:val="24"/>
          <w:lang w:val="en-US" w:eastAsia="zh-CN"/>
        </w:rPr>
      </w:pPr>
      <w:r>
        <w:rPr>
          <w:rFonts w:hint="eastAsia" w:ascii="仿宋" w:hAnsi="仿宋" w:eastAsia="仿宋" w:cstheme="minorEastAsia"/>
          <w:color w:val="auto"/>
          <w:sz w:val="24"/>
          <w:szCs w:val="24"/>
          <w:lang w:val="en-US" w:eastAsia="zh-CN"/>
        </w:rPr>
        <w:br w:type="page"/>
      </w:r>
    </w:p>
    <w:p w14:paraId="573F1D9D">
      <w:pPr>
        <w:pStyle w:val="18"/>
        <w:ind w:left="0" w:leftChars="0" w:firstLine="0"/>
        <w:jc w:val="center"/>
        <w:rPr>
          <w:rFonts w:hint="eastAsia" w:ascii="仿宋" w:hAnsi="仿宋" w:eastAsia="仿宋"/>
          <w:b/>
          <w:color w:val="auto"/>
          <w:sz w:val="36"/>
          <w:szCs w:val="36"/>
        </w:rPr>
      </w:pPr>
      <w:r>
        <w:rPr>
          <w:rFonts w:hint="eastAsia" w:ascii="仿宋" w:hAnsi="仿宋" w:eastAsia="仿宋"/>
          <w:b/>
          <w:color w:val="auto"/>
          <w:sz w:val="36"/>
          <w:szCs w:val="36"/>
        </w:rPr>
        <w:t>二、评审办法及标准</w:t>
      </w:r>
    </w:p>
    <w:p w14:paraId="70F71EEF">
      <w:pPr>
        <w:spacing w:line="360" w:lineRule="auto"/>
        <w:ind w:firstLine="482" w:firstLineChars="200"/>
        <w:rPr>
          <w:rFonts w:hint="eastAsia" w:ascii="仿宋" w:hAnsi="仿宋" w:eastAsia="仿宋"/>
          <w:b/>
          <w:color w:val="auto"/>
          <w:sz w:val="24"/>
          <w:szCs w:val="24"/>
        </w:rPr>
      </w:pPr>
      <w:r>
        <w:rPr>
          <w:rFonts w:hint="eastAsia" w:ascii="仿宋" w:hAnsi="仿宋" w:eastAsia="仿宋"/>
          <w:b/>
          <w:color w:val="auto"/>
          <w:sz w:val="24"/>
          <w:szCs w:val="24"/>
        </w:rPr>
        <w:t>1.询比小组</w:t>
      </w:r>
    </w:p>
    <w:p w14:paraId="1957B860">
      <w:pPr>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1.1评审由采购人组建评审小组，评审小组一般为三人及以上单数。</w:t>
      </w:r>
    </w:p>
    <w:p w14:paraId="51A39BA9">
      <w:pPr>
        <w:spacing w:line="360" w:lineRule="auto"/>
        <w:ind w:firstLine="482" w:firstLineChars="200"/>
        <w:rPr>
          <w:rFonts w:hint="eastAsia" w:ascii="仿宋" w:hAnsi="仿宋" w:eastAsia="仿宋"/>
          <w:b/>
          <w:color w:val="auto"/>
          <w:sz w:val="24"/>
          <w:szCs w:val="24"/>
        </w:rPr>
      </w:pPr>
      <w:r>
        <w:rPr>
          <w:rFonts w:hint="eastAsia" w:ascii="仿宋" w:hAnsi="仿宋" w:eastAsia="仿宋"/>
          <w:b/>
          <w:color w:val="auto"/>
          <w:sz w:val="24"/>
          <w:szCs w:val="24"/>
        </w:rPr>
        <w:t>2.评审方法</w:t>
      </w:r>
    </w:p>
    <w:p w14:paraId="202B31BF">
      <w:pPr>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2.1评审方法：综合评分法，即响应文件能够最大限度的满足询比采购文件规定的各项综合评价标准且经评审得分最高的供应商为成交供应商的评标方法。</w:t>
      </w:r>
    </w:p>
    <w:p w14:paraId="2A521837">
      <w:pPr>
        <w:spacing w:line="360" w:lineRule="auto"/>
        <w:ind w:firstLine="480" w:firstLineChars="200"/>
        <w:rPr>
          <w:rFonts w:hint="eastAsia" w:ascii="仿宋" w:hAnsi="仿宋" w:eastAsia="仿宋"/>
          <w:color w:val="auto"/>
          <w:sz w:val="24"/>
          <w:szCs w:val="24"/>
          <w:lang w:eastAsia="zh-CN"/>
        </w:rPr>
      </w:pPr>
      <w:r>
        <w:rPr>
          <w:rFonts w:hint="eastAsia" w:ascii="仿宋" w:hAnsi="仿宋" w:eastAsia="仿宋"/>
          <w:color w:val="auto"/>
          <w:sz w:val="24"/>
          <w:szCs w:val="24"/>
        </w:rPr>
        <w:t>2.2本采购项目的评审因素和标准见表1</w:t>
      </w:r>
      <w:r>
        <w:rPr>
          <w:rFonts w:hint="eastAsia" w:ascii="仿宋" w:hAnsi="仿宋" w:eastAsia="仿宋"/>
          <w:color w:val="auto"/>
          <w:sz w:val="24"/>
          <w:szCs w:val="24"/>
          <w:lang w:eastAsia="zh-CN"/>
        </w:rPr>
        <w:t>。</w:t>
      </w:r>
    </w:p>
    <w:p w14:paraId="1675120C">
      <w:pPr>
        <w:spacing w:line="360" w:lineRule="auto"/>
        <w:ind w:firstLine="482" w:firstLineChars="200"/>
        <w:rPr>
          <w:rFonts w:hint="eastAsia" w:ascii="仿宋" w:hAnsi="仿宋" w:eastAsia="仿宋"/>
          <w:b/>
          <w:color w:val="auto"/>
          <w:sz w:val="24"/>
          <w:szCs w:val="24"/>
        </w:rPr>
      </w:pPr>
      <w:r>
        <w:rPr>
          <w:rFonts w:hint="eastAsia" w:ascii="仿宋" w:hAnsi="仿宋" w:eastAsia="仿宋"/>
          <w:b/>
          <w:color w:val="auto"/>
          <w:sz w:val="24"/>
          <w:szCs w:val="24"/>
        </w:rPr>
        <w:t>3.比较与评价</w:t>
      </w:r>
    </w:p>
    <w:p w14:paraId="0C2A75C4">
      <w:pPr>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3.1询比小组应按照询比采购文件中规定的评审方法、标准和评标因素，对资格性检查和符合性检查合格的响应文件进行评估，综合比较与评价。</w:t>
      </w:r>
    </w:p>
    <w:p w14:paraId="1932A541">
      <w:pPr>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3.2最终报价评价。询比小组以最终报价为基础。</w:t>
      </w:r>
    </w:p>
    <w:p w14:paraId="4BC0CCD3">
      <w:pPr>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3.3价格分采用按评审因素和标准表格内评分标准执行。</w:t>
      </w:r>
    </w:p>
    <w:p w14:paraId="706B9C17">
      <w:pPr>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3.4评审时，询比小组各成员应当独立对每个供应商的响应文件进行评价、评分，然后汇总每个供应商项评分因素的得分。</w:t>
      </w:r>
    </w:p>
    <w:p w14:paraId="5CFA8EFA">
      <w:pPr>
        <w:rPr>
          <w:rFonts w:hint="eastAsia" w:ascii="仿宋" w:hAnsi="仿宋" w:eastAsia="仿宋"/>
          <w:color w:val="auto"/>
          <w:sz w:val="24"/>
          <w:szCs w:val="24"/>
        </w:rPr>
      </w:pPr>
      <w:r>
        <w:rPr>
          <w:rFonts w:hint="eastAsia" w:ascii="仿宋" w:hAnsi="仿宋" w:eastAsia="仿宋"/>
          <w:color w:val="auto"/>
          <w:sz w:val="24"/>
          <w:szCs w:val="24"/>
        </w:rPr>
        <w:br w:type="page"/>
      </w:r>
    </w:p>
    <w:p w14:paraId="3AAB6280">
      <w:pPr>
        <w:pStyle w:val="18"/>
        <w:keepNext w:val="0"/>
        <w:keepLines w:val="0"/>
        <w:pageBreakBefore w:val="0"/>
        <w:widowControl w:val="0"/>
        <w:kinsoku/>
        <w:wordWrap/>
        <w:overflowPunct/>
        <w:topLinePunct w:val="0"/>
        <w:autoSpaceDE/>
        <w:autoSpaceDN/>
        <w:bidi w:val="0"/>
        <w:adjustRightInd/>
        <w:snapToGrid/>
        <w:spacing w:before="0" w:beforeAutospacing="0" w:after="0" w:line="240" w:lineRule="atLeast"/>
        <w:ind w:left="0" w:leftChars="0" w:firstLine="562" w:firstLineChars="200"/>
        <w:textAlignment w:val="auto"/>
        <w:rPr>
          <w:rFonts w:hint="eastAsia" w:ascii="仿宋" w:hAnsi="仿宋" w:eastAsia="仿宋"/>
          <w:b/>
          <w:color w:val="auto"/>
          <w:sz w:val="28"/>
          <w:szCs w:val="28"/>
        </w:rPr>
      </w:pPr>
      <w:r>
        <w:rPr>
          <w:rFonts w:ascii="仿宋" w:hAnsi="仿宋" w:eastAsia="仿宋"/>
          <w:b/>
          <w:color w:val="auto"/>
          <w:sz w:val="28"/>
          <w:szCs w:val="28"/>
        </w:rPr>
        <w:t>表</w:t>
      </w:r>
      <w:r>
        <w:rPr>
          <w:rFonts w:hint="eastAsia" w:ascii="仿宋" w:hAnsi="仿宋" w:eastAsia="仿宋"/>
          <w:b/>
          <w:color w:val="auto"/>
          <w:sz w:val="28"/>
          <w:szCs w:val="28"/>
        </w:rPr>
        <w:t xml:space="preserve">1 </w:t>
      </w:r>
      <w:r>
        <w:rPr>
          <w:rFonts w:ascii="仿宋" w:hAnsi="仿宋" w:eastAsia="仿宋"/>
          <w:b/>
          <w:color w:val="auto"/>
          <w:sz w:val="28"/>
          <w:szCs w:val="28"/>
        </w:rPr>
        <w:t xml:space="preserve">  </w:t>
      </w:r>
      <w:r>
        <w:rPr>
          <w:rFonts w:hint="eastAsia" w:ascii="仿宋" w:hAnsi="仿宋" w:eastAsia="仿宋"/>
          <w:b/>
          <w:color w:val="auto"/>
          <w:sz w:val="28"/>
          <w:szCs w:val="28"/>
          <w:lang w:val="en-US" w:eastAsia="zh-CN"/>
        </w:rPr>
        <w:t xml:space="preserve">            </w:t>
      </w:r>
      <w:r>
        <w:rPr>
          <w:rFonts w:hint="eastAsia" w:ascii="仿宋" w:hAnsi="仿宋" w:eastAsia="仿宋"/>
          <w:b/>
          <w:color w:val="auto"/>
          <w:sz w:val="28"/>
          <w:szCs w:val="28"/>
        </w:rPr>
        <w:t>评审因素和标准</w:t>
      </w:r>
    </w:p>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4B73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blHeader/>
        </w:trPr>
        <w:tc>
          <w:tcPr>
            <w:tcW w:w="0" w:type="auto"/>
            <w:vAlign w:val="center"/>
          </w:tcPr>
          <w:p w14:paraId="7C7E709E">
            <w:pPr>
              <w:jc w:val="center"/>
              <w:rPr>
                <w:rFonts w:hint="eastAsia" w:ascii="仿宋" w:hAnsi="仿宋" w:eastAsia="仿宋"/>
                <w:b/>
                <w:color w:val="auto"/>
                <w:sz w:val="24"/>
                <w:szCs w:val="24"/>
              </w:rPr>
            </w:pPr>
            <w:r>
              <w:rPr>
                <w:rFonts w:hint="eastAsia" w:ascii="仿宋" w:hAnsi="仿宋" w:eastAsia="仿宋"/>
                <w:b/>
                <w:color w:val="auto"/>
                <w:kern w:val="0"/>
                <w:sz w:val="24"/>
                <w:szCs w:val="24"/>
              </w:rPr>
              <w:t>序号</w:t>
            </w:r>
          </w:p>
        </w:tc>
        <w:tc>
          <w:tcPr>
            <w:tcW w:w="1308" w:type="dxa"/>
            <w:vAlign w:val="center"/>
          </w:tcPr>
          <w:p w14:paraId="2F679262">
            <w:pPr>
              <w:jc w:val="center"/>
              <w:rPr>
                <w:rFonts w:hint="eastAsia" w:ascii="仿宋" w:hAnsi="仿宋" w:eastAsia="仿宋"/>
                <w:b/>
                <w:color w:val="auto"/>
                <w:sz w:val="24"/>
                <w:szCs w:val="24"/>
              </w:rPr>
            </w:pPr>
            <w:r>
              <w:rPr>
                <w:rFonts w:hint="eastAsia" w:ascii="仿宋" w:hAnsi="仿宋" w:eastAsia="仿宋"/>
                <w:b/>
                <w:color w:val="auto"/>
                <w:kern w:val="0"/>
                <w:sz w:val="24"/>
                <w:szCs w:val="24"/>
              </w:rPr>
              <w:t>评审因素</w:t>
            </w:r>
          </w:p>
        </w:tc>
        <w:tc>
          <w:tcPr>
            <w:tcW w:w="709" w:type="dxa"/>
            <w:vAlign w:val="center"/>
          </w:tcPr>
          <w:p w14:paraId="4567B24C">
            <w:pPr>
              <w:jc w:val="center"/>
              <w:rPr>
                <w:rFonts w:hint="eastAsia" w:ascii="仿宋" w:hAnsi="仿宋" w:eastAsia="仿宋"/>
                <w:b/>
                <w:color w:val="auto"/>
                <w:sz w:val="24"/>
                <w:szCs w:val="24"/>
              </w:rPr>
            </w:pPr>
            <w:r>
              <w:rPr>
                <w:rFonts w:hint="eastAsia" w:ascii="仿宋" w:hAnsi="仿宋" w:eastAsia="仿宋"/>
                <w:b/>
                <w:color w:val="auto"/>
                <w:kern w:val="0"/>
                <w:sz w:val="24"/>
                <w:szCs w:val="24"/>
              </w:rPr>
              <w:t>权值</w:t>
            </w:r>
          </w:p>
        </w:tc>
        <w:tc>
          <w:tcPr>
            <w:tcW w:w="6237" w:type="dxa"/>
            <w:vAlign w:val="center"/>
          </w:tcPr>
          <w:p w14:paraId="128FD4E9">
            <w:pPr>
              <w:jc w:val="center"/>
              <w:rPr>
                <w:rFonts w:hint="eastAsia" w:ascii="仿宋" w:hAnsi="仿宋" w:eastAsia="仿宋"/>
                <w:b/>
                <w:color w:val="auto"/>
                <w:sz w:val="24"/>
                <w:szCs w:val="24"/>
              </w:rPr>
            </w:pPr>
            <w:r>
              <w:rPr>
                <w:rFonts w:hint="eastAsia" w:ascii="仿宋" w:hAnsi="仿宋" w:eastAsia="仿宋"/>
                <w:b/>
                <w:color w:val="auto"/>
                <w:sz w:val="24"/>
                <w:szCs w:val="24"/>
              </w:rPr>
              <w:t>评分标准</w:t>
            </w:r>
          </w:p>
        </w:tc>
      </w:tr>
      <w:tr w14:paraId="171C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56515135">
            <w:pPr>
              <w:jc w:val="center"/>
              <w:rPr>
                <w:rFonts w:hint="eastAsia" w:ascii="仿宋" w:hAnsi="仿宋" w:eastAsia="仿宋"/>
                <w:b/>
                <w:color w:val="auto"/>
                <w:kern w:val="0"/>
                <w:sz w:val="24"/>
                <w:szCs w:val="24"/>
              </w:rPr>
            </w:pPr>
            <w:r>
              <w:rPr>
                <w:rFonts w:hint="eastAsia" w:ascii="仿宋" w:hAnsi="仿宋" w:eastAsia="仿宋"/>
                <w:color w:val="auto"/>
                <w:sz w:val="24"/>
                <w:szCs w:val="24"/>
              </w:rPr>
              <w:t>1</w:t>
            </w:r>
          </w:p>
        </w:tc>
        <w:tc>
          <w:tcPr>
            <w:tcW w:w="1308" w:type="dxa"/>
            <w:vAlign w:val="center"/>
          </w:tcPr>
          <w:p w14:paraId="5DC0B1D6">
            <w:pPr>
              <w:jc w:val="center"/>
              <w:rPr>
                <w:rFonts w:hint="eastAsia" w:ascii="仿宋" w:hAnsi="仿宋" w:eastAsia="仿宋"/>
                <w:b/>
                <w:color w:val="auto"/>
                <w:kern w:val="0"/>
                <w:sz w:val="24"/>
                <w:szCs w:val="24"/>
              </w:rPr>
            </w:pPr>
            <w:r>
              <w:rPr>
                <w:rFonts w:hint="eastAsia" w:ascii="仿宋" w:hAnsi="仿宋" w:eastAsia="仿宋"/>
                <w:color w:val="auto"/>
                <w:kern w:val="0"/>
                <w:sz w:val="24"/>
                <w:szCs w:val="24"/>
              </w:rPr>
              <w:t>报价</w:t>
            </w:r>
          </w:p>
        </w:tc>
        <w:tc>
          <w:tcPr>
            <w:tcW w:w="709" w:type="dxa"/>
            <w:vAlign w:val="center"/>
          </w:tcPr>
          <w:p w14:paraId="2E825B81">
            <w:pPr>
              <w:jc w:val="center"/>
              <w:rPr>
                <w:rFonts w:hint="default"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30</w:t>
            </w:r>
          </w:p>
        </w:tc>
        <w:tc>
          <w:tcPr>
            <w:tcW w:w="6237" w:type="dxa"/>
            <w:vAlign w:val="center"/>
          </w:tcPr>
          <w:p w14:paraId="0E120532">
            <w:pPr>
              <w:jc w:val="left"/>
              <w:rPr>
                <w:rFonts w:hint="eastAsia" w:ascii="仿宋" w:hAnsi="仿宋" w:eastAsia="仿宋"/>
                <w:b/>
                <w:color w:val="auto"/>
                <w:sz w:val="24"/>
                <w:szCs w:val="24"/>
              </w:rPr>
            </w:pPr>
            <w:r>
              <w:rPr>
                <w:rFonts w:hint="eastAsia" w:ascii="仿宋" w:hAnsi="仿宋" w:eastAsia="仿宋" w:cs="宋体"/>
                <w:color w:val="auto"/>
                <w:sz w:val="24"/>
                <w:szCs w:val="24"/>
              </w:rPr>
              <w:t>以经评委会一致认定满足招标文件要求且投标价格最低的投标报价为评标基准价，其价格得分计</w:t>
            </w:r>
            <w:r>
              <w:rPr>
                <w:rFonts w:hint="eastAsia" w:ascii="仿宋" w:hAnsi="仿宋" w:eastAsia="仿宋" w:cs="宋体"/>
                <w:color w:val="auto"/>
                <w:sz w:val="24"/>
                <w:szCs w:val="24"/>
                <w:lang w:val="en-US" w:eastAsia="zh-CN"/>
              </w:rPr>
              <w:t>30</w:t>
            </w:r>
            <w:r>
              <w:rPr>
                <w:rFonts w:hint="eastAsia" w:ascii="仿宋" w:hAnsi="仿宋" w:eastAsia="仿宋" w:cs="宋体"/>
                <w:color w:val="auto"/>
                <w:sz w:val="24"/>
                <w:szCs w:val="24"/>
              </w:rPr>
              <w:t>分。其他投标人的价格得分统一按公式计算：报价得分=（评标基准价/投标报价）×价格权重。</w:t>
            </w:r>
          </w:p>
        </w:tc>
      </w:tr>
      <w:tr w14:paraId="6532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4DCEB412">
            <w:pPr>
              <w:jc w:val="left"/>
              <w:rPr>
                <w:rFonts w:hint="eastAsia" w:ascii="仿宋" w:hAnsi="仿宋" w:eastAsia="仿宋" w:cs="宋体"/>
                <w:color w:val="auto"/>
                <w:sz w:val="24"/>
                <w:szCs w:val="24"/>
              </w:rPr>
            </w:pPr>
            <w:r>
              <w:rPr>
                <w:rFonts w:hint="eastAsia" w:ascii="仿宋" w:hAnsi="仿宋" w:eastAsia="仿宋" w:cs="宋体"/>
                <w:color w:val="auto"/>
                <w:sz w:val="24"/>
                <w:szCs w:val="24"/>
              </w:rPr>
              <w:t>2</w:t>
            </w:r>
          </w:p>
        </w:tc>
        <w:tc>
          <w:tcPr>
            <w:tcW w:w="1308" w:type="dxa"/>
            <w:vAlign w:val="center"/>
          </w:tcPr>
          <w:p w14:paraId="499A6BB2">
            <w:pPr>
              <w:jc w:val="center"/>
              <w:rPr>
                <w:rFonts w:hint="eastAsia" w:ascii="仿宋" w:hAnsi="仿宋" w:eastAsia="仿宋" w:cs="宋体"/>
                <w:color w:val="auto"/>
                <w:sz w:val="24"/>
                <w:szCs w:val="24"/>
              </w:rPr>
            </w:pPr>
            <w:r>
              <w:rPr>
                <w:rFonts w:hint="eastAsia" w:ascii="仿宋" w:hAnsi="仿宋" w:eastAsia="仿宋" w:cs="宋体"/>
                <w:color w:val="auto"/>
                <w:sz w:val="24"/>
                <w:szCs w:val="24"/>
              </w:rPr>
              <w:t>服务团队能力</w:t>
            </w:r>
          </w:p>
        </w:tc>
        <w:tc>
          <w:tcPr>
            <w:tcW w:w="709" w:type="dxa"/>
            <w:vAlign w:val="center"/>
          </w:tcPr>
          <w:p w14:paraId="656E17ED">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20</w:t>
            </w:r>
          </w:p>
        </w:tc>
        <w:tc>
          <w:tcPr>
            <w:tcW w:w="6237" w:type="dxa"/>
            <w:vAlign w:val="center"/>
          </w:tcPr>
          <w:p w14:paraId="2BA51256">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rPr>
              <w:t>（1）</w:t>
            </w:r>
            <w:r>
              <w:rPr>
                <w:rFonts w:hint="eastAsia" w:ascii="仿宋" w:hAnsi="仿宋" w:eastAsia="仿宋" w:cs="宋体"/>
                <w:color w:val="auto"/>
                <w:sz w:val="24"/>
                <w:szCs w:val="24"/>
                <w:lang w:val="en-US" w:eastAsia="zh-CN"/>
              </w:rPr>
              <w:t>项目负责人具有咨询工程师（投资）证书的计5分；具有国家一级注册建造师或一级注册造价工程师证书的计5分；本项最高计10分。</w:t>
            </w:r>
          </w:p>
          <w:p w14:paraId="403E017B">
            <w:pPr>
              <w:jc w:val="left"/>
              <w:rPr>
                <w:rFonts w:hint="eastAsia" w:ascii="仿宋" w:hAnsi="仿宋" w:eastAsia="仿宋" w:cs="宋体"/>
                <w:color w:val="auto"/>
                <w:sz w:val="24"/>
                <w:szCs w:val="24"/>
              </w:rPr>
            </w:pPr>
            <w:r>
              <w:rPr>
                <w:rFonts w:hint="eastAsia" w:ascii="仿宋" w:hAnsi="仿宋" w:eastAsia="仿宋" w:cs="宋体"/>
                <w:color w:val="auto"/>
                <w:sz w:val="24"/>
                <w:szCs w:val="24"/>
              </w:rPr>
              <w:t>（2）</w:t>
            </w:r>
            <w:r>
              <w:rPr>
                <w:rFonts w:hint="eastAsia" w:ascii="仿宋" w:hAnsi="仿宋" w:eastAsia="仿宋" w:cs="宋体"/>
                <w:color w:val="auto"/>
                <w:sz w:val="24"/>
                <w:szCs w:val="24"/>
                <w:lang w:val="en-US" w:eastAsia="zh-CN"/>
              </w:rPr>
              <w:t>团队成员：具有咨询工程师（投资）证书，</w:t>
            </w:r>
            <w:r>
              <w:rPr>
                <w:rFonts w:hint="eastAsia" w:ascii="仿宋" w:hAnsi="仿宋" w:eastAsia="仿宋" w:cs="宋体"/>
                <w:color w:val="auto"/>
                <w:sz w:val="24"/>
                <w:szCs w:val="24"/>
              </w:rPr>
              <w:t>每提供1人得2分，</w:t>
            </w:r>
            <w:r>
              <w:rPr>
                <w:rFonts w:hint="eastAsia" w:ascii="仿宋" w:hAnsi="仿宋" w:eastAsia="仿宋" w:cs="宋体"/>
                <w:color w:val="auto"/>
                <w:sz w:val="24"/>
                <w:szCs w:val="24"/>
                <w:lang w:val="en-US" w:eastAsia="zh-CN"/>
              </w:rPr>
              <w:t>本项最高计10</w:t>
            </w:r>
            <w:r>
              <w:rPr>
                <w:rFonts w:hint="eastAsia" w:ascii="仿宋" w:hAnsi="仿宋" w:eastAsia="仿宋" w:cs="宋体"/>
                <w:color w:val="auto"/>
                <w:sz w:val="24"/>
                <w:szCs w:val="24"/>
              </w:rPr>
              <w:t>分。</w:t>
            </w:r>
          </w:p>
          <w:p w14:paraId="6078F0B8">
            <w:pPr>
              <w:jc w:val="left"/>
              <w:rPr>
                <w:rFonts w:hint="eastAsia" w:ascii="仿宋" w:hAnsi="仿宋" w:eastAsia="仿宋" w:cs="宋体"/>
                <w:b/>
                <w:bCs/>
                <w:color w:val="auto"/>
                <w:sz w:val="24"/>
                <w:szCs w:val="24"/>
              </w:rPr>
            </w:pPr>
            <w:r>
              <w:rPr>
                <w:rFonts w:hint="eastAsia" w:ascii="仿宋" w:hAnsi="仿宋" w:eastAsia="仿宋" w:cs="宋体"/>
                <w:b/>
                <w:bCs/>
                <w:color w:val="auto"/>
                <w:sz w:val="24"/>
                <w:szCs w:val="24"/>
              </w:rPr>
              <w:t>本项</w:t>
            </w:r>
            <w:r>
              <w:rPr>
                <w:rFonts w:hint="eastAsia" w:ascii="仿宋" w:hAnsi="仿宋" w:eastAsia="仿宋" w:cs="宋体"/>
                <w:b/>
                <w:bCs/>
                <w:color w:val="auto"/>
                <w:sz w:val="24"/>
                <w:szCs w:val="24"/>
                <w:lang w:val="en-US" w:eastAsia="zh-CN"/>
              </w:rPr>
              <w:t>满分20</w:t>
            </w:r>
            <w:r>
              <w:rPr>
                <w:rFonts w:hint="eastAsia" w:ascii="仿宋" w:hAnsi="仿宋" w:eastAsia="仿宋" w:cs="宋体"/>
                <w:b/>
                <w:bCs/>
                <w:color w:val="auto"/>
                <w:sz w:val="24"/>
                <w:szCs w:val="24"/>
              </w:rPr>
              <w:t>分。</w:t>
            </w:r>
          </w:p>
          <w:p w14:paraId="74281681">
            <w:pPr>
              <w:jc w:val="left"/>
              <w:rPr>
                <w:rFonts w:hint="eastAsia" w:ascii="仿宋" w:hAnsi="仿宋" w:eastAsia="仿宋" w:cs="宋体"/>
                <w:color w:val="auto"/>
                <w:sz w:val="24"/>
                <w:szCs w:val="24"/>
              </w:rPr>
            </w:pPr>
            <w:r>
              <w:rPr>
                <w:rFonts w:hint="eastAsia" w:ascii="仿宋" w:hAnsi="仿宋" w:eastAsia="仿宋" w:cs="宋体"/>
                <w:b/>
                <w:bCs/>
                <w:color w:val="auto"/>
                <w:sz w:val="24"/>
                <w:szCs w:val="24"/>
              </w:rPr>
              <w:t>【评审依据】：1）响应文件中提供以上人员证书扫描件并加盖供应商公章，</w:t>
            </w:r>
            <w:r>
              <w:rPr>
                <w:rFonts w:hint="eastAsia" w:ascii="仿宋" w:hAnsi="仿宋" w:eastAsia="仿宋" w:cs="宋体"/>
                <w:b/>
                <w:bCs/>
                <w:color w:val="auto"/>
                <w:sz w:val="24"/>
                <w:szCs w:val="24"/>
                <w:lang w:eastAsia="zh-CN"/>
              </w:rPr>
              <w:t>未</w:t>
            </w:r>
            <w:r>
              <w:rPr>
                <w:rFonts w:hint="eastAsia" w:ascii="仿宋" w:hAnsi="仿宋" w:eastAsia="仿宋" w:cs="宋体"/>
                <w:b/>
                <w:bCs/>
                <w:color w:val="auto"/>
                <w:sz w:val="24"/>
                <w:szCs w:val="24"/>
                <w:lang w:val="en-US" w:eastAsia="zh-CN"/>
              </w:rPr>
              <w:t>提供或未按要求提供不计分</w:t>
            </w:r>
            <w:r>
              <w:rPr>
                <w:rFonts w:hint="eastAsia" w:ascii="仿宋" w:hAnsi="仿宋" w:eastAsia="仿宋" w:cs="宋体"/>
                <w:b/>
                <w:bCs/>
                <w:color w:val="auto"/>
                <w:sz w:val="24"/>
                <w:szCs w:val="24"/>
              </w:rPr>
              <w:t>。2）服务团队中人员证书不得复用，否则不予加分。</w:t>
            </w:r>
          </w:p>
        </w:tc>
      </w:tr>
      <w:tr w14:paraId="0610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4F8EAC35">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3</w:t>
            </w:r>
          </w:p>
        </w:tc>
        <w:tc>
          <w:tcPr>
            <w:tcW w:w="1308" w:type="dxa"/>
            <w:shd w:val="clear" w:color="auto" w:fill="auto"/>
            <w:vAlign w:val="center"/>
          </w:tcPr>
          <w:p w14:paraId="6667DB7E">
            <w:pPr>
              <w:jc w:val="center"/>
              <w:rPr>
                <w:rFonts w:hint="eastAsia" w:ascii="仿宋" w:hAnsi="仿宋" w:eastAsia="仿宋" w:cs="宋体"/>
                <w:color w:val="auto"/>
                <w:sz w:val="24"/>
                <w:szCs w:val="24"/>
              </w:rPr>
            </w:pPr>
            <w:r>
              <w:rPr>
                <w:rFonts w:hint="eastAsia" w:ascii="仿宋" w:hAnsi="仿宋" w:eastAsia="仿宋" w:cs="宋体"/>
                <w:sz w:val="24"/>
                <w:szCs w:val="24"/>
              </w:rPr>
              <w:t>项目整体实施方案</w:t>
            </w:r>
          </w:p>
        </w:tc>
        <w:tc>
          <w:tcPr>
            <w:tcW w:w="709" w:type="dxa"/>
            <w:shd w:val="clear" w:color="auto" w:fill="auto"/>
            <w:vAlign w:val="center"/>
          </w:tcPr>
          <w:p w14:paraId="56BC53FB">
            <w:pPr>
              <w:jc w:val="center"/>
              <w:rPr>
                <w:rFonts w:hint="default" w:ascii="宋体" w:hAnsi="宋体" w:eastAsia="宋体" w:cs="宋体"/>
                <w:color w:val="auto"/>
                <w:kern w:val="2"/>
                <w:sz w:val="21"/>
                <w:szCs w:val="21"/>
                <w:lang w:val="en-US" w:eastAsia="zh-CN" w:bidi="ar-SA"/>
              </w:rPr>
            </w:pPr>
            <w:r>
              <w:rPr>
                <w:rFonts w:hint="eastAsia" w:ascii="仿宋" w:hAnsi="仿宋" w:eastAsia="仿宋" w:cs="宋体"/>
                <w:sz w:val="24"/>
                <w:szCs w:val="24"/>
                <w:lang w:val="en-US" w:eastAsia="zh-CN"/>
              </w:rPr>
              <w:t>40</w:t>
            </w:r>
          </w:p>
        </w:tc>
        <w:tc>
          <w:tcPr>
            <w:tcW w:w="6237" w:type="dxa"/>
            <w:shd w:val="clear" w:color="auto" w:fill="auto"/>
            <w:vAlign w:val="center"/>
          </w:tcPr>
          <w:p w14:paraId="71A4BAA9">
            <w:pPr>
              <w:jc w:val="left"/>
              <w:rPr>
                <w:rFonts w:hint="eastAsia" w:ascii="仿宋" w:hAnsi="仿宋" w:eastAsia="仿宋" w:cs="宋体"/>
                <w:sz w:val="24"/>
                <w:szCs w:val="24"/>
              </w:rPr>
            </w:pPr>
            <w:r>
              <w:rPr>
                <w:rFonts w:hint="eastAsia" w:ascii="仿宋" w:hAnsi="仿宋" w:eastAsia="仿宋" w:cs="宋体"/>
                <w:color w:val="auto"/>
                <w:sz w:val="24"/>
                <w:szCs w:val="24"/>
                <w:highlight w:val="none"/>
              </w:rPr>
              <w:t>供应商根据本项目实施特点及技术要求，结合项目</w:t>
            </w:r>
            <w:r>
              <w:rPr>
                <w:rFonts w:hint="eastAsia" w:ascii="仿宋" w:hAnsi="仿宋" w:eastAsia="仿宋" w:cs="宋体"/>
                <w:color w:val="auto"/>
                <w:sz w:val="24"/>
                <w:szCs w:val="24"/>
                <w:highlight w:val="none"/>
                <w:lang w:val="en-US" w:eastAsia="zh-CN"/>
              </w:rPr>
              <w:t>实际</w:t>
            </w:r>
            <w:r>
              <w:rPr>
                <w:rFonts w:hint="eastAsia" w:ascii="仿宋" w:hAnsi="仿宋" w:eastAsia="仿宋" w:cs="宋体"/>
                <w:color w:val="auto"/>
                <w:sz w:val="24"/>
                <w:szCs w:val="24"/>
                <w:highlight w:val="none"/>
              </w:rPr>
              <w:t>情况制定实施方案，方案至少应包括：①</w:t>
            </w:r>
            <w:r>
              <w:rPr>
                <w:rFonts w:hint="eastAsia" w:ascii="仿宋" w:hAnsi="仿宋" w:eastAsia="仿宋" w:cs="宋体"/>
                <w:color w:val="auto"/>
                <w:sz w:val="24"/>
                <w:szCs w:val="24"/>
                <w:highlight w:val="none"/>
                <w:lang w:val="en-US" w:eastAsia="zh-CN"/>
              </w:rPr>
              <w:t>对本项目需求的理解与分析；</w:t>
            </w:r>
            <w:r>
              <w:rPr>
                <w:rFonts w:hint="eastAsia" w:ascii="仿宋" w:hAnsi="仿宋" w:eastAsia="仿宋" w:cs="宋体"/>
                <w:color w:val="auto"/>
                <w:sz w:val="24"/>
                <w:szCs w:val="24"/>
                <w:highlight w:val="none"/>
              </w:rPr>
              <w:t>②实施方案编制思路与框架</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包括但不限于</w:t>
            </w:r>
            <w:r>
              <w:rPr>
                <w:rFonts w:hint="eastAsia" w:ascii="仿宋" w:hAnsi="仿宋" w:eastAsia="仿宋" w:cs="宋体"/>
                <w:color w:val="auto"/>
                <w:sz w:val="24"/>
                <w:szCs w:val="24"/>
                <w:highlight w:val="none"/>
              </w:rPr>
              <w:t>政策契合度、框架完整性、报批适配性、阶段合理性</w:t>
            </w:r>
            <w:r>
              <w:rPr>
                <w:rFonts w:hint="eastAsia" w:ascii="仿宋" w:hAnsi="仿宋" w:eastAsia="仿宋" w:cs="宋体"/>
                <w:color w:val="auto"/>
                <w:sz w:val="24"/>
                <w:szCs w:val="24"/>
                <w:highlight w:val="none"/>
                <w:lang w:val="en-US" w:eastAsia="zh-CN"/>
              </w:rPr>
              <w:t>等，其中框架完整性包括</w:t>
            </w:r>
            <w:r>
              <w:rPr>
                <w:rFonts w:hint="eastAsia" w:ascii="仿宋" w:hAnsi="仿宋" w:eastAsia="仿宋" w:cs="宋体"/>
                <w:color w:val="auto"/>
                <w:sz w:val="24"/>
                <w:szCs w:val="24"/>
                <w:highlight w:val="none"/>
              </w:rPr>
              <w:t>项目建设背景与必要性论证</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rPr>
              <w:t>设备更新建设内容与详细清单</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rPr>
              <w:t>学科能力提升/产教融合专项建设</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rPr>
              <w:t>存量旧设备回收处置专项方案</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rPr>
              <w:t>投资估算与资金筹措方案</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rPr>
              <w:t>实施进度计划</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rPr>
              <w:t>绩效目标与效益分析</w:t>
            </w:r>
            <w:r>
              <w:rPr>
                <w:rFonts w:hint="eastAsia" w:ascii="仿宋" w:hAnsi="仿宋" w:eastAsia="仿宋" w:cs="宋体"/>
                <w:color w:val="auto"/>
                <w:sz w:val="24"/>
                <w:szCs w:val="24"/>
                <w:highlight w:val="none"/>
                <w:lang w:val="en-US" w:eastAsia="zh-CN"/>
              </w:rPr>
              <w:t>等</w:t>
            </w:r>
            <w:r>
              <w:rPr>
                <w:rFonts w:hint="eastAsia" w:ascii="仿宋" w:hAnsi="仿宋" w:eastAsia="仿宋" w:cs="宋体"/>
                <w:color w:val="auto"/>
                <w:sz w:val="24"/>
                <w:szCs w:val="24"/>
                <w:highlight w:val="none"/>
                <w:lang w:eastAsia="zh-CN"/>
              </w:rPr>
              <w:t>）；③</w:t>
            </w:r>
            <w:r>
              <w:rPr>
                <w:rFonts w:hint="eastAsia" w:ascii="仿宋" w:hAnsi="仿宋" w:eastAsia="仿宋" w:cs="宋体"/>
                <w:color w:val="auto"/>
                <w:sz w:val="24"/>
                <w:szCs w:val="24"/>
                <w:highlight w:val="none"/>
              </w:rPr>
              <w:t>技术保障措施；</w:t>
            </w:r>
            <w:r>
              <w:rPr>
                <w:rFonts w:hint="eastAsia" w:ascii="仿宋" w:hAnsi="仿宋" w:eastAsia="仿宋" w:cs="宋体"/>
                <w:color w:val="auto"/>
                <w:sz w:val="24"/>
                <w:szCs w:val="24"/>
                <w:highlight w:val="none"/>
                <w:lang w:eastAsia="zh-CN"/>
              </w:rPr>
              <w:t>④</w:t>
            </w:r>
            <w:r>
              <w:rPr>
                <w:rFonts w:hint="eastAsia" w:ascii="仿宋" w:hAnsi="仿宋" w:eastAsia="仿宋" w:cs="宋体"/>
                <w:color w:val="auto"/>
                <w:sz w:val="24"/>
                <w:szCs w:val="24"/>
                <w:highlight w:val="none"/>
              </w:rPr>
              <w:t>人员组织保障措施；</w:t>
            </w:r>
            <w:r>
              <w:rPr>
                <w:rFonts w:hint="eastAsia" w:ascii="仿宋" w:hAnsi="仿宋" w:eastAsia="仿宋" w:cs="宋体"/>
                <w:color w:val="auto"/>
                <w:sz w:val="24"/>
                <w:szCs w:val="24"/>
                <w:highlight w:val="none"/>
                <w:lang w:eastAsia="zh-CN"/>
              </w:rPr>
              <w:t>⑤</w:t>
            </w:r>
            <w:r>
              <w:rPr>
                <w:rFonts w:hint="eastAsia" w:ascii="仿宋" w:hAnsi="仿宋" w:eastAsia="仿宋" w:cs="宋体"/>
                <w:color w:val="auto"/>
                <w:sz w:val="24"/>
                <w:szCs w:val="24"/>
                <w:highlight w:val="none"/>
              </w:rPr>
              <w:t>进度保障措施；</w:t>
            </w:r>
            <w:r>
              <w:rPr>
                <w:rFonts w:hint="eastAsia" w:ascii="仿宋" w:hAnsi="仿宋" w:eastAsia="仿宋" w:cs="宋体"/>
                <w:color w:val="auto"/>
                <w:sz w:val="24"/>
                <w:szCs w:val="24"/>
                <w:highlight w:val="none"/>
                <w:lang w:eastAsia="zh-CN"/>
              </w:rPr>
              <w:t>⑥</w:t>
            </w:r>
            <w:r>
              <w:rPr>
                <w:rFonts w:hint="eastAsia" w:ascii="仿宋" w:hAnsi="仿宋" w:eastAsia="仿宋" w:cs="宋体"/>
                <w:color w:val="auto"/>
                <w:sz w:val="24"/>
                <w:szCs w:val="24"/>
                <w:highlight w:val="none"/>
              </w:rPr>
              <w:t>质量保障措施；</w:t>
            </w:r>
            <w:r>
              <w:rPr>
                <w:rFonts w:hint="eastAsia" w:ascii="仿宋" w:hAnsi="仿宋" w:eastAsia="仿宋" w:cs="宋体"/>
                <w:color w:val="auto"/>
                <w:sz w:val="24"/>
                <w:szCs w:val="24"/>
                <w:highlight w:val="none"/>
                <w:lang w:eastAsia="zh-CN"/>
              </w:rPr>
              <w:t>⑦</w:t>
            </w:r>
            <w:r>
              <w:rPr>
                <w:rFonts w:hint="eastAsia" w:ascii="仿宋" w:hAnsi="仿宋" w:eastAsia="仿宋" w:cs="宋体"/>
                <w:color w:val="auto"/>
                <w:sz w:val="24"/>
                <w:szCs w:val="24"/>
                <w:highlight w:val="none"/>
              </w:rPr>
              <w:t>应急处置保障措施；</w:t>
            </w:r>
            <w:r>
              <w:rPr>
                <w:rFonts w:hint="eastAsia" w:ascii="仿宋" w:hAnsi="仿宋" w:eastAsia="仿宋" w:cs="宋体"/>
                <w:color w:val="auto"/>
                <w:sz w:val="24"/>
                <w:szCs w:val="24"/>
                <w:highlight w:val="none"/>
                <w:lang w:eastAsia="zh-CN"/>
              </w:rPr>
              <w:t>⑧</w:t>
            </w:r>
            <w:r>
              <w:rPr>
                <w:rFonts w:hint="eastAsia" w:ascii="仿宋" w:hAnsi="仿宋" w:eastAsia="仿宋" w:cs="宋体"/>
                <w:color w:val="auto"/>
                <w:sz w:val="24"/>
                <w:szCs w:val="24"/>
                <w:highlight w:val="none"/>
              </w:rPr>
              <w:t>售后保障服务。</w:t>
            </w:r>
            <w:r>
              <w:rPr>
                <w:rFonts w:hint="eastAsia" w:ascii="仿宋" w:hAnsi="仿宋" w:eastAsia="仿宋" w:cs="宋体"/>
                <w:sz w:val="24"/>
                <w:szCs w:val="24"/>
              </w:rPr>
              <w:t>以上方案内容全面、科学合理</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依据充分、有针对性</w:t>
            </w:r>
            <w:r>
              <w:rPr>
                <w:rFonts w:hint="eastAsia" w:ascii="仿宋" w:hAnsi="仿宋" w:eastAsia="仿宋" w:cs="宋体"/>
                <w:sz w:val="24"/>
                <w:szCs w:val="24"/>
              </w:rPr>
              <w:t>的</w:t>
            </w:r>
            <w:r>
              <w:rPr>
                <w:rFonts w:hint="eastAsia" w:ascii="仿宋" w:hAnsi="仿宋" w:eastAsia="仿宋" w:cs="宋体"/>
                <w:sz w:val="24"/>
                <w:szCs w:val="24"/>
                <w:lang w:eastAsia="zh-CN"/>
              </w:rPr>
              <w:t>，</w:t>
            </w:r>
            <w:r>
              <w:rPr>
                <w:rFonts w:hint="eastAsia" w:ascii="仿宋" w:hAnsi="仿宋" w:eastAsia="仿宋" w:cs="宋体"/>
                <w:sz w:val="24"/>
                <w:szCs w:val="24"/>
              </w:rPr>
              <w:t>①~</w:t>
            </w:r>
            <w:r>
              <w:rPr>
                <w:rFonts w:hint="eastAsia" w:ascii="仿宋" w:hAnsi="仿宋" w:eastAsia="仿宋" w:cs="宋体"/>
                <w:color w:val="auto"/>
                <w:sz w:val="24"/>
                <w:szCs w:val="24"/>
                <w:highlight w:val="none"/>
              </w:rPr>
              <w:t>②</w:t>
            </w:r>
            <w:r>
              <w:rPr>
                <w:rFonts w:hint="eastAsia" w:ascii="仿宋" w:hAnsi="仿宋" w:eastAsia="仿宋" w:cs="宋体"/>
                <w:sz w:val="24"/>
                <w:szCs w:val="24"/>
              </w:rPr>
              <w:t>条每条得</w:t>
            </w:r>
            <w:r>
              <w:rPr>
                <w:rFonts w:hint="eastAsia" w:ascii="仿宋" w:hAnsi="仿宋" w:eastAsia="仿宋" w:cs="宋体"/>
                <w:sz w:val="24"/>
                <w:szCs w:val="24"/>
                <w:lang w:val="en-US" w:eastAsia="zh-CN"/>
              </w:rPr>
              <w:t>8</w:t>
            </w:r>
            <w:r>
              <w:rPr>
                <w:rFonts w:hint="eastAsia" w:ascii="仿宋" w:hAnsi="仿宋" w:eastAsia="仿宋" w:cs="宋体"/>
                <w:sz w:val="24"/>
                <w:szCs w:val="24"/>
              </w:rPr>
              <w:t>分</w:t>
            </w:r>
            <w:r>
              <w:rPr>
                <w:rFonts w:hint="eastAsia" w:ascii="仿宋" w:hAnsi="仿宋" w:eastAsia="仿宋" w:cs="宋体"/>
                <w:sz w:val="24"/>
                <w:szCs w:val="24"/>
                <w:lang w:eastAsia="zh-CN"/>
              </w:rPr>
              <w:t>，</w:t>
            </w:r>
            <w:r>
              <w:rPr>
                <w:rFonts w:hint="eastAsia" w:ascii="仿宋" w:hAnsi="仿宋" w:eastAsia="仿宋" w:cs="宋体"/>
                <w:color w:val="auto"/>
                <w:sz w:val="24"/>
                <w:szCs w:val="24"/>
                <w:highlight w:val="none"/>
                <w:lang w:eastAsia="zh-CN"/>
              </w:rPr>
              <w:t>③</w:t>
            </w:r>
            <w:r>
              <w:rPr>
                <w:rFonts w:hint="eastAsia" w:ascii="仿宋" w:hAnsi="仿宋" w:eastAsia="仿宋" w:cs="宋体"/>
                <w:sz w:val="24"/>
                <w:szCs w:val="24"/>
              </w:rPr>
              <w:t>~</w:t>
            </w:r>
            <w:r>
              <w:rPr>
                <w:rFonts w:hint="eastAsia" w:ascii="仿宋" w:hAnsi="仿宋" w:eastAsia="仿宋" w:cs="宋体"/>
                <w:color w:val="auto"/>
                <w:sz w:val="24"/>
                <w:szCs w:val="24"/>
                <w:highlight w:val="none"/>
                <w:lang w:eastAsia="zh-CN"/>
              </w:rPr>
              <w:t>⑧</w:t>
            </w:r>
            <w:r>
              <w:rPr>
                <w:rFonts w:hint="eastAsia" w:ascii="仿宋" w:hAnsi="仿宋" w:eastAsia="仿宋" w:cs="宋体"/>
                <w:color w:val="auto"/>
                <w:sz w:val="24"/>
                <w:szCs w:val="24"/>
                <w:highlight w:val="none"/>
                <w:lang w:val="en-US" w:eastAsia="zh-CN"/>
              </w:rPr>
              <w:t>条每条得4分</w:t>
            </w:r>
            <w:r>
              <w:rPr>
                <w:rFonts w:hint="eastAsia" w:ascii="仿宋" w:hAnsi="仿宋" w:eastAsia="仿宋" w:cs="宋体"/>
                <w:sz w:val="24"/>
                <w:szCs w:val="24"/>
              </w:rPr>
              <w:t>；方案较完整、能满足基本</w:t>
            </w:r>
            <w:r>
              <w:rPr>
                <w:rFonts w:hint="eastAsia" w:ascii="仿宋" w:hAnsi="仿宋" w:eastAsia="仿宋" w:cs="宋体"/>
                <w:sz w:val="24"/>
                <w:szCs w:val="24"/>
                <w:lang w:val="en-US" w:eastAsia="zh-CN"/>
              </w:rPr>
              <w:t>框架</w:t>
            </w:r>
            <w:r>
              <w:rPr>
                <w:rFonts w:hint="eastAsia" w:ascii="仿宋" w:hAnsi="仿宋" w:eastAsia="仿宋" w:cs="宋体"/>
                <w:sz w:val="24"/>
                <w:szCs w:val="24"/>
              </w:rPr>
              <w:t>要求的</w:t>
            </w:r>
            <w:r>
              <w:rPr>
                <w:rFonts w:hint="eastAsia" w:ascii="仿宋" w:hAnsi="仿宋" w:eastAsia="仿宋" w:cs="宋体"/>
                <w:sz w:val="24"/>
                <w:szCs w:val="24"/>
                <w:lang w:eastAsia="zh-CN"/>
              </w:rPr>
              <w:t>，</w:t>
            </w:r>
            <w:r>
              <w:rPr>
                <w:rFonts w:hint="eastAsia" w:ascii="仿宋" w:hAnsi="仿宋" w:eastAsia="仿宋" w:cs="宋体"/>
                <w:sz w:val="24"/>
                <w:szCs w:val="24"/>
              </w:rPr>
              <w:t>①~</w:t>
            </w:r>
            <w:r>
              <w:rPr>
                <w:rFonts w:hint="eastAsia" w:ascii="仿宋" w:hAnsi="仿宋" w:eastAsia="仿宋" w:cs="宋体"/>
                <w:color w:val="auto"/>
                <w:sz w:val="24"/>
                <w:szCs w:val="24"/>
                <w:highlight w:val="none"/>
              </w:rPr>
              <w:t>②</w:t>
            </w:r>
            <w:r>
              <w:rPr>
                <w:rFonts w:hint="eastAsia" w:ascii="仿宋" w:hAnsi="仿宋" w:eastAsia="仿宋" w:cs="宋体"/>
                <w:sz w:val="24"/>
                <w:szCs w:val="24"/>
              </w:rPr>
              <w:t>条每条得</w:t>
            </w:r>
            <w:r>
              <w:rPr>
                <w:rFonts w:hint="eastAsia" w:ascii="仿宋" w:hAnsi="仿宋" w:eastAsia="仿宋" w:cs="宋体"/>
                <w:sz w:val="24"/>
                <w:szCs w:val="24"/>
                <w:lang w:val="en-US" w:eastAsia="zh-CN"/>
              </w:rPr>
              <w:t>4</w:t>
            </w:r>
            <w:r>
              <w:rPr>
                <w:rFonts w:hint="eastAsia" w:ascii="仿宋" w:hAnsi="仿宋" w:eastAsia="仿宋" w:cs="宋体"/>
                <w:sz w:val="24"/>
                <w:szCs w:val="24"/>
              </w:rPr>
              <w:t>分</w:t>
            </w:r>
            <w:r>
              <w:rPr>
                <w:rFonts w:hint="eastAsia" w:ascii="仿宋" w:hAnsi="仿宋" w:eastAsia="仿宋" w:cs="宋体"/>
                <w:sz w:val="24"/>
                <w:szCs w:val="24"/>
                <w:lang w:eastAsia="zh-CN"/>
              </w:rPr>
              <w:t>，</w:t>
            </w:r>
            <w:r>
              <w:rPr>
                <w:rFonts w:hint="eastAsia" w:ascii="仿宋" w:hAnsi="仿宋" w:eastAsia="仿宋" w:cs="宋体"/>
                <w:color w:val="auto"/>
                <w:sz w:val="24"/>
                <w:szCs w:val="24"/>
                <w:highlight w:val="none"/>
                <w:lang w:eastAsia="zh-CN"/>
              </w:rPr>
              <w:t>③</w:t>
            </w:r>
            <w:r>
              <w:rPr>
                <w:rFonts w:hint="eastAsia" w:ascii="仿宋" w:hAnsi="仿宋" w:eastAsia="仿宋" w:cs="宋体"/>
                <w:sz w:val="24"/>
                <w:szCs w:val="24"/>
              </w:rPr>
              <w:t>~</w:t>
            </w:r>
            <w:r>
              <w:rPr>
                <w:rFonts w:hint="eastAsia" w:ascii="仿宋" w:hAnsi="仿宋" w:eastAsia="仿宋" w:cs="宋体"/>
                <w:color w:val="auto"/>
                <w:sz w:val="24"/>
                <w:szCs w:val="24"/>
                <w:highlight w:val="none"/>
                <w:lang w:eastAsia="zh-CN"/>
              </w:rPr>
              <w:t>⑧</w:t>
            </w:r>
            <w:r>
              <w:rPr>
                <w:rFonts w:hint="eastAsia" w:ascii="仿宋" w:hAnsi="仿宋" w:eastAsia="仿宋" w:cs="宋体"/>
                <w:color w:val="auto"/>
                <w:sz w:val="24"/>
                <w:szCs w:val="24"/>
                <w:highlight w:val="none"/>
                <w:lang w:val="en-US" w:eastAsia="zh-CN"/>
              </w:rPr>
              <w:t>条每条得2分</w:t>
            </w:r>
            <w:r>
              <w:rPr>
                <w:rFonts w:hint="eastAsia" w:ascii="仿宋" w:hAnsi="仿宋" w:eastAsia="仿宋" w:cs="宋体"/>
                <w:sz w:val="24"/>
                <w:szCs w:val="24"/>
              </w:rPr>
              <w:t>；方案有缺失、</w:t>
            </w:r>
            <w:r>
              <w:rPr>
                <w:rFonts w:hint="eastAsia" w:ascii="仿宋" w:hAnsi="仿宋" w:eastAsia="仿宋" w:cs="宋体"/>
                <w:sz w:val="24"/>
                <w:szCs w:val="24"/>
                <w:lang w:val="en-US" w:eastAsia="zh-CN"/>
              </w:rPr>
              <w:t>内容简单</w:t>
            </w:r>
            <w:r>
              <w:rPr>
                <w:rFonts w:hint="eastAsia" w:ascii="仿宋" w:hAnsi="仿宋" w:eastAsia="仿宋" w:cs="宋体"/>
                <w:sz w:val="24"/>
                <w:szCs w:val="24"/>
              </w:rPr>
              <w:t>的</w:t>
            </w:r>
            <w:r>
              <w:rPr>
                <w:rFonts w:hint="eastAsia" w:ascii="仿宋" w:hAnsi="仿宋" w:eastAsia="仿宋" w:cs="宋体"/>
                <w:sz w:val="24"/>
                <w:szCs w:val="24"/>
                <w:lang w:val="en-US" w:eastAsia="zh-CN"/>
              </w:rPr>
              <w:t>每条</w:t>
            </w:r>
            <w:r>
              <w:rPr>
                <w:rFonts w:hint="eastAsia" w:ascii="仿宋" w:hAnsi="仿宋" w:eastAsia="仿宋" w:cs="宋体"/>
                <w:sz w:val="24"/>
                <w:szCs w:val="24"/>
              </w:rPr>
              <w:t>得1分；其他不得分。</w:t>
            </w:r>
          </w:p>
          <w:p w14:paraId="2D21EDBA">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40</w:t>
            </w:r>
            <w:r>
              <w:rPr>
                <w:rFonts w:hint="eastAsia" w:ascii="仿宋" w:hAnsi="仿宋" w:eastAsia="仿宋" w:cs="宋体"/>
                <w:b/>
                <w:bCs/>
                <w:sz w:val="24"/>
                <w:szCs w:val="24"/>
              </w:rPr>
              <w:t>分。</w:t>
            </w:r>
          </w:p>
          <w:p w14:paraId="4C4EAD05">
            <w:pPr>
              <w:jc w:val="left"/>
              <w:rPr>
                <w:rFonts w:hint="eastAsia" w:ascii="仿宋" w:hAnsi="仿宋" w:eastAsia="仿宋" w:cs="宋体"/>
                <w:b/>
                <w:bCs/>
                <w:color w:val="auto"/>
                <w:sz w:val="24"/>
                <w:szCs w:val="24"/>
              </w:rPr>
            </w:pPr>
            <w:r>
              <w:rPr>
                <w:rFonts w:hint="eastAsia" w:ascii="仿宋" w:hAnsi="仿宋" w:eastAsia="仿宋" w:cs="宋体"/>
                <w:b/>
                <w:bCs/>
                <w:sz w:val="24"/>
                <w:szCs w:val="24"/>
              </w:rPr>
              <w:t>【评审依据】：响应文件中提供项目整体实施方案</w:t>
            </w:r>
            <w:r>
              <w:rPr>
                <w:rFonts w:hint="eastAsia" w:ascii="仿宋" w:hAnsi="仿宋" w:eastAsia="仿宋" w:cs="宋体"/>
                <w:b/>
                <w:bCs/>
                <w:sz w:val="24"/>
                <w:szCs w:val="24"/>
                <w:lang w:eastAsia="zh-CN"/>
              </w:rPr>
              <w:t>，</w:t>
            </w:r>
            <w:r>
              <w:rPr>
                <w:rFonts w:hint="eastAsia" w:ascii="仿宋" w:hAnsi="仿宋" w:eastAsia="仿宋" w:cs="宋体"/>
                <w:b/>
                <w:bCs/>
                <w:sz w:val="24"/>
                <w:szCs w:val="24"/>
                <w:lang w:val="en-US" w:eastAsia="zh-CN"/>
              </w:rPr>
              <w:t>否则不得分</w:t>
            </w:r>
            <w:r>
              <w:rPr>
                <w:rFonts w:hint="eastAsia" w:ascii="仿宋" w:hAnsi="仿宋" w:eastAsia="仿宋" w:cs="宋体"/>
                <w:b/>
                <w:bCs/>
                <w:sz w:val="24"/>
                <w:szCs w:val="24"/>
              </w:rPr>
              <w:t>。</w:t>
            </w:r>
          </w:p>
        </w:tc>
      </w:tr>
      <w:tr w14:paraId="7C2B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58D87D1B">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4</w:t>
            </w:r>
          </w:p>
        </w:tc>
        <w:tc>
          <w:tcPr>
            <w:tcW w:w="1308" w:type="dxa"/>
            <w:shd w:val="clear" w:color="auto" w:fill="auto"/>
            <w:vAlign w:val="center"/>
          </w:tcPr>
          <w:p w14:paraId="3309EE26">
            <w:pPr>
              <w:jc w:val="center"/>
              <w:rPr>
                <w:rFonts w:hint="eastAsia" w:ascii="仿宋" w:hAnsi="仿宋" w:eastAsia="仿宋" w:cs="宋体"/>
                <w:color w:val="auto"/>
                <w:kern w:val="2"/>
                <w:sz w:val="24"/>
                <w:szCs w:val="24"/>
                <w:lang w:val="en-US" w:eastAsia="zh-CN" w:bidi="ar-SA"/>
              </w:rPr>
            </w:pPr>
            <w:r>
              <w:rPr>
                <w:rFonts w:hint="eastAsia" w:ascii="仿宋" w:hAnsi="仿宋" w:eastAsia="仿宋" w:cs="宋体"/>
                <w:color w:val="auto"/>
                <w:sz w:val="24"/>
                <w:szCs w:val="24"/>
              </w:rPr>
              <w:t>履约能力</w:t>
            </w:r>
          </w:p>
        </w:tc>
        <w:tc>
          <w:tcPr>
            <w:tcW w:w="709" w:type="dxa"/>
            <w:shd w:val="clear" w:color="auto" w:fill="auto"/>
            <w:vAlign w:val="center"/>
          </w:tcPr>
          <w:p w14:paraId="0A45DF17">
            <w:pPr>
              <w:jc w:val="center"/>
              <w:rPr>
                <w:rFonts w:hint="default" w:ascii="仿宋" w:hAnsi="仿宋" w:eastAsia="仿宋" w:cs="宋体"/>
                <w:color w:val="auto"/>
                <w:kern w:val="2"/>
                <w:sz w:val="24"/>
                <w:szCs w:val="24"/>
                <w:lang w:val="en-US" w:eastAsia="zh-CN" w:bidi="ar-SA"/>
              </w:rPr>
            </w:pPr>
            <w:r>
              <w:rPr>
                <w:rFonts w:hint="eastAsia" w:ascii="仿宋" w:hAnsi="仿宋" w:eastAsia="仿宋" w:cs="宋体"/>
                <w:color w:val="auto"/>
                <w:sz w:val="24"/>
                <w:szCs w:val="24"/>
                <w:lang w:val="en-US" w:eastAsia="zh-CN"/>
              </w:rPr>
              <w:t>10</w:t>
            </w:r>
          </w:p>
        </w:tc>
        <w:tc>
          <w:tcPr>
            <w:tcW w:w="6237" w:type="dxa"/>
            <w:shd w:val="clear" w:color="auto" w:fill="auto"/>
            <w:vAlign w:val="center"/>
          </w:tcPr>
          <w:p w14:paraId="05C9F218">
            <w:pPr>
              <w:jc w:val="left"/>
              <w:rPr>
                <w:rFonts w:hint="eastAsia" w:ascii="仿宋" w:hAnsi="仿宋" w:eastAsia="仿宋" w:cs="宋体"/>
                <w:color w:val="auto"/>
                <w:sz w:val="24"/>
                <w:szCs w:val="24"/>
              </w:rPr>
            </w:pP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lang w:val="en-US" w:eastAsia="zh-CN"/>
              </w:rPr>
              <w:t>1</w:t>
            </w: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rPr>
              <w:t>供应商提供自202</w:t>
            </w:r>
            <w:r>
              <w:rPr>
                <w:rFonts w:hint="eastAsia" w:ascii="仿宋" w:hAnsi="仿宋" w:eastAsia="仿宋" w:cs="宋体"/>
                <w:color w:val="auto"/>
                <w:sz w:val="24"/>
                <w:szCs w:val="24"/>
                <w:lang w:val="en-US" w:eastAsia="zh-CN"/>
              </w:rPr>
              <w:t>4</w:t>
            </w:r>
            <w:r>
              <w:rPr>
                <w:rFonts w:hint="eastAsia" w:ascii="仿宋" w:hAnsi="仿宋" w:eastAsia="仿宋" w:cs="宋体"/>
                <w:color w:val="auto"/>
                <w:sz w:val="24"/>
                <w:szCs w:val="24"/>
              </w:rPr>
              <w:t>年</w:t>
            </w:r>
            <w:r>
              <w:rPr>
                <w:rFonts w:hint="eastAsia" w:ascii="仿宋" w:hAnsi="仿宋" w:eastAsia="仿宋" w:cs="宋体"/>
                <w:color w:val="auto"/>
                <w:sz w:val="24"/>
                <w:szCs w:val="24"/>
                <w:lang w:val="en-US" w:eastAsia="zh-CN"/>
              </w:rPr>
              <w:t>7</w:t>
            </w:r>
            <w:r>
              <w:rPr>
                <w:rFonts w:hint="eastAsia" w:ascii="仿宋" w:hAnsi="仿宋" w:eastAsia="仿宋" w:cs="宋体"/>
                <w:color w:val="auto"/>
                <w:sz w:val="24"/>
                <w:szCs w:val="24"/>
              </w:rPr>
              <w:t>月至本项目响应文件递交截止时间（以合同签订日期为准）具有</w:t>
            </w:r>
            <w:r>
              <w:rPr>
                <w:rFonts w:hint="eastAsia" w:ascii="仿宋" w:hAnsi="仿宋" w:eastAsia="仿宋" w:cs="宋体"/>
                <w:color w:val="auto"/>
                <w:sz w:val="24"/>
                <w:szCs w:val="24"/>
                <w:lang w:val="en-US" w:eastAsia="zh-CN"/>
              </w:rPr>
              <w:t>可行性研究报告业绩</w:t>
            </w:r>
            <w:r>
              <w:rPr>
                <w:rFonts w:hint="eastAsia" w:ascii="仿宋" w:hAnsi="仿宋" w:eastAsia="仿宋" w:cs="宋体"/>
                <w:color w:val="auto"/>
                <w:sz w:val="24"/>
                <w:szCs w:val="24"/>
              </w:rPr>
              <w:t>的,每提供一个加</w:t>
            </w:r>
            <w:r>
              <w:rPr>
                <w:rFonts w:hint="eastAsia" w:ascii="仿宋" w:hAnsi="仿宋" w:eastAsia="仿宋" w:cs="宋体"/>
                <w:color w:val="auto"/>
                <w:sz w:val="24"/>
                <w:szCs w:val="24"/>
                <w:lang w:val="en-US" w:eastAsia="zh-CN"/>
              </w:rPr>
              <w:t>2</w:t>
            </w:r>
            <w:r>
              <w:rPr>
                <w:rFonts w:hint="eastAsia" w:ascii="仿宋" w:hAnsi="仿宋" w:eastAsia="仿宋" w:cs="宋体"/>
                <w:color w:val="auto"/>
                <w:sz w:val="24"/>
                <w:szCs w:val="24"/>
              </w:rPr>
              <w:t>分。本</w:t>
            </w:r>
            <w:r>
              <w:rPr>
                <w:rFonts w:hint="eastAsia" w:ascii="仿宋" w:hAnsi="仿宋" w:eastAsia="仿宋" w:cs="宋体"/>
                <w:color w:val="auto"/>
                <w:sz w:val="24"/>
                <w:szCs w:val="24"/>
                <w:lang w:val="en-US" w:eastAsia="zh-CN"/>
              </w:rPr>
              <w:t>项最高计6分</w:t>
            </w:r>
            <w:r>
              <w:rPr>
                <w:rFonts w:hint="eastAsia" w:ascii="仿宋" w:hAnsi="仿宋" w:eastAsia="仿宋" w:cs="宋体"/>
                <w:color w:val="auto"/>
                <w:sz w:val="24"/>
                <w:szCs w:val="24"/>
              </w:rPr>
              <w:t>。</w:t>
            </w:r>
          </w:p>
          <w:p w14:paraId="32B69DC8">
            <w:pPr>
              <w:jc w:val="left"/>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（2）供应商有工程咨询甲级资信证书的，得4分；有工程咨询乙级资信证书的，得2分；无资信证书的不得分。</w:t>
            </w:r>
          </w:p>
          <w:p w14:paraId="42DF8B39">
            <w:pPr>
              <w:jc w:val="left"/>
              <w:rPr>
                <w:rFonts w:hint="eastAsia" w:ascii="仿宋" w:hAnsi="仿宋" w:eastAsia="仿宋" w:cs="宋体"/>
                <w:b/>
                <w:bCs/>
                <w:color w:val="auto"/>
                <w:sz w:val="24"/>
                <w:szCs w:val="24"/>
              </w:rPr>
            </w:pPr>
            <w:r>
              <w:rPr>
                <w:rFonts w:hint="eastAsia" w:ascii="仿宋" w:hAnsi="仿宋" w:eastAsia="仿宋" w:cs="宋体"/>
                <w:b/>
                <w:bCs/>
                <w:color w:val="auto"/>
                <w:sz w:val="24"/>
                <w:szCs w:val="24"/>
              </w:rPr>
              <w:t>本项</w:t>
            </w:r>
            <w:r>
              <w:rPr>
                <w:rFonts w:hint="eastAsia" w:ascii="仿宋" w:hAnsi="仿宋" w:eastAsia="仿宋" w:cs="宋体"/>
                <w:b/>
                <w:bCs/>
                <w:color w:val="auto"/>
                <w:sz w:val="24"/>
                <w:szCs w:val="24"/>
                <w:lang w:val="en-US" w:eastAsia="zh-CN"/>
              </w:rPr>
              <w:t>满分10</w:t>
            </w:r>
            <w:r>
              <w:rPr>
                <w:rFonts w:hint="eastAsia" w:ascii="仿宋" w:hAnsi="仿宋" w:eastAsia="仿宋" w:cs="宋体"/>
                <w:b/>
                <w:bCs/>
                <w:color w:val="auto"/>
                <w:sz w:val="24"/>
                <w:szCs w:val="24"/>
              </w:rPr>
              <w:t>分。</w:t>
            </w:r>
          </w:p>
          <w:p w14:paraId="10774096">
            <w:pPr>
              <w:jc w:val="left"/>
              <w:rPr>
                <w:rFonts w:hint="eastAsia" w:ascii="仿宋" w:hAnsi="仿宋" w:eastAsia="仿宋" w:cs="宋体"/>
                <w:color w:val="auto"/>
                <w:kern w:val="2"/>
                <w:sz w:val="24"/>
                <w:szCs w:val="24"/>
                <w:lang w:val="en-US" w:eastAsia="zh-CN" w:bidi="ar-SA"/>
              </w:rPr>
            </w:pPr>
            <w:r>
              <w:rPr>
                <w:rFonts w:hint="eastAsia" w:ascii="仿宋" w:hAnsi="仿宋" w:eastAsia="仿宋" w:cs="宋体"/>
                <w:b/>
                <w:bCs/>
                <w:color w:val="auto"/>
                <w:sz w:val="24"/>
                <w:szCs w:val="24"/>
              </w:rPr>
              <w:t>【评审依据】：响应文件中提供合同复印件</w:t>
            </w:r>
            <w:r>
              <w:rPr>
                <w:rFonts w:hint="eastAsia" w:ascii="仿宋" w:hAnsi="仿宋" w:eastAsia="仿宋" w:cs="宋体"/>
                <w:b/>
                <w:bCs/>
                <w:color w:val="auto"/>
                <w:sz w:val="24"/>
                <w:szCs w:val="24"/>
                <w:lang w:eastAsia="zh-CN"/>
              </w:rPr>
              <w:t>及资信证书复印件需</w:t>
            </w:r>
            <w:r>
              <w:rPr>
                <w:rFonts w:hint="eastAsia" w:ascii="仿宋" w:hAnsi="仿宋" w:eastAsia="仿宋" w:cs="宋体"/>
                <w:b/>
                <w:bCs/>
                <w:color w:val="auto"/>
                <w:sz w:val="24"/>
                <w:szCs w:val="24"/>
              </w:rPr>
              <w:t>加盖供应商公章。</w:t>
            </w:r>
            <w:r>
              <w:rPr>
                <w:rFonts w:hint="eastAsia" w:ascii="仿宋" w:hAnsi="仿宋" w:eastAsia="仿宋" w:cs="宋体"/>
                <w:b/>
                <w:bCs/>
                <w:color w:val="auto"/>
                <w:sz w:val="24"/>
                <w:szCs w:val="24"/>
                <w:lang w:eastAsia="zh-CN"/>
              </w:rPr>
              <w:t>未</w:t>
            </w:r>
            <w:r>
              <w:rPr>
                <w:rFonts w:hint="eastAsia" w:ascii="仿宋" w:hAnsi="仿宋" w:eastAsia="仿宋" w:cs="宋体"/>
                <w:b/>
                <w:bCs/>
                <w:color w:val="auto"/>
                <w:sz w:val="24"/>
                <w:szCs w:val="24"/>
                <w:lang w:val="en-US" w:eastAsia="zh-CN"/>
              </w:rPr>
              <w:t>提供或未按要求提供不计分</w:t>
            </w:r>
            <w:r>
              <w:rPr>
                <w:rFonts w:hint="eastAsia" w:ascii="仿宋" w:hAnsi="仿宋" w:eastAsia="仿宋" w:cs="宋体"/>
                <w:b/>
                <w:bCs/>
                <w:color w:val="auto"/>
                <w:sz w:val="24"/>
                <w:szCs w:val="24"/>
              </w:rPr>
              <w:t>（合同复印件需提供合同首页、标的或内容所在页、签字盖章页）</w:t>
            </w:r>
          </w:p>
        </w:tc>
      </w:tr>
    </w:tbl>
    <w:p w14:paraId="0931E587">
      <w:pPr>
        <w:pStyle w:val="18"/>
        <w:ind w:left="0" w:leftChars="0" w:firstLine="0"/>
        <w:jc w:val="center"/>
        <w:rPr>
          <w:rFonts w:hint="eastAsia" w:ascii="宋体" w:hAnsi="宋体" w:eastAsia="仿宋" w:cs="宋体"/>
          <w:b/>
          <w:color w:val="auto"/>
          <w:kern w:val="0"/>
          <w:sz w:val="36"/>
          <w:szCs w:val="36"/>
        </w:rPr>
      </w:pPr>
      <w:r>
        <w:rPr>
          <w:rFonts w:hint="eastAsia" w:ascii="宋体" w:hAnsi="宋体" w:eastAsia="仿宋" w:cs="宋体"/>
          <w:b/>
          <w:color w:val="auto"/>
          <w:kern w:val="0"/>
          <w:sz w:val="36"/>
          <w:szCs w:val="36"/>
        </w:rPr>
        <w:t>三、响应文件组成</w:t>
      </w:r>
    </w:p>
    <w:p w14:paraId="19C4E9E9">
      <w:pPr>
        <w:adjustRightInd w:val="0"/>
        <w:snapToGrid w:val="0"/>
        <w:spacing w:line="360" w:lineRule="auto"/>
        <w:ind w:firstLine="482" w:firstLineChars="200"/>
        <w:jc w:val="left"/>
        <w:outlineLvl w:val="0"/>
        <w:rPr>
          <w:rFonts w:hint="eastAsia" w:ascii="仿宋" w:hAnsi="仿宋" w:eastAsia="仿宋"/>
          <w:color w:val="auto"/>
          <w:sz w:val="24"/>
          <w:szCs w:val="24"/>
        </w:rPr>
      </w:pPr>
      <w:r>
        <w:rPr>
          <w:rFonts w:hint="eastAsia" w:ascii="仿宋" w:hAnsi="仿宋" w:eastAsia="仿宋"/>
          <w:b/>
          <w:color w:val="auto"/>
          <w:sz w:val="24"/>
          <w:szCs w:val="24"/>
        </w:rPr>
        <w:t>一、询比响应声明：</w:t>
      </w:r>
      <w:r>
        <w:rPr>
          <w:rFonts w:hint="eastAsia" w:ascii="仿宋" w:hAnsi="仿宋" w:eastAsia="仿宋"/>
          <w:color w:val="auto"/>
          <w:sz w:val="24"/>
          <w:szCs w:val="24"/>
        </w:rPr>
        <w:t>见附件1</w:t>
      </w:r>
    </w:p>
    <w:p w14:paraId="1E7F40AF">
      <w:pPr>
        <w:adjustRightInd w:val="0"/>
        <w:snapToGrid w:val="0"/>
        <w:spacing w:line="360" w:lineRule="auto"/>
        <w:ind w:firstLine="482" w:firstLineChars="200"/>
        <w:jc w:val="left"/>
        <w:outlineLvl w:val="0"/>
        <w:rPr>
          <w:rFonts w:hint="eastAsia" w:ascii="仿宋" w:hAnsi="仿宋" w:eastAsia="仿宋"/>
          <w:b/>
          <w:color w:val="auto"/>
          <w:sz w:val="24"/>
          <w:szCs w:val="24"/>
        </w:rPr>
      </w:pPr>
      <w:r>
        <w:rPr>
          <w:rFonts w:hint="eastAsia" w:ascii="仿宋" w:hAnsi="仿宋" w:eastAsia="仿宋"/>
          <w:b/>
          <w:color w:val="auto"/>
          <w:sz w:val="24"/>
          <w:szCs w:val="24"/>
        </w:rPr>
        <w:t>二、</w:t>
      </w:r>
      <w:r>
        <w:rPr>
          <w:rFonts w:ascii="仿宋" w:hAnsi="仿宋" w:eastAsia="仿宋"/>
          <w:b/>
          <w:color w:val="auto"/>
          <w:sz w:val="24"/>
          <w:szCs w:val="24"/>
        </w:rPr>
        <w:t>报价</w:t>
      </w:r>
      <w:r>
        <w:rPr>
          <w:rFonts w:hint="eastAsia" w:ascii="仿宋" w:hAnsi="仿宋" w:eastAsia="仿宋"/>
          <w:b/>
          <w:color w:val="auto"/>
          <w:sz w:val="24"/>
          <w:szCs w:val="24"/>
        </w:rPr>
        <w:t>函：</w:t>
      </w:r>
      <w:r>
        <w:rPr>
          <w:rFonts w:hint="eastAsia" w:ascii="仿宋" w:hAnsi="仿宋" w:eastAsia="仿宋"/>
          <w:color w:val="auto"/>
          <w:sz w:val="24"/>
          <w:szCs w:val="24"/>
        </w:rPr>
        <w:t>见附件</w:t>
      </w:r>
      <w:r>
        <w:rPr>
          <w:rFonts w:ascii="仿宋" w:hAnsi="仿宋" w:eastAsia="仿宋"/>
          <w:color w:val="auto"/>
          <w:sz w:val="24"/>
          <w:szCs w:val="24"/>
        </w:rPr>
        <w:t>2</w:t>
      </w:r>
    </w:p>
    <w:p w14:paraId="39ED293E">
      <w:pPr>
        <w:pStyle w:val="18"/>
        <w:spacing w:before="0" w:beforeAutospacing="0" w:after="0" w:line="360" w:lineRule="auto"/>
        <w:ind w:left="0" w:leftChars="0" w:firstLine="482" w:firstLineChars="200"/>
        <w:jc w:val="left"/>
        <w:rPr>
          <w:rFonts w:hint="eastAsia" w:ascii="仿宋" w:hAnsi="仿宋" w:eastAsia="仿宋"/>
          <w:color w:val="auto"/>
          <w:sz w:val="24"/>
          <w:szCs w:val="24"/>
        </w:rPr>
      </w:pPr>
      <w:r>
        <w:rPr>
          <w:rFonts w:ascii="仿宋" w:hAnsi="仿宋" w:eastAsia="仿宋"/>
          <w:b/>
          <w:color w:val="auto"/>
          <w:sz w:val="24"/>
          <w:szCs w:val="24"/>
        </w:rPr>
        <w:t>三</w:t>
      </w:r>
      <w:r>
        <w:rPr>
          <w:rFonts w:hint="eastAsia" w:ascii="仿宋" w:hAnsi="仿宋" w:eastAsia="仿宋"/>
          <w:b/>
          <w:color w:val="auto"/>
          <w:sz w:val="24"/>
          <w:szCs w:val="24"/>
        </w:rPr>
        <w:t>、供应商认为需要提供的资料（请根据评审因素和标准自行提供资料）</w:t>
      </w:r>
    </w:p>
    <w:p w14:paraId="6EBFDBF4">
      <w:pPr>
        <w:rPr>
          <w:color w:val="auto"/>
        </w:rPr>
      </w:pPr>
    </w:p>
    <w:p w14:paraId="0A36CC3D">
      <w:pPr>
        <w:pStyle w:val="18"/>
        <w:ind w:left="0" w:leftChars="0" w:firstLine="0"/>
        <w:rPr>
          <w:color w:val="auto"/>
        </w:rPr>
      </w:pPr>
    </w:p>
    <w:p w14:paraId="3E3F4607">
      <w:pPr>
        <w:pStyle w:val="18"/>
        <w:ind w:left="0" w:leftChars="0" w:firstLine="0"/>
        <w:jc w:val="center"/>
        <w:rPr>
          <w:rFonts w:hint="eastAsia" w:ascii="宋体" w:hAnsi="宋体" w:eastAsia="仿宋" w:cs="宋体"/>
          <w:b/>
          <w:color w:val="auto"/>
          <w:kern w:val="0"/>
          <w:sz w:val="36"/>
          <w:szCs w:val="36"/>
        </w:rPr>
      </w:pPr>
      <w:r>
        <w:rPr>
          <w:rFonts w:hint="eastAsia" w:ascii="宋体" w:hAnsi="宋体" w:eastAsia="仿宋" w:cs="宋体"/>
          <w:b/>
          <w:color w:val="auto"/>
          <w:kern w:val="0"/>
          <w:sz w:val="36"/>
          <w:szCs w:val="36"/>
        </w:rPr>
        <w:t>四、响应文件要求</w:t>
      </w:r>
    </w:p>
    <w:p w14:paraId="406D7A3C">
      <w:pPr>
        <w:pStyle w:val="34"/>
        <w:shd w:val="clear" w:color="auto"/>
        <w:spacing w:before="0" w:beforeAutospacing="0" w:after="0" w:afterAutospacing="0" w:line="360" w:lineRule="auto"/>
        <w:ind w:firstLine="480" w:firstLineChars="200"/>
        <w:rPr>
          <w:rFonts w:hint="eastAsia" w:ascii="仿宋" w:hAnsi="仿宋" w:eastAsia="仿宋" w:cs="Times New Roman"/>
          <w:color w:val="auto"/>
          <w:kern w:val="2"/>
        </w:rPr>
      </w:pPr>
      <w:r>
        <w:rPr>
          <w:rFonts w:hint="eastAsia" w:ascii="仿宋" w:hAnsi="仿宋" w:eastAsia="仿宋" w:cs="Times New Roman"/>
          <w:color w:val="auto"/>
          <w:kern w:val="2"/>
        </w:rPr>
        <w:t>1、响应文件应密封包装，加贴封条；</w:t>
      </w:r>
    </w:p>
    <w:p w14:paraId="1ED7B67F">
      <w:pPr>
        <w:pStyle w:val="34"/>
        <w:shd w:val="clear" w:color="auto"/>
        <w:spacing w:before="0" w:beforeAutospacing="0" w:after="0" w:afterAutospacing="0" w:line="360" w:lineRule="auto"/>
        <w:ind w:firstLine="480" w:firstLineChars="200"/>
        <w:rPr>
          <w:rFonts w:hint="eastAsia" w:ascii="仿宋" w:hAnsi="仿宋" w:eastAsia="仿宋" w:cs="Times New Roman"/>
          <w:color w:val="auto"/>
          <w:kern w:val="2"/>
        </w:rPr>
      </w:pPr>
      <w:r>
        <w:rPr>
          <w:rFonts w:hint="eastAsia" w:ascii="仿宋" w:hAnsi="仿宋" w:eastAsia="仿宋" w:cs="Times New Roman"/>
          <w:color w:val="auto"/>
          <w:kern w:val="2"/>
        </w:rPr>
        <w:t>2、响应文件正本壹份、副本贰份，并装订；</w:t>
      </w:r>
    </w:p>
    <w:p w14:paraId="178206DD">
      <w:pPr>
        <w:pStyle w:val="34"/>
        <w:shd w:val="clear" w:color="auto"/>
        <w:spacing w:before="0" w:beforeAutospacing="0" w:after="0" w:afterAutospacing="0" w:line="360" w:lineRule="auto"/>
        <w:ind w:firstLine="480" w:firstLineChars="200"/>
        <w:rPr>
          <w:rFonts w:hint="eastAsia" w:ascii="仿宋" w:hAnsi="仿宋" w:eastAsia="仿宋" w:cs="Times New Roman"/>
          <w:color w:val="auto"/>
          <w:kern w:val="2"/>
        </w:rPr>
      </w:pPr>
      <w:r>
        <w:rPr>
          <w:rFonts w:hint="eastAsia" w:ascii="仿宋" w:hAnsi="仿宋" w:eastAsia="仿宋" w:cs="Times New Roman"/>
          <w:color w:val="auto"/>
          <w:kern w:val="2"/>
        </w:rPr>
        <w:t>3、响应文件正本和副本应按要求签章处盖单位章和由法定代表人或其委托代理人签字；任何加行、涂改、增删，应有法定代表人或其委托代理人在旁边签字。否则，将导致响应文件无效。</w:t>
      </w:r>
    </w:p>
    <w:p w14:paraId="0180BCFE">
      <w:pPr>
        <w:pStyle w:val="34"/>
        <w:shd w:val="clear" w:color="auto"/>
        <w:spacing w:before="0" w:beforeAutospacing="0" w:after="0" w:afterAutospacing="0" w:line="360" w:lineRule="auto"/>
        <w:ind w:firstLine="480" w:firstLineChars="200"/>
        <w:rPr>
          <w:rFonts w:hint="eastAsia" w:ascii="仿宋" w:hAnsi="仿宋" w:eastAsia="仿宋" w:cs="Times New Roman"/>
          <w:color w:val="auto"/>
          <w:kern w:val="2"/>
        </w:rPr>
      </w:pPr>
      <w:r>
        <w:rPr>
          <w:rFonts w:hint="eastAsia" w:ascii="仿宋" w:hAnsi="仿宋" w:eastAsia="仿宋" w:cs="Times New Roman"/>
          <w:color w:val="auto"/>
          <w:kern w:val="2"/>
        </w:rPr>
        <w:t>4、报价不得超过采购预算价格，否则为无效投标。</w:t>
      </w:r>
    </w:p>
    <w:p w14:paraId="7EA6F558">
      <w:pPr>
        <w:rPr>
          <w:rFonts w:hint="eastAsia" w:ascii="仿宋" w:hAnsi="仿宋" w:eastAsia="仿宋" w:cs="Times New Roman"/>
          <w:color w:val="auto"/>
          <w:kern w:val="2"/>
        </w:rPr>
      </w:pPr>
      <w:r>
        <w:rPr>
          <w:rFonts w:hint="eastAsia" w:ascii="仿宋" w:hAnsi="仿宋" w:eastAsia="仿宋" w:cs="Times New Roman"/>
          <w:color w:val="auto"/>
          <w:kern w:val="2"/>
        </w:rPr>
        <w:br w:type="page"/>
      </w:r>
    </w:p>
    <w:p w14:paraId="39513F35">
      <w:pPr>
        <w:pStyle w:val="12"/>
        <w:adjustRightInd w:val="0"/>
        <w:snapToGrid w:val="0"/>
        <w:spacing w:line="360" w:lineRule="auto"/>
        <w:rPr>
          <w:rFonts w:hint="eastAsia" w:ascii="仿宋" w:hAnsi="仿宋" w:eastAsia="仿宋"/>
          <w:b/>
          <w:color w:val="auto"/>
          <w:sz w:val="24"/>
          <w:szCs w:val="24"/>
        </w:rPr>
      </w:pPr>
      <w:r>
        <w:rPr>
          <w:rFonts w:ascii="仿宋" w:hAnsi="仿宋" w:eastAsia="仿宋"/>
          <w:b/>
          <w:color w:val="auto"/>
          <w:sz w:val="24"/>
          <w:szCs w:val="24"/>
        </w:rPr>
        <w:t>附件</w:t>
      </w:r>
      <w:r>
        <w:rPr>
          <w:rFonts w:hint="eastAsia" w:ascii="仿宋" w:hAnsi="仿宋" w:eastAsia="仿宋"/>
          <w:b/>
          <w:color w:val="auto"/>
          <w:sz w:val="24"/>
          <w:szCs w:val="24"/>
        </w:rPr>
        <w:t>1：</w:t>
      </w:r>
    </w:p>
    <w:p w14:paraId="4397DFD4">
      <w:pPr>
        <w:adjustRightInd w:val="0"/>
        <w:snapToGrid w:val="0"/>
        <w:spacing w:line="360" w:lineRule="auto"/>
        <w:jc w:val="center"/>
        <w:outlineLvl w:val="0"/>
        <w:rPr>
          <w:rFonts w:hint="eastAsia" w:ascii="仿宋" w:hAnsi="仿宋" w:eastAsia="仿宋" w:cs="仿宋"/>
          <w:b/>
          <w:color w:val="auto"/>
          <w:sz w:val="32"/>
          <w:szCs w:val="32"/>
        </w:rPr>
      </w:pPr>
      <w:r>
        <w:rPr>
          <w:rFonts w:hint="eastAsia" w:ascii="仿宋" w:hAnsi="仿宋" w:eastAsia="仿宋" w:cs="仿宋"/>
          <w:b/>
          <w:color w:val="auto"/>
          <w:sz w:val="32"/>
          <w:szCs w:val="32"/>
        </w:rPr>
        <w:t>询比响应声明</w:t>
      </w:r>
    </w:p>
    <w:p w14:paraId="74AE8A1F">
      <w:pPr>
        <w:adjustRightInd w:val="0"/>
        <w:snapToGrid w:val="0"/>
        <w:spacing w:line="360" w:lineRule="auto"/>
        <w:rPr>
          <w:rFonts w:hint="eastAsia" w:ascii="仿宋_GB2312" w:hAnsi="宋体" w:eastAsia="仿宋_GB2312"/>
          <w:color w:val="auto"/>
          <w:sz w:val="24"/>
          <w:szCs w:val="24"/>
        </w:rPr>
      </w:pPr>
    </w:p>
    <w:p w14:paraId="124BE172">
      <w:pPr>
        <w:adjustRightInd w:val="0"/>
        <w:snapToGrid w:val="0"/>
        <w:spacing w:line="360" w:lineRule="auto"/>
        <w:rPr>
          <w:rFonts w:hint="eastAsia" w:ascii="仿宋" w:hAnsi="仿宋" w:eastAsia="仿宋"/>
          <w:color w:val="auto"/>
          <w:sz w:val="24"/>
          <w:szCs w:val="24"/>
        </w:rPr>
      </w:pPr>
      <w:r>
        <w:rPr>
          <w:rFonts w:hint="eastAsia" w:ascii="仿宋" w:hAnsi="仿宋" w:eastAsia="仿宋"/>
          <w:color w:val="auto"/>
          <w:sz w:val="24"/>
          <w:szCs w:val="24"/>
        </w:rPr>
        <w:t>致</w:t>
      </w:r>
      <w:r>
        <w:rPr>
          <w:rFonts w:hint="eastAsia" w:ascii="仿宋" w:hAnsi="仿宋" w:eastAsia="仿宋"/>
          <w:color w:val="auto"/>
          <w:sz w:val="24"/>
          <w:szCs w:val="24"/>
          <w:u w:val="single"/>
        </w:rPr>
        <w:t xml:space="preserve"> 湖南铁道职业技术学院</w:t>
      </w:r>
      <w:r>
        <w:rPr>
          <w:rFonts w:hint="eastAsia" w:ascii="仿宋" w:hAnsi="仿宋" w:eastAsia="仿宋"/>
          <w:color w:val="auto"/>
          <w:sz w:val="24"/>
          <w:szCs w:val="24"/>
        </w:rPr>
        <w:t>：</w:t>
      </w:r>
    </w:p>
    <w:p w14:paraId="38BE9198">
      <w:pPr>
        <w:adjustRightInd w:val="0"/>
        <w:snapToGrid w:val="0"/>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我方已仔细研究了</w:t>
      </w:r>
      <w:r>
        <w:rPr>
          <w:rFonts w:hint="eastAsia" w:ascii="仿宋" w:hAnsi="仿宋" w:eastAsia="仿宋"/>
          <w:color w:val="auto"/>
          <w:sz w:val="24"/>
          <w:szCs w:val="24"/>
          <w:u w:val="single"/>
        </w:rPr>
        <w:t xml:space="preserve">  轨道交通装备智能制造与运维产教融合实训基地设备更新项目国债申报咨询服务(</w:t>
      </w:r>
      <w:r>
        <w:rPr>
          <w:rFonts w:hint="eastAsia" w:ascii="仿宋" w:hAnsi="仿宋" w:eastAsia="仿宋"/>
          <w:color w:val="auto"/>
          <w:sz w:val="24"/>
          <w:szCs w:val="24"/>
        </w:rPr>
        <w:t>项目名称)的询比采购文件的全部内容，知悉参加询比的风险，我方承诺接受询比采购文件的全部条款且无任何异议。</w:t>
      </w:r>
    </w:p>
    <w:p w14:paraId="48716A5B">
      <w:pPr>
        <w:pStyle w:val="12"/>
        <w:adjustRightInd w:val="0"/>
        <w:snapToGrid w:val="0"/>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一、我方同意在询比采购文件中规定的提交响应文件截止时间起</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日内(响应文件有效期)遵守本响应文件中的承诺且在此期限期满之前均具有法律约束力。</w:t>
      </w:r>
    </w:p>
    <w:p w14:paraId="71872508">
      <w:pPr>
        <w:pStyle w:val="12"/>
        <w:adjustRightInd w:val="0"/>
        <w:snapToGrid w:val="0"/>
        <w:spacing w:line="360" w:lineRule="auto"/>
        <w:ind w:firstLine="480" w:firstLineChars="200"/>
        <w:rPr>
          <w:rFonts w:hint="eastAsia" w:ascii="仿宋" w:hAnsi="仿宋" w:eastAsia="仿宋"/>
          <w:bCs/>
          <w:color w:val="auto"/>
          <w:sz w:val="24"/>
          <w:szCs w:val="24"/>
        </w:rPr>
      </w:pPr>
      <w:r>
        <w:rPr>
          <w:rFonts w:hint="eastAsia" w:ascii="仿宋" w:hAnsi="仿宋" w:eastAsia="仿宋"/>
          <w:color w:val="auto"/>
          <w:sz w:val="24"/>
          <w:szCs w:val="24"/>
        </w:rPr>
        <w:t>二、我方提交响应文件正本一份和副本一式</w:t>
      </w:r>
      <w:r>
        <w:rPr>
          <w:rFonts w:hint="eastAsia" w:ascii="仿宋" w:hAnsi="仿宋" w:eastAsia="仿宋"/>
          <w:color w:val="auto"/>
          <w:sz w:val="24"/>
          <w:szCs w:val="24"/>
          <w:u w:val="single"/>
        </w:rPr>
        <w:t xml:space="preserve"> </w:t>
      </w:r>
      <w:r>
        <w:rPr>
          <w:rFonts w:ascii="仿宋" w:hAnsi="仿宋" w:eastAsia="仿宋"/>
          <w:color w:val="auto"/>
          <w:sz w:val="24"/>
          <w:szCs w:val="24"/>
          <w:u w:val="single"/>
        </w:rPr>
        <w:t xml:space="preserve"> 贰</w:t>
      </w:r>
      <w:r>
        <w:rPr>
          <w:rFonts w:hint="eastAsia" w:ascii="仿宋" w:hAnsi="仿宋" w:eastAsia="仿宋"/>
          <w:color w:val="auto"/>
          <w:sz w:val="24"/>
          <w:szCs w:val="24"/>
          <w:u w:val="single"/>
        </w:rPr>
        <w:t xml:space="preserve"> </w:t>
      </w:r>
      <w:r>
        <w:rPr>
          <w:rFonts w:ascii="仿宋" w:hAnsi="仿宋" w:eastAsia="仿宋"/>
          <w:color w:val="auto"/>
          <w:sz w:val="24"/>
          <w:szCs w:val="24"/>
          <w:u w:val="single"/>
        </w:rPr>
        <w:t xml:space="preserve"> </w:t>
      </w:r>
      <w:r>
        <w:rPr>
          <w:rFonts w:hint="eastAsia" w:ascii="仿宋" w:hAnsi="仿宋" w:eastAsia="仿宋"/>
          <w:color w:val="auto"/>
          <w:sz w:val="24"/>
          <w:szCs w:val="24"/>
        </w:rPr>
        <w:t>份，并保证响应文件提供的数据和材料是真实、准确的。否则，愿承担相关</w:t>
      </w:r>
      <w:r>
        <w:rPr>
          <w:rFonts w:hint="eastAsia" w:ascii="仿宋" w:hAnsi="仿宋" w:eastAsia="仿宋"/>
          <w:bCs/>
          <w:color w:val="auto"/>
          <w:sz w:val="24"/>
          <w:szCs w:val="24"/>
        </w:rPr>
        <w:t>的法律责任。</w:t>
      </w:r>
    </w:p>
    <w:p w14:paraId="0D42C843">
      <w:pPr>
        <w:pStyle w:val="12"/>
        <w:adjustRightInd w:val="0"/>
        <w:snapToGrid w:val="0"/>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三、我方愿意向贵方提供任何与本项采购有关的数据、情况和技术资料。若贵方需要，我方愿意提供我方作出的一切承诺的证明材料。</w:t>
      </w:r>
    </w:p>
    <w:p w14:paraId="4CC98BF7">
      <w:pPr>
        <w:pStyle w:val="12"/>
        <w:adjustRightInd w:val="0"/>
        <w:snapToGrid w:val="0"/>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四、我方愿意按询比采购文件规定的文件及更具企业自身报价，详见报价表。</w:t>
      </w:r>
    </w:p>
    <w:p w14:paraId="2E014F1A">
      <w:pPr>
        <w:pStyle w:val="12"/>
        <w:adjustRightInd w:val="0"/>
        <w:snapToGrid w:val="0"/>
        <w:spacing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五、我方承诺遵守相关法律的规定，保证在获得成交资格后，按照询比采购文件确定的事项签订采购合同，履行双方所签订的合同，并承担合同规定的责任和义务。</w:t>
      </w:r>
    </w:p>
    <w:p w14:paraId="00A6914F">
      <w:pPr>
        <w:adjustRightInd w:val="0"/>
        <w:snapToGrid w:val="0"/>
        <w:spacing w:line="360" w:lineRule="auto"/>
        <w:ind w:right="24"/>
        <w:rPr>
          <w:rFonts w:hint="eastAsia" w:ascii="仿宋" w:hAnsi="仿宋" w:eastAsia="仿宋"/>
          <w:bCs/>
          <w:color w:val="auto"/>
          <w:sz w:val="24"/>
          <w:szCs w:val="24"/>
        </w:rPr>
      </w:pPr>
    </w:p>
    <w:p w14:paraId="25623A0A">
      <w:pPr>
        <w:adjustRightInd w:val="0"/>
        <w:snapToGrid w:val="0"/>
        <w:spacing w:line="360" w:lineRule="auto"/>
        <w:ind w:right="24"/>
        <w:rPr>
          <w:rFonts w:hint="eastAsia" w:ascii="仿宋" w:hAnsi="仿宋" w:eastAsia="仿宋"/>
          <w:bCs/>
          <w:color w:val="auto"/>
          <w:sz w:val="24"/>
          <w:szCs w:val="24"/>
        </w:rPr>
      </w:pPr>
    </w:p>
    <w:p w14:paraId="61C51801">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bCs/>
          <w:color w:val="auto"/>
          <w:sz w:val="24"/>
          <w:szCs w:val="24"/>
        </w:rPr>
        <w:t>附1：</w:t>
      </w:r>
      <w:r>
        <w:rPr>
          <w:rFonts w:hint="eastAsia" w:ascii="仿宋" w:hAnsi="仿宋" w:eastAsia="仿宋"/>
          <w:color w:val="auto"/>
          <w:sz w:val="24"/>
          <w:szCs w:val="24"/>
        </w:rPr>
        <w:t>法定代表人身份证明(法定代表人参加询比)</w:t>
      </w:r>
    </w:p>
    <w:p w14:paraId="116909F7">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bCs/>
          <w:color w:val="auto"/>
          <w:sz w:val="24"/>
          <w:szCs w:val="24"/>
        </w:rPr>
        <w:t>附2</w:t>
      </w:r>
      <w:r>
        <w:rPr>
          <w:rFonts w:hint="eastAsia" w:ascii="仿宋" w:hAnsi="仿宋" w:eastAsia="仿宋"/>
          <w:color w:val="auto"/>
          <w:sz w:val="24"/>
          <w:szCs w:val="24"/>
        </w:rPr>
        <w:t>：法定代表人授权书(委托代理人参加询比)</w:t>
      </w:r>
    </w:p>
    <w:p w14:paraId="00AE082D">
      <w:pPr>
        <w:pStyle w:val="12"/>
        <w:adjustRightInd w:val="0"/>
        <w:snapToGrid w:val="0"/>
        <w:spacing w:line="360" w:lineRule="auto"/>
        <w:rPr>
          <w:rFonts w:hint="eastAsia" w:ascii="仿宋" w:hAnsi="仿宋" w:eastAsia="仿宋"/>
          <w:color w:val="auto"/>
          <w:sz w:val="24"/>
          <w:szCs w:val="24"/>
        </w:rPr>
      </w:pPr>
    </w:p>
    <w:p w14:paraId="6FC4C5F4">
      <w:pPr>
        <w:pStyle w:val="12"/>
        <w:adjustRightInd w:val="0"/>
        <w:snapToGrid w:val="0"/>
        <w:spacing w:line="360" w:lineRule="auto"/>
        <w:rPr>
          <w:rFonts w:hint="eastAsia" w:ascii="仿宋" w:hAnsi="仿宋" w:eastAsia="仿宋"/>
          <w:color w:val="auto"/>
          <w:sz w:val="24"/>
          <w:szCs w:val="24"/>
        </w:rPr>
      </w:pPr>
    </w:p>
    <w:p w14:paraId="599DAAEC">
      <w:pPr>
        <w:pStyle w:val="12"/>
        <w:adjustRightInd w:val="0"/>
        <w:snapToGrid w:val="0"/>
        <w:spacing w:line="360" w:lineRule="auto"/>
        <w:rPr>
          <w:rFonts w:hint="eastAsia" w:ascii="仿宋" w:hAnsi="仿宋" w:eastAsia="仿宋"/>
          <w:color w:val="auto"/>
          <w:sz w:val="24"/>
          <w:szCs w:val="24"/>
        </w:rPr>
      </w:pPr>
      <w:r>
        <w:rPr>
          <w:rFonts w:hint="eastAsia" w:ascii="仿宋" w:hAnsi="仿宋" w:eastAsia="仿宋"/>
          <w:color w:val="auto"/>
          <w:sz w:val="24"/>
          <w:szCs w:val="24"/>
        </w:rPr>
        <w:t>供应商名称(盖单位章)：</w:t>
      </w:r>
    </w:p>
    <w:p w14:paraId="2E67DA2A">
      <w:pPr>
        <w:adjustRightInd w:val="0"/>
        <w:snapToGrid w:val="0"/>
        <w:spacing w:line="360" w:lineRule="auto"/>
        <w:rPr>
          <w:rFonts w:hint="eastAsia" w:ascii="仿宋" w:hAnsi="仿宋" w:eastAsia="仿宋"/>
          <w:color w:val="auto"/>
          <w:sz w:val="24"/>
          <w:szCs w:val="24"/>
        </w:rPr>
      </w:pPr>
      <w:r>
        <w:rPr>
          <w:rFonts w:hint="eastAsia" w:ascii="仿宋" w:hAnsi="仿宋" w:eastAsia="仿宋"/>
          <w:color w:val="auto"/>
          <w:sz w:val="24"/>
          <w:szCs w:val="24"/>
        </w:rPr>
        <w:t>法定代表人或其委托代理人 (签字)：</w:t>
      </w:r>
      <w:r>
        <w:rPr>
          <w:rFonts w:hint="eastAsia" w:ascii="仿宋" w:hAnsi="仿宋" w:eastAsia="仿宋"/>
          <w:color w:val="auto"/>
          <w:sz w:val="24"/>
          <w:szCs w:val="24"/>
          <w:u w:val="single"/>
        </w:rPr>
        <w:t xml:space="preserve">            </w:t>
      </w:r>
    </w:p>
    <w:p w14:paraId="05D83924">
      <w:pPr>
        <w:adjustRightInd w:val="0"/>
        <w:snapToGrid w:val="0"/>
        <w:spacing w:line="360" w:lineRule="auto"/>
        <w:rPr>
          <w:rFonts w:hint="eastAsia" w:ascii="仿宋" w:hAnsi="仿宋" w:eastAsia="仿宋"/>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w:t>
      </w:r>
    </w:p>
    <w:p w14:paraId="08264C45">
      <w:pPr>
        <w:adjustRightInd w:val="0"/>
        <w:snapToGrid w:val="0"/>
        <w:spacing w:line="360" w:lineRule="auto"/>
        <w:ind w:right="24"/>
        <w:rPr>
          <w:rFonts w:hint="eastAsia" w:ascii="仿宋" w:hAnsi="仿宋" w:eastAsia="仿宋"/>
          <w:bCs/>
          <w:color w:val="auto"/>
          <w:sz w:val="24"/>
        </w:rPr>
      </w:pPr>
    </w:p>
    <w:p w14:paraId="2E8D169D">
      <w:pPr>
        <w:adjustRightInd w:val="0"/>
        <w:snapToGrid w:val="0"/>
        <w:spacing w:line="360" w:lineRule="auto"/>
        <w:ind w:right="24"/>
        <w:rPr>
          <w:rFonts w:hint="eastAsia" w:ascii="仿宋_GB2312" w:hAnsi="华文中宋" w:eastAsia="仿宋_GB2312"/>
          <w:bCs/>
          <w:color w:val="auto"/>
          <w:sz w:val="24"/>
        </w:rPr>
      </w:pPr>
    </w:p>
    <w:p w14:paraId="3556BACC">
      <w:pPr>
        <w:adjustRightInd w:val="0"/>
        <w:snapToGrid w:val="0"/>
        <w:spacing w:line="360" w:lineRule="auto"/>
        <w:ind w:right="24"/>
        <w:rPr>
          <w:rFonts w:hint="eastAsia" w:ascii="仿宋_GB2312" w:hAnsi="华文中宋" w:eastAsia="仿宋_GB2312"/>
          <w:bCs/>
          <w:color w:val="auto"/>
          <w:sz w:val="24"/>
        </w:rPr>
      </w:pPr>
    </w:p>
    <w:p w14:paraId="218CE357">
      <w:pPr>
        <w:adjustRightInd w:val="0"/>
        <w:snapToGrid w:val="0"/>
        <w:spacing w:line="360" w:lineRule="auto"/>
        <w:ind w:right="24"/>
        <w:rPr>
          <w:color w:val="auto"/>
          <w:szCs w:val="21"/>
        </w:rPr>
      </w:pPr>
    </w:p>
    <w:p w14:paraId="0925E54B">
      <w:pPr>
        <w:adjustRightInd w:val="0"/>
        <w:snapToGrid w:val="0"/>
        <w:spacing w:line="360" w:lineRule="auto"/>
        <w:ind w:right="24"/>
        <w:rPr>
          <w:rFonts w:hint="eastAsia" w:ascii="仿宋" w:hAnsi="仿宋" w:eastAsia="仿宋"/>
          <w:bCs/>
          <w:color w:val="auto"/>
          <w:sz w:val="24"/>
          <w:szCs w:val="24"/>
        </w:rPr>
      </w:pPr>
      <w:r>
        <w:rPr>
          <w:rFonts w:hint="eastAsia" w:ascii="仿宋" w:hAnsi="仿宋" w:eastAsia="仿宋"/>
          <w:bCs/>
          <w:color w:val="auto"/>
          <w:sz w:val="24"/>
          <w:szCs w:val="24"/>
        </w:rPr>
        <w:t>附1：</w:t>
      </w:r>
    </w:p>
    <w:p w14:paraId="3A621F2C">
      <w:pPr>
        <w:adjustRightInd w:val="0"/>
        <w:snapToGrid w:val="0"/>
        <w:spacing w:line="360" w:lineRule="auto"/>
        <w:ind w:right="24"/>
        <w:jc w:val="center"/>
        <w:rPr>
          <w:rFonts w:hint="eastAsia" w:ascii="仿宋" w:hAnsi="仿宋" w:eastAsia="仿宋"/>
          <w:b/>
          <w:color w:val="auto"/>
          <w:sz w:val="24"/>
          <w:szCs w:val="24"/>
        </w:rPr>
      </w:pPr>
      <w:r>
        <w:rPr>
          <w:rFonts w:hint="eastAsia" w:ascii="仿宋" w:hAnsi="仿宋" w:eastAsia="仿宋"/>
          <w:b/>
          <w:color w:val="auto"/>
          <w:sz w:val="24"/>
          <w:szCs w:val="24"/>
        </w:rPr>
        <w:t>法定代表人身份证明(法定代表人参加询比)</w:t>
      </w:r>
    </w:p>
    <w:p w14:paraId="6CE9CE3F">
      <w:pPr>
        <w:snapToGrid w:val="0"/>
        <w:spacing w:line="480" w:lineRule="auto"/>
        <w:rPr>
          <w:rFonts w:hint="eastAsia" w:ascii="仿宋" w:hAnsi="仿宋" w:eastAsia="仿宋"/>
          <w:color w:val="auto"/>
          <w:sz w:val="24"/>
          <w:szCs w:val="24"/>
        </w:rPr>
      </w:pPr>
    </w:p>
    <w:p w14:paraId="64E10CAA">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p>
    <w:p w14:paraId="74D4D1AF">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注册号：</w:t>
      </w:r>
      <w:r>
        <w:rPr>
          <w:rFonts w:hint="eastAsia" w:ascii="仿宋" w:hAnsi="仿宋" w:eastAsia="仿宋" w:cs="宋体"/>
          <w:color w:val="auto"/>
          <w:kern w:val="0"/>
          <w:sz w:val="24"/>
          <w:szCs w:val="24"/>
          <w:u w:val="single"/>
        </w:rPr>
        <w:t xml:space="preserve">                  </w:t>
      </w:r>
    </w:p>
    <w:p w14:paraId="2FADF094">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注册地址：</w:t>
      </w:r>
      <w:r>
        <w:rPr>
          <w:rFonts w:hint="eastAsia" w:ascii="仿宋" w:hAnsi="仿宋" w:eastAsia="仿宋" w:cs="宋体"/>
          <w:color w:val="auto"/>
          <w:kern w:val="0"/>
          <w:sz w:val="24"/>
          <w:szCs w:val="24"/>
          <w:u w:val="single"/>
        </w:rPr>
        <w:t xml:space="preserve">                                    </w:t>
      </w:r>
    </w:p>
    <w:p w14:paraId="23BF26AE">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 xml:space="preserve">成立时间： </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年 </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月</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日</w:t>
      </w:r>
    </w:p>
    <w:p w14:paraId="67B5C9BD">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u w:val="single"/>
        </w:rPr>
      </w:pPr>
      <w:r>
        <w:rPr>
          <w:rFonts w:hint="eastAsia" w:ascii="仿宋" w:hAnsi="仿宋" w:eastAsia="仿宋" w:cs="宋体"/>
          <w:color w:val="auto"/>
          <w:kern w:val="0"/>
          <w:sz w:val="24"/>
          <w:szCs w:val="24"/>
        </w:rPr>
        <w:t>经营期限：</w:t>
      </w:r>
      <w:r>
        <w:rPr>
          <w:rFonts w:hint="eastAsia" w:ascii="仿宋" w:hAnsi="仿宋" w:eastAsia="仿宋" w:cs="宋体"/>
          <w:color w:val="auto"/>
          <w:kern w:val="0"/>
          <w:sz w:val="24"/>
          <w:szCs w:val="24"/>
          <w:u w:val="single"/>
        </w:rPr>
        <w:t xml:space="preserve">                  </w:t>
      </w:r>
    </w:p>
    <w:p w14:paraId="7CD15019">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u w:val="single"/>
        </w:rPr>
      </w:pPr>
      <w:r>
        <w:rPr>
          <w:rFonts w:hint="eastAsia" w:ascii="仿宋" w:hAnsi="仿宋" w:eastAsia="仿宋" w:cs="宋体"/>
          <w:color w:val="auto"/>
          <w:kern w:val="0"/>
          <w:sz w:val="24"/>
          <w:szCs w:val="24"/>
        </w:rPr>
        <w:t>经营范围：主营：</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；兼营：</w:t>
      </w:r>
      <w:r>
        <w:rPr>
          <w:rFonts w:hint="eastAsia" w:ascii="仿宋" w:hAnsi="仿宋" w:eastAsia="仿宋" w:cs="宋体"/>
          <w:color w:val="auto"/>
          <w:kern w:val="0"/>
          <w:sz w:val="24"/>
          <w:szCs w:val="24"/>
          <w:u w:val="single"/>
        </w:rPr>
        <w:t xml:space="preserve">              </w:t>
      </w:r>
    </w:p>
    <w:p w14:paraId="419853C3">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姓名：</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性别：</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年龄：</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系</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w:t>
      </w: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名称）的法定代表人。</w:t>
      </w:r>
    </w:p>
    <w:p w14:paraId="525BEB45">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特此证明。</w:t>
      </w:r>
    </w:p>
    <w:p w14:paraId="07517C52">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olor w:val="auto"/>
          <w:sz w:val="24"/>
          <w:szCs w:val="24"/>
        </w:rPr>
        <w:t>附：法定代表人身份证复印件</w:t>
      </w:r>
    </w:p>
    <w:p w14:paraId="6FA21409">
      <w:pPr>
        <w:snapToGrid w:val="0"/>
        <w:spacing w:line="480" w:lineRule="auto"/>
        <w:rPr>
          <w:rFonts w:hint="eastAsia" w:ascii="仿宋" w:hAnsi="仿宋" w:eastAsia="仿宋"/>
          <w:color w:val="auto"/>
          <w:sz w:val="24"/>
          <w:szCs w:val="24"/>
        </w:rPr>
      </w:pPr>
    </w:p>
    <w:p w14:paraId="0B83DCA1">
      <w:pPr>
        <w:snapToGrid w:val="0"/>
        <w:rPr>
          <w:rFonts w:hint="eastAsia" w:ascii="仿宋" w:hAnsi="仿宋" w:eastAsia="仿宋"/>
          <w:color w:val="auto"/>
          <w:sz w:val="24"/>
          <w:szCs w:val="24"/>
        </w:rPr>
      </w:pPr>
    </w:p>
    <w:p w14:paraId="6EEAF7C2">
      <w:pPr>
        <w:snapToGrid w:val="0"/>
        <w:rPr>
          <w:rFonts w:hint="eastAsia" w:ascii="仿宋" w:hAnsi="仿宋" w:eastAsia="仿宋"/>
          <w:color w:val="auto"/>
          <w:sz w:val="24"/>
          <w:szCs w:val="24"/>
        </w:rPr>
      </w:pPr>
    </w:p>
    <w:p w14:paraId="35E7B52E">
      <w:pPr>
        <w:snapToGrid w:val="0"/>
        <w:rPr>
          <w:rFonts w:hint="eastAsia" w:ascii="仿宋" w:hAnsi="仿宋" w:eastAsia="仿宋"/>
          <w:color w:val="auto"/>
          <w:sz w:val="24"/>
          <w:szCs w:val="24"/>
        </w:rPr>
      </w:pPr>
    </w:p>
    <w:p w14:paraId="5B13A8D8">
      <w:pPr>
        <w:snapToGrid w:val="0"/>
        <w:rPr>
          <w:rFonts w:hint="eastAsia" w:ascii="仿宋" w:hAnsi="仿宋" w:eastAsia="仿宋"/>
          <w:color w:val="auto"/>
          <w:sz w:val="24"/>
          <w:szCs w:val="24"/>
        </w:rPr>
      </w:pPr>
    </w:p>
    <w:p w14:paraId="6A84D409">
      <w:pPr>
        <w:adjustRightInd w:val="0"/>
        <w:snapToGrid w:val="0"/>
        <w:spacing w:line="360" w:lineRule="auto"/>
        <w:rPr>
          <w:rFonts w:hint="eastAsia" w:ascii="仿宋" w:hAnsi="仿宋" w:eastAsia="仿宋"/>
          <w:color w:val="auto"/>
          <w:sz w:val="24"/>
          <w:szCs w:val="24"/>
        </w:rPr>
      </w:pPr>
    </w:p>
    <w:p w14:paraId="0B69778A">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供应商名称（盖单位章）：</w:t>
      </w:r>
    </w:p>
    <w:p w14:paraId="0AEC3088">
      <w:pPr>
        <w:adjustRightInd w:val="0"/>
        <w:snapToGrid w:val="0"/>
        <w:spacing w:line="360" w:lineRule="auto"/>
        <w:ind w:right="420"/>
        <w:rPr>
          <w:rFonts w:hint="eastAsia" w:ascii="仿宋_GB2312" w:hAnsi="宋体" w:eastAsia="仿宋_GB2312"/>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 xml:space="preserve">日 </w:t>
      </w:r>
      <w:r>
        <w:rPr>
          <w:rFonts w:hint="eastAsia" w:ascii="仿宋_GB2312" w:hAnsi="宋体" w:eastAsia="仿宋_GB2312"/>
          <w:color w:val="auto"/>
          <w:sz w:val="24"/>
          <w:szCs w:val="24"/>
        </w:rPr>
        <w:t xml:space="preserve">     </w:t>
      </w:r>
    </w:p>
    <w:p w14:paraId="7803690B">
      <w:pPr>
        <w:adjustRightInd w:val="0"/>
        <w:snapToGrid w:val="0"/>
        <w:spacing w:before="156" w:beforeLines="50" w:line="360" w:lineRule="auto"/>
        <w:rPr>
          <w:rFonts w:hint="eastAsia" w:ascii="仿宋_GB2312" w:hAnsi="宋体" w:eastAsia="仿宋_GB2312"/>
          <w:color w:val="auto"/>
          <w:sz w:val="24"/>
          <w:szCs w:val="24"/>
        </w:rPr>
      </w:pPr>
    </w:p>
    <w:p w14:paraId="585E191C">
      <w:pPr>
        <w:adjustRightInd w:val="0"/>
        <w:snapToGrid w:val="0"/>
        <w:spacing w:before="156" w:beforeLines="50" w:line="360" w:lineRule="auto"/>
        <w:rPr>
          <w:rFonts w:hint="eastAsia" w:ascii="仿宋_GB2312" w:hAnsi="宋体" w:eastAsia="仿宋_GB2312"/>
          <w:color w:val="auto"/>
          <w:sz w:val="24"/>
          <w:szCs w:val="24"/>
        </w:rPr>
      </w:pPr>
    </w:p>
    <w:p w14:paraId="1EA4FE49">
      <w:pPr>
        <w:adjustRightInd w:val="0"/>
        <w:snapToGrid w:val="0"/>
        <w:spacing w:before="156" w:beforeLines="50" w:line="360" w:lineRule="auto"/>
        <w:rPr>
          <w:rFonts w:hint="eastAsia" w:ascii="仿宋_GB2312" w:hAnsi="宋体" w:eastAsia="仿宋_GB2312"/>
          <w:color w:val="auto"/>
          <w:sz w:val="24"/>
          <w:szCs w:val="24"/>
        </w:rPr>
      </w:pPr>
      <w:r>
        <w:rPr>
          <w:rFonts w:hint="eastAsia" w:ascii="仿宋_GB2312" w:hAnsi="宋体" w:eastAsia="仿宋_GB2312"/>
          <w:color w:val="auto"/>
          <w:sz w:val="24"/>
          <w:szCs w:val="24"/>
        </w:rPr>
        <w:br w:type="page"/>
      </w:r>
    </w:p>
    <w:p w14:paraId="4A04CF5E">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bCs/>
          <w:color w:val="auto"/>
          <w:sz w:val="24"/>
          <w:szCs w:val="24"/>
        </w:rPr>
        <w:t>附2</w:t>
      </w:r>
      <w:r>
        <w:rPr>
          <w:rFonts w:hint="eastAsia" w:ascii="仿宋" w:hAnsi="仿宋" w:eastAsia="仿宋"/>
          <w:color w:val="auto"/>
          <w:sz w:val="24"/>
          <w:szCs w:val="24"/>
        </w:rPr>
        <w:t>：</w:t>
      </w:r>
    </w:p>
    <w:p w14:paraId="5944B96C">
      <w:pPr>
        <w:adjustRightInd w:val="0"/>
        <w:snapToGrid w:val="0"/>
        <w:spacing w:line="360" w:lineRule="auto"/>
        <w:ind w:right="24"/>
        <w:jc w:val="center"/>
        <w:rPr>
          <w:rFonts w:hint="eastAsia" w:ascii="仿宋" w:hAnsi="仿宋" w:eastAsia="仿宋"/>
          <w:b/>
          <w:color w:val="auto"/>
          <w:sz w:val="24"/>
          <w:szCs w:val="24"/>
        </w:rPr>
      </w:pPr>
      <w:r>
        <w:rPr>
          <w:rFonts w:hint="eastAsia" w:ascii="仿宋" w:hAnsi="仿宋" w:eastAsia="仿宋"/>
          <w:b/>
          <w:color w:val="auto"/>
          <w:sz w:val="24"/>
          <w:szCs w:val="24"/>
        </w:rPr>
        <w:t>法定代表人授权书(委托代理人参加询比)</w:t>
      </w:r>
    </w:p>
    <w:p w14:paraId="37649EF2">
      <w:pPr>
        <w:adjustRightInd w:val="0"/>
        <w:snapToGrid w:val="0"/>
        <w:spacing w:line="360" w:lineRule="auto"/>
        <w:jc w:val="center"/>
        <w:rPr>
          <w:rFonts w:hint="eastAsia" w:ascii="仿宋" w:hAnsi="仿宋" w:eastAsia="仿宋"/>
          <w:b/>
          <w:color w:val="auto"/>
          <w:sz w:val="24"/>
          <w:szCs w:val="24"/>
        </w:rPr>
      </w:pPr>
    </w:p>
    <w:p w14:paraId="332C8E8A">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本人</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（姓名、职务）系</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名称）的法定代表人，现授权</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（姓名、职务）为我方代理人。代理人根据授权，以我方名义：(1)签署、澄清、补正、修改、撤回、提交</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（项目名称、</w:t>
      </w:r>
      <w:r>
        <w:rPr>
          <w:rFonts w:hint="eastAsia" w:ascii="仿宋" w:hAnsi="仿宋" w:eastAsia="仿宋"/>
          <w:color w:val="auto"/>
          <w:sz w:val="24"/>
          <w:szCs w:val="24"/>
        </w:rPr>
        <w:t>项目</w:t>
      </w:r>
      <w:r>
        <w:rPr>
          <w:rFonts w:hint="eastAsia" w:ascii="仿宋" w:hAnsi="仿宋" w:eastAsia="仿宋" w:cs="宋体"/>
          <w:color w:val="auto"/>
          <w:kern w:val="0"/>
          <w:sz w:val="24"/>
          <w:szCs w:val="24"/>
        </w:rPr>
        <w:t>编号）响应文件；(2)签署并提交响应文件报价；(3)退出询比；(4)签订合同和处理有关事宜，其法律后果由我方承担。</w:t>
      </w:r>
    </w:p>
    <w:p w14:paraId="3D3D1BAD">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委托期限：</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p>
    <w:p w14:paraId="761B28B3">
      <w:pPr>
        <w:spacing w:line="360" w:lineRule="auto"/>
        <w:ind w:firstLine="435"/>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代理人无转委托权。</w:t>
      </w:r>
    </w:p>
    <w:p w14:paraId="419ED127">
      <w:pPr>
        <w:spacing w:line="360" w:lineRule="auto"/>
        <w:ind w:firstLine="435"/>
        <w:rPr>
          <w:rFonts w:hint="eastAsia" w:ascii="仿宋" w:hAnsi="仿宋" w:eastAsia="仿宋"/>
          <w:color w:val="auto"/>
          <w:sz w:val="24"/>
          <w:szCs w:val="24"/>
        </w:rPr>
      </w:pPr>
      <w:r>
        <w:rPr>
          <w:rFonts w:hint="eastAsia" w:ascii="仿宋" w:hAnsi="仿宋" w:eastAsia="仿宋"/>
          <w:color w:val="auto"/>
          <w:sz w:val="24"/>
          <w:szCs w:val="24"/>
        </w:rPr>
        <w:t>本授权书于</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日签字生效，特此声明。</w:t>
      </w:r>
    </w:p>
    <w:p w14:paraId="7BAF3B0A">
      <w:pPr>
        <w:adjustRightInd w:val="0"/>
        <w:snapToGrid w:val="0"/>
        <w:spacing w:before="156" w:beforeLines="50"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附：委托代理人身份证复印件及法定代表人身份证明(附件1，原件)</w:t>
      </w:r>
    </w:p>
    <w:p w14:paraId="07482B8F">
      <w:pPr>
        <w:adjustRightInd w:val="0"/>
        <w:snapToGrid w:val="0"/>
        <w:spacing w:line="360" w:lineRule="auto"/>
        <w:ind w:right="420"/>
        <w:rPr>
          <w:rFonts w:ascii="仿宋_GB2312" w:eastAsia="仿宋_GB2312"/>
          <w:color w:val="auto"/>
          <w:sz w:val="24"/>
          <w:szCs w:val="24"/>
        </w:rPr>
      </w:pPr>
    </w:p>
    <w:p w14:paraId="016FF73B">
      <w:pPr>
        <w:adjustRightInd w:val="0"/>
        <w:snapToGrid w:val="0"/>
        <w:spacing w:line="360" w:lineRule="auto"/>
        <w:ind w:right="420"/>
        <w:rPr>
          <w:rFonts w:ascii="仿宋_GB2312" w:eastAsia="仿宋_GB2312"/>
          <w:color w:val="auto"/>
          <w:sz w:val="24"/>
          <w:szCs w:val="24"/>
        </w:rPr>
      </w:pPr>
    </w:p>
    <w:p w14:paraId="62C71C4E">
      <w:pPr>
        <w:adjustRightInd w:val="0"/>
        <w:snapToGrid w:val="0"/>
        <w:spacing w:line="360" w:lineRule="auto"/>
        <w:ind w:right="420"/>
        <w:rPr>
          <w:rFonts w:ascii="仿宋_GB2312" w:eastAsia="仿宋_GB2312"/>
          <w:color w:val="auto"/>
          <w:sz w:val="24"/>
          <w:szCs w:val="24"/>
        </w:rPr>
      </w:pPr>
    </w:p>
    <w:p w14:paraId="28DAC95C">
      <w:pPr>
        <w:adjustRightInd w:val="0"/>
        <w:snapToGrid w:val="0"/>
        <w:spacing w:line="360" w:lineRule="auto"/>
        <w:ind w:right="420"/>
        <w:rPr>
          <w:rFonts w:ascii="仿宋_GB2312" w:eastAsia="仿宋_GB2312"/>
          <w:color w:val="auto"/>
          <w:sz w:val="24"/>
          <w:szCs w:val="24"/>
        </w:rPr>
      </w:pPr>
    </w:p>
    <w:p w14:paraId="20BDD97B">
      <w:pPr>
        <w:adjustRightInd w:val="0"/>
        <w:snapToGrid w:val="0"/>
        <w:spacing w:line="360" w:lineRule="auto"/>
        <w:ind w:right="420"/>
        <w:rPr>
          <w:rFonts w:ascii="仿宋_GB2312" w:eastAsia="仿宋_GB2312"/>
          <w:color w:val="auto"/>
          <w:sz w:val="24"/>
          <w:szCs w:val="24"/>
        </w:rPr>
      </w:pPr>
    </w:p>
    <w:p w14:paraId="61147610">
      <w:pPr>
        <w:adjustRightInd w:val="0"/>
        <w:snapToGrid w:val="0"/>
        <w:spacing w:line="360" w:lineRule="auto"/>
        <w:ind w:right="420"/>
        <w:rPr>
          <w:rFonts w:ascii="仿宋_GB2312" w:eastAsia="仿宋_GB2312"/>
          <w:color w:val="auto"/>
          <w:sz w:val="24"/>
          <w:szCs w:val="24"/>
        </w:rPr>
      </w:pPr>
    </w:p>
    <w:p w14:paraId="1EFF4E42">
      <w:pPr>
        <w:adjustRightInd w:val="0"/>
        <w:snapToGrid w:val="0"/>
        <w:spacing w:line="360" w:lineRule="auto"/>
        <w:ind w:right="420"/>
        <w:rPr>
          <w:rFonts w:ascii="仿宋_GB2312" w:eastAsia="仿宋_GB2312"/>
          <w:color w:val="auto"/>
          <w:sz w:val="24"/>
          <w:szCs w:val="24"/>
        </w:rPr>
      </w:pPr>
    </w:p>
    <w:p w14:paraId="2DBBF118">
      <w:pPr>
        <w:adjustRightInd w:val="0"/>
        <w:snapToGrid w:val="0"/>
        <w:spacing w:line="360" w:lineRule="auto"/>
        <w:ind w:right="420"/>
        <w:rPr>
          <w:rFonts w:ascii="仿宋_GB2312" w:eastAsia="仿宋_GB2312"/>
          <w:color w:val="auto"/>
          <w:sz w:val="24"/>
          <w:szCs w:val="24"/>
        </w:rPr>
      </w:pPr>
    </w:p>
    <w:p w14:paraId="1F373CE9">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法定代表人（签字</w:t>
      </w:r>
      <w:r>
        <w:rPr>
          <w:rFonts w:hint="eastAsia" w:ascii="仿宋" w:hAnsi="仿宋" w:eastAsia="仿宋"/>
          <w:color w:val="auto"/>
          <w:sz w:val="24"/>
          <w:szCs w:val="24"/>
          <w:lang w:eastAsia="zh-CN"/>
        </w:rPr>
        <w:t>或盖章</w:t>
      </w:r>
      <w:r>
        <w:rPr>
          <w:rFonts w:hint="eastAsia" w:ascii="仿宋" w:hAnsi="仿宋" w:eastAsia="仿宋"/>
          <w:color w:val="auto"/>
          <w:sz w:val="24"/>
          <w:szCs w:val="24"/>
        </w:rPr>
        <w:t>）：</w:t>
      </w:r>
      <w:r>
        <w:rPr>
          <w:rFonts w:hint="eastAsia" w:ascii="仿宋" w:hAnsi="仿宋" w:eastAsia="仿宋"/>
          <w:color w:val="auto"/>
          <w:sz w:val="24"/>
          <w:szCs w:val="24"/>
          <w:u w:val="single"/>
        </w:rPr>
        <w:t xml:space="preserve">                     </w:t>
      </w:r>
    </w:p>
    <w:p w14:paraId="26DE20C1">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供应商名称（盖单位章）：</w:t>
      </w:r>
      <w:r>
        <w:rPr>
          <w:rFonts w:hint="eastAsia" w:ascii="仿宋" w:hAnsi="仿宋" w:eastAsia="仿宋"/>
          <w:color w:val="auto"/>
          <w:sz w:val="24"/>
          <w:szCs w:val="24"/>
          <w:u w:val="single"/>
        </w:rPr>
        <w:t xml:space="preserve">                     </w:t>
      </w:r>
    </w:p>
    <w:p w14:paraId="4C67A377">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委托代理人（签字）：</w:t>
      </w:r>
      <w:r>
        <w:rPr>
          <w:rFonts w:hint="eastAsia" w:ascii="仿宋" w:hAnsi="仿宋" w:eastAsia="仿宋"/>
          <w:color w:val="auto"/>
          <w:sz w:val="24"/>
          <w:szCs w:val="24"/>
          <w:u w:val="single"/>
        </w:rPr>
        <w:t xml:space="preserve">                     </w:t>
      </w:r>
    </w:p>
    <w:p w14:paraId="5F3E52A6">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w:t>
      </w:r>
    </w:p>
    <w:p w14:paraId="10DBC201">
      <w:pPr>
        <w:spacing w:line="360" w:lineRule="exact"/>
        <w:rPr>
          <w:rFonts w:ascii="仿宋_GB2312" w:eastAsia="仿宋_GB2312"/>
          <w:b/>
          <w:color w:val="auto"/>
          <w:sz w:val="24"/>
          <w:szCs w:val="24"/>
        </w:rPr>
      </w:pPr>
    </w:p>
    <w:p w14:paraId="536C7B49">
      <w:pPr>
        <w:spacing w:line="360" w:lineRule="exact"/>
        <w:rPr>
          <w:rFonts w:ascii="仿宋_GB2312" w:eastAsia="仿宋_GB2312"/>
          <w:b/>
          <w:color w:val="auto"/>
          <w:sz w:val="24"/>
          <w:szCs w:val="24"/>
        </w:rPr>
      </w:pPr>
    </w:p>
    <w:p w14:paraId="096612D2">
      <w:pPr>
        <w:pStyle w:val="18"/>
        <w:rPr>
          <w:color w:val="auto"/>
        </w:rPr>
      </w:pPr>
    </w:p>
    <w:p w14:paraId="272B4D0A">
      <w:pPr>
        <w:rPr>
          <w:color w:val="auto"/>
        </w:rPr>
      </w:pPr>
    </w:p>
    <w:p w14:paraId="70413217">
      <w:pPr>
        <w:rPr>
          <w:color w:val="auto"/>
        </w:rPr>
      </w:pPr>
    </w:p>
    <w:p w14:paraId="12DF0039">
      <w:pPr>
        <w:pStyle w:val="18"/>
        <w:ind w:left="0" w:leftChars="0" w:firstLine="0"/>
        <w:rPr>
          <w:rFonts w:hint="eastAsia" w:ascii="仿宋" w:hAnsi="仿宋" w:eastAsia="仿宋"/>
          <w:b/>
          <w:color w:val="auto"/>
        </w:rPr>
      </w:pPr>
      <w:r>
        <w:rPr>
          <w:rFonts w:ascii="仿宋" w:hAnsi="仿宋" w:eastAsia="仿宋"/>
          <w:b/>
          <w:color w:val="auto"/>
        </w:rPr>
        <w:t>附件2</w:t>
      </w:r>
      <w:r>
        <w:rPr>
          <w:rFonts w:hint="eastAsia" w:ascii="仿宋" w:hAnsi="仿宋" w:eastAsia="仿宋"/>
          <w:b/>
          <w:color w:val="auto"/>
        </w:rPr>
        <w:t>：</w:t>
      </w:r>
    </w:p>
    <w:p w14:paraId="2B0E7AA1">
      <w:pPr>
        <w:adjustRightInd w:val="0"/>
        <w:snapToGrid w:val="0"/>
        <w:spacing w:line="360" w:lineRule="auto"/>
        <w:jc w:val="center"/>
        <w:outlineLvl w:val="0"/>
        <w:rPr>
          <w:rFonts w:hint="eastAsia" w:ascii="仿宋" w:hAnsi="仿宋" w:eastAsia="仿宋" w:cs="仿宋"/>
          <w:b/>
          <w:color w:val="auto"/>
          <w:sz w:val="32"/>
          <w:szCs w:val="32"/>
        </w:rPr>
      </w:pPr>
      <w:r>
        <w:rPr>
          <w:rFonts w:hint="eastAsia" w:ascii="仿宋" w:hAnsi="仿宋" w:eastAsia="仿宋" w:cs="仿宋"/>
          <w:b/>
          <w:color w:val="auto"/>
          <w:sz w:val="32"/>
          <w:szCs w:val="32"/>
        </w:rPr>
        <w:t>报价函</w:t>
      </w:r>
    </w:p>
    <w:p w14:paraId="1E8EEE3F">
      <w:pPr>
        <w:rPr>
          <w:rFonts w:hint="eastAsia" w:ascii="仿宋" w:hAnsi="仿宋" w:eastAsia="仿宋"/>
          <w:color w:val="auto"/>
          <w:sz w:val="24"/>
          <w:szCs w:val="24"/>
        </w:rPr>
      </w:pPr>
      <w:r>
        <w:rPr>
          <w:rFonts w:hint="eastAsia" w:ascii="仿宋" w:hAnsi="仿宋" w:eastAsia="仿宋"/>
          <w:color w:val="auto"/>
          <w:sz w:val="24"/>
          <w:szCs w:val="24"/>
        </w:rPr>
        <w:t xml:space="preserve">                               </w:t>
      </w:r>
    </w:p>
    <w:p w14:paraId="3C4A9165">
      <w:pPr>
        <w:spacing w:line="480" w:lineRule="auto"/>
        <w:jc w:val="left"/>
        <w:rPr>
          <w:rFonts w:hint="eastAsia" w:ascii="仿宋" w:hAnsi="仿宋" w:eastAsia="仿宋" w:cs="宋体"/>
          <w:color w:val="auto"/>
          <w:sz w:val="24"/>
          <w:szCs w:val="24"/>
        </w:rPr>
      </w:pPr>
      <w:r>
        <w:rPr>
          <w:rFonts w:hint="eastAsia" w:ascii="仿宋" w:hAnsi="仿宋" w:eastAsia="仿宋" w:cs="宋体"/>
          <w:color w:val="auto"/>
          <w:sz w:val="24"/>
          <w:szCs w:val="24"/>
        </w:rPr>
        <w:t>湖南铁道职业技术学校：</w:t>
      </w:r>
    </w:p>
    <w:p w14:paraId="016B163F">
      <w:pPr>
        <w:spacing w:line="480" w:lineRule="auto"/>
        <w:ind w:firstLine="640"/>
        <w:jc w:val="left"/>
        <w:rPr>
          <w:rFonts w:hint="eastAsia" w:ascii="仿宋" w:hAnsi="仿宋" w:eastAsia="仿宋"/>
          <w:color w:val="auto"/>
          <w:sz w:val="24"/>
          <w:szCs w:val="24"/>
        </w:rPr>
      </w:pPr>
      <w:r>
        <w:rPr>
          <w:rFonts w:hint="eastAsia" w:ascii="仿宋" w:hAnsi="仿宋" w:eastAsia="仿宋"/>
          <w:color w:val="auto"/>
          <w:sz w:val="24"/>
          <w:szCs w:val="24"/>
        </w:rPr>
        <w:t>我公司仔细阅读了</w:t>
      </w:r>
      <w:r>
        <w:rPr>
          <w:rFonts w:hint="eastAsia" w:ascii="仿宋" w:hAnsi="仿宋" w:eastAsia="仿宋"/>
          <w:color w:val="auto"/>
          <w:sz w:val="24"/>
          <w:szCs w:val="24"/>
          <w:u w:val="single"/>
          <w:lang w:val="en-US" w:eastAsia="zh-CN"/>
        </w:rPr>
        <w:t xml:space="preserve">  </w:t>
      </w:r>
      <w:r>
        <w:rPr>
          <w:rFonts w:hint="eastAsia" w:ascii="仿宋" w:hAnsi="仿宋" w:eastAsia="仿宋"/>
          <w:color w:val="auto"/>
          <w:sz w:val="24"/>
          <w:szCs w:val="24"/>
          <w:u w:val="single"/>
        </w:rPr>
        <w:t>轨道交通装备智能制造与运维产教融合实训基地设备更新项目国债申报咨询服务项目</w:t>
      </w:r>
      <w:r>
        <w:rPr>
          <w:rFonts w:hint="eastAsia" w:ascii="仿宋" w:hAnsi="仿宋" w:eastAsia="仿宋"/>
          <w:color w:val="auto"/>
          <w:sz w:val="24"/>
          <w:szCs w:val="24"/>
        </w:rPr>
        <w:t>询比文件，清楚文件中关于本项目的相关采购需求。</w:t>
      </w:r>
    </w:p>
    <w:p w14:paraId="0EEE41CF">
      <w:pPr>
        <w:spacing w:line="480" w:lineRule="auto"/>
        <w:ind w:firstLine="482" w:firstLineChars="200"/>
        <w:jc w:val="left"/>
        <w:rPr>
          <w:rFonts w:hint="eastAsia" w:ascii="仿宋" w:hAnsi="仿宋" w:eastAsia="仿宋" w:cs="宋体"/>
          <w:b/>
          <w:bCs/>
          <w:color w:val="auto"/>
          <w:sz w:val="24"/>
          <w:szCs w:val="24"/>
        </w:rPr>
      </w:pPr>
      <w:r>
        <w:rPr>
          <w:rFonts w:hint="eastAsia" w:ascii="仿宋" w:hAnsi="仿宋" w:eastAsia="仿宋" w:cs="宋体"/>
          <w:b/>
          <w:bCs/>
          <w:color w:val="auto"/>
          <w:sz w:val="24"/>
          <w:szCs w:val="24"/>
        </w:rPr>
        <w:t>报价：</w:t>
      </w:r>
    </w:p>
    <w:p w14:paraId="489FB506">
      <w:pPr>
        <w:spacing w:line="480" w:lineRule="auto"/>
        <w:ind w:firstLine="480" w:firstLineChars="200"/>
        <w:jc w:val="left"/>
        <w:rPr>
          <w:rFonts w:hint="eastAsia" w:ascii="仿宋" w:hAnsi="仿宋" w:eastAsia="仿宋" w:cs="宋体"/>
          <w:color w:val="auto"/>
          <w:sz w:val="24"/>
          <w:szCs w:val="24"/>
        </w:rPr>
      </w:pPr>
      <w:r>
        <w:rPr>
          <w:rFonts w:hint="eastAsia" w:ascii="仿宋" w:hAnsi="仿宋" w:eastAsia="仿宋" w:cs="宋体"/>
          <w:color w:val="auto"/>
          <w:sz w:val="24"/>
          <w:szCs w:val="24"/>
        </w:rPr>
        <w:t>我司最终报价：小写：</w:t>
      </w:r>
      <w:r>
        <w:rPr>
          <w:rFonts w:hint="eastAsia" w:ascii="仿宋" w:hAnsi="仿宋" w:eastAsia="仿宋" w:cs="宋体"/>
          <w:color w:val="auto"/>
          <w:sz w:val="24"/>
          <w:szCs w:val="24"/>
          <w:u w:val="single"/>
        </w:rPr>
        <w:t xml:space="preserve">    </w:t>
      </w:r>
      <w:r>
        <w:rPr>
          <w:rFonts w:ascii="仿宋" w:hAnsi="仿宋" w:eastAsia="仿宋" w:cs="宋体"/>
          <w:color w:val="auto"/>
          <w:sz w:val="24"/>
          <w:szCs w:val="24"/>
          <w:u w:val="single"/>
        </w:rPr>
        <w:t xml:space="preserve">        </w:t>
      </w:r>
      <w:r>
        <w:rPr>
          <w:rFonts w:hint="eastAsia" w:ascii="仿宋" w:hAnsi="仿宋" w:eastAsia="仿宋" w:cs="宋体"/>
          <w:color w:val="auto"/>
          <w:sz w:val="24"/>
          <w:szCs w:val="24"/>
        </w:rPr>
        <w:t xml:space="preserve"> 元，大写：</w:t>
      </w:r>
      <w:r>
        <w:rPr>
          <w:rFonts w:hint="eastAsia" w:ascii="仿宋" w:hAnsi="仿宋" w:eastAsia="仿宋" w:cs="宋体"/>
          <w:color w:val="auto"/>
          <w:sz w:val="24"/>
          <w:szCs w:val="24"/>
          <w:u w:val="single"/>
        </w:rPr>
        <w:t xml:space="preserve">人民币     </w:t>
      </w:r>
      <w:r>
        <w:rPr>
          <w:rFonts w:ascii="仿宋" w:hAnsi="仿宋" w:eastAsia="仿宋" w:cs="宋体"/>
          <w:color w:val="auto"/>
          <w:sz w:val="24"/>
          <w:szCs w:val="24"/>
          <w:u w:val="single"/>
        </w:rPr>
        <w:t xml:space="preserve">     </w:t>
      </w:r>
      <w:r>
        <w:rPr>
          <w:rFonts w:hint="eastAsia" w:ascii="仿宋" w:hAnsi="仿宋" w:eastAsia="仿宋" w:cs="宋体"/>
          <w:color w:val="auto"/>
          <w:sz w:val="24"/>
          <w:szCs w:val="24"/>
        </w:rPr>
        <w:t>元整。</w:t>
      </w:r>
    </w:p>
    <w:p w14:paraId="0410D307">
      <w:pPr>
        <w:pStyle w:val="18"/>
        <w:rPr>
          <w:rFonts w:hint="eastAsia" w:ascii="仿宋" w:hAnsi="仿宋" w:eastAsia="仿宋"/>
          <w:color w:val="auto"/>
        </w:rPr>
      </w:pPr>
    </w:p>
    <w:p w14:paraId="6AC109A2">
      <w:pPr>
        <w:pStyle w:val="18"/>
        <w:ind w:left="0" w:leftChars="0" w:firstLine="0"/>
        <w:rPr>
          <w:rFonts w:hint="eastAsia" w:ascii="仿宋" w:hAnsi="仿宋" w:eastAsia="仿宋"/>
          <w:color w:val="auto"/>
        </w:rPr>
      </w:pPr>
    </w:p>
    <w:p w14:paraId="2C69DB68">
      <w:pPr>
        <w:spacing w:line="360" w:lineRule="auto"/>
        <w:ind w:firstLine="640"/>
        <w:jc w:val="left"/>
        <w:rPr>
          <w:rFonts w:hint="eastAsia" w:ascii="仿宋" w:hAnsi="仿宋" w:eastAsia="仿宋"/>
          <w:color w:val="auto"/>
          <w:sz w:val="24"/>
          <w:szCs w:val="24"/>
        </w:rPr>
      </w:pPr>
    </w:p>
    <w:p w14:paraId="51AF1F74">
      <w:pPr>
        <w:spacing w:line="480" w:lineRule="auto"/>
        <w:ind w:firstLine="3600" w:firstLineChars="1500"/>
        <w:jc w:val="left"/>
        <w:rPr>
          <w:rFonts w:hint="eastAsia" w:ascii="仿宋" w:hAnsi="仿宋" w:eastAsia="仿宋"/>
          <w:color w:val="auto"/>
          <w:sz w:val="24"/>
          <w:szCs w:val="24"/>
          <w:u w:val="single"/>
        </w:rPr>
      </w:pPr>
      <w:r>
        <w:rPr>
          <w:rFonts w:ascii="仿宋" w:hAnsi="仿宋" w:eastAsia="仿宋"/>
          <w:color w:val="auto"/>
          <w:sz w:val="24"/>
          <w:szCs w:val="24"/>
        </w:rPr>
        <w:t>供应商名称</w:t>
      </w:r>
      <w:r>
        <w:rPr>
          <w:rFonts w:hint="eastAsia" w:ascii="仿宋" w:hAnsi="仿宋" w:eastAsia="仿宋"/>
          <w:color w:val="auto"/>
          <w:sz w:val="24"/>
          <w:szCs w:val="24"/>
        </w:rPr>
        <w:t>（盖章）：</w:t>
      </w:r>
      <w:r>
        <w:rPr>
          <w:rFonts w:hint="eastAsia" w:ascii="仿宋" w:hAnsi="仿宋" w:eastAsia="仿宋"/>
          <w:color w:val="auto"/>
          <w:sz w:val="24"/>
          <w:szCs w:val="24"/>
          <w:u w:val="single"/>
        </w:rPr>
        <w:t xml:space="preserve">                    </w:t>
      </w:r>
    </w:p>
    <w:p w14:paraId="180E8A90">
      <w:pPr>
        <w:spacing w:line="480" w:lineRule="auto"/>
        <w:ind w:firstLine="5520" w:firstLineChars="2300"/>
        <w:jc w:val="left"/>
        <w:rPr>
          <w:rFonts w:ascii="仿宋" w:hAnsi="仿宋" w:eastAsia="仿宋"/>
          <w:color w:val="auto"/>
          <w:sz w:val="24"/>
          <w:szCs w:val="24"/>
        </w:rPr>
      </w:pPr>
      <w:r>
        <w:rPr>
          <w:rFonts w:hint="eastAsia" w:ascii="仿宋" w:hAnsi="仿宋" w:eastAsia="仿宋"/>
          <w:color w:val="auto"/>
          <w:sz w:val="24"/>
          <w:szCs w:val="24"/>
          <w:u w:val="single"/>
        </w:rPr>
        <w:t xml:space="preserve">      </w:t>
      </w:r>
      <w:r>
        <w:rPr>
          <w:rFonts w:ascii="仿宋" w:hAnsi="仿宋" w:eastAsia="仿宋"/>
          <w:color w:val="auto"/>
          <w:sz w:val="24"/>
          <w:szCs w:val="24"/>
        </w:rPr>
        <w:t>年</w:t>
      </w:r>
      <w:r>
        <w:rPr>
          <w:rFonts w:hint="eastAsia" w:ascii="仿宋" w:hAnsi="仿宋" w:eastAsia="仿宋"/>
          <w:color w:val="auto"/>
          <w:sz w:val="24"/>
          <w:szCs w:val="24"/>
          <w:u w:val="single"/>
        </w:rPr>
        <w:t xml:space="preserve">     </w:t>
      </w:r>
      <w:r>
        <w:rPr>
          <w:rFonts w:ascii="仿宋" w:hAnsi="仿宋" w:eastAsia="仿宋"/>
          <w:color w:val="auto"/>
          <w:sz w:val="24"/>
          <w:szCs w:val="24"/>
        </w:rPr>
        <w:t>月</w:t>
      </w:r>
      <w:r>
        <w:rPr>
          <w:rFonts w:hint="eastAsia" w:ascii="仿宋" w:hAnsi="仿宋" w:eastAsia="仿宋"/>
          <w:color w:val="auto"/>
          <w:sz w:val="24"/>
          <w:szCs w:val="24"/>
          <w:u w:val="single"/>
        </w:rPr>
        <w:t xml:space="preserve">      </w:t>
      </w:r>
      <w:r>
        <w:rPr>
          <w:rFonts w:ascii="仿宋" w:hAnsi="仿宋" w:eastAsia="仿宋"/>
          <w:color w:val="auto"/>
          <w:sz w:val="24"/>
          <w:szCs w:val="24"/>
        </w:rPr>
        <w:t>日</w:t>
      </w:r>
    </w:p>
    <w:p w14:paraId="1AABF6E5">
      <w:pPr>
        <w:rPr>
          <w:rFonts w:ascii="仿宋" w:hAnsi="仿宋" w:eastAsia="仿宋"/>
          <w:color w:val="auto"/>
          <w:sz w:val="24"/>
          <w:szCs w:val="24"/>
        </w:rPr>
      </w:pPr>
      <w:r>
        <w:rPr>
          <w:rFonts w:ascii="仿宋" w:hAnsi="仿宋" w:eastAsia="仿宋"/>
          <w:color w:val="auto"/>
          <w:sz w:val="24"/>
          <w:szCs w:val="24"/>
        </w:rPr>
        <w:br w:type="page"/>
      </w:r>
    </w:p>
    <w:p w14:paraId="45B71021">
      <w:pPr>
        <w:adjustRightInd w:val="0"/>
        <w:snapToGrid w:val="0"/>
        <w:spacing w:line="360" w:lineRule="auto"/>
        <w:jc w:val="center"/>
        <w:outlineLvl w:val="0"/>
        <w:rPr>
          <w:rFonts w:hint="eastAsia" w:ascii="仿宋" w:hAnsi="仿宋" w:eastAsia="仿宋" w:cs="仿宋"/>
          <w:b/>
          <w:color w:val="auto"/>
          <w:sz w:val="32"/>
          <w:szCs w:val="32"/>
          <w:lang w:eastAsia="zh-CN"/>
        </w:rPr>
      </w:pPr>
      <w:r>
        <w:rPr>
          <w:rFonts w:hint="eastAsia" w:ascii="仿宋" w:hAnsi="仿宋" w:eastAsia="仿宋" w:cs="仿宋"/>
          <w:b/>
          <w:color w:val="auto"/>
          <w:sz w:val="32"/>
          <w:szCs w:val="32"/>
        </w:rPr>
        <w:t>供应商认为需要提供的资料</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汉仪楷体KW">
    <w:altName w:val="宋体"/>
    <w:panose1 w:val="00020600040101010101"/>
    <w:charset w:val="86"/>
    <w:family w:val="auto"/>
    <w:pitch w:val="default"/>
    <w:sig w:usb0="00000000" w:usb1="00000000" w:usb2="00000016"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FFD21C6">
        <w:pPr>
          <w:pStyle w:val="15"/>
          <w:jc w:val="center"/>
        </w:pPr>
        <w:r>
          <w:fldChar w:fldCharType="begin"/>
        </w:r>
        <w:r>
          <w:instrText xml:space="preserve">PAGE   \* MERGEFORMAT</w:instrText>
        </w:r>
        <w:r>
          <w:fldChar w:fldCharType="separate"/>
        </w:r>
        <w:r>
          <w:rPr>
            <w:lang w:val="zh-CN"/>
          </w:rPr>
          <w:t>25</w:t>
        </w:r>
        <w:r>
          <w:fldChar w:fldCharType="end"/>
        </w:r>
      </w:p>
    </w:sdtContent>
  </w:sdt>
  <w:p w14:paraId="4929F3BE">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D0C03">
    <w:pPr>
      <w:pStyle w:val="15"/>
      <w:framePr w:wrap="around" w:vAnchor="text" w:hAnchor="margin" w:xAlign="center" w:y="1"/>
      <w:rPr>
        <w:rStyle w:val="22"/>
      </w:rPr>
    </w:pPr>
    <w:r>
      <w:fldChar w:fldCharType="begin"/>
    </w:r>
    <w:r>
      <w:rPr>
        <w:rStyle w:val="22"/>
      </w:rPr>
      <w:instrText xml:space="preserve">PAGE  </w:instrText>
    </w:r>
    <w:r>
      <w:fldChar w:fldCharType="end"/>
    </w:r>
  </w:p>
  <w:p w14:paraId="5D97DA96">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ADB2D">
    <w:pPr>
      <w:pStyle w:val="16"/>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B6B62">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1E71DF"/>
    <w:multiLevelType w:val="singleLevel"/>
    <w:tmpl w:val="F61E71DF"/>
    <w:lvl w:ilvl="0" w:tentative="0">
      <w:start w:val="3"/>
      <w:numFmt w:val="decimal"/>
      <w:lvlText w:val="%1."/>
      <w:lvlJc w:val="left"/>
      <w:pPr>
        <w:tabs>
          <w:tab w:val="left" w:pos="312"/>
        </w:tabs>
      </w:pPr>
    </w:lvl>
  </w:abstractNum>
  <w:abstractNum w:abstractNumId="1">
    <w:nsid w:val="FE13704C"/>
    <w:multiLevelType w:val="multilevel"/>
    <w:tmpl w:val="FE13704C"/>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2902A6D"/>
    <w:rsid w:val="03936CB9"/>
    <w:rsid w:val="03F67B7C"/>
    <w:rsid w:val="044E0E32"/>
    <w:rsid w:val="05997E8B"/>
    <w:rsid w:val="06220888"/>
    <w:rsid w:val="066D3445"/>
    <w:rsid w:val="07706573"/>
    <w:rsid w:val="079364BB"/>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A07014"/>
    <w:rsid w:val="15B12877"/>
    <w:rsid w:val="15C9656A"/>
    <w:rsid w:val="16C6456E"/>
    <w:rsid w:val="16D36F75"/>
    <w:rsid w:val="16FC64CC"/>
    <w:rsid w:val="172E31C9"/>
    <w:rsid w:val="17C3509D"/>
    <w:rsid w:val="191A76F6"/>
    <w:rsid w:val="19E54DD6"/>
    <w:rsid w:val="1A07140F"/>
    <w:rsid w:val="1A7D2861"/>
    <w:rsid w:val="1B451A26"/>
    <w:rsid w:val="1BB90E2F"/>
    <w:rsid w:val="1BC640E6"/>
    <w:rsid w:val="1D444728"/>
    <w:rsid w:val="1E4F7829"/>
    <w:rsid w:val="1E7948A6"/>
    <w:rsid w:val="1F9951FF"/>
    <w:rsid w:val="1F9B463A"/>
    <w:rsid w:val="201D3E7D"/>
    <w:rsid w:val="202D76F6"/>
    <w:rsid w:val="20746BB2"/>
    <w:rsid w:val="20AB2A08"/>
    <w:rsid w:val="21E64000"/>
    <w:rsid w:val="221C3EC6"/>
    <w:rsid w:val="22FB1D2D"/>
    <w:rsid w:val="23E9602A"/>
    <w:rsid w:val="242B03F0"/>
    <w:rsid w:val="24F13006"/>
    <w:rsid w:val="26E533CB"/>
    <w:rsid w:val="28F04610"/>
    <w:rsid w:val="295D104C"/>
    <w:rsid w:val="29B665AC"/>
    <w:rsid w:val="29D15596"/>
    <w:rsid w:val="2A7725E1"/>
    <w:rsid w:val="2B473D61"/>
    <w:rsid w:val="2CB01DDA"/>
    <w:rsid w:val="2D2B320F"/>
    <w:rsid w:val="2D460049"/>
    <w:rsid w:val="3163566D"/>
    <w:rsid w:val="31D8203D"/>
    <w:rsid w:val="31FA2FC3"/>
    <w:rsid w:val="3248523C"/>
    <w:rsid w:val="32BD0C84"/>
    <w:rsid w:val="32D4413C"/>
    <w:rsid w:val="353327D7"/>
    <w:rsid w:val="35A3072E"/>
    <w:rsid w:val="35BA60CE"/>
    <w:rsid w:val="36323860"/>
    <w:rsid w:val="36AC53C0"/>
    <w:rsid w:val="38CA49CD"/>
    <w:rsid w:val="39D54C2E"/>
    <w:rsid w:val="3A176FF5"/>
    <w:rsid w:val="3A731769"/>
    <w:rsid w:val="3A8D72B7"/>
    <w:rsid w:val="3AD457B2"/>
    <w:rsid w:val="3B3140E6"/>
    <w:rsid w:val="3B8763FC"/>
    <w:rsid w:val="3C0E61D6"/>
    <w:rsid w:val="3D912B45"/>
    <w:rsid w:val="3DC92B7D"/>
    <w:rsid w:val="3E7013C9"/>
    <w:rsid w:val="3F2D1069"/>
    <w:rsid w:val="403C3A51"/>
    <w:rsid w:val="404D79B1"/>
    <w:rsid w:val="40CF23D7"/>
    <w:rsid w:val="411058C0"/>
    <w:rsid w:val="413277CA"/>
    <w:rsid w:val="41A31919"/>
    <w:rsid w:val="42507548"/>
    <w:rsid w:val="43761230"/>
    <w:rsid w:val="43B166A2"/>
    <w:rsid w:val="457F75CA"/>
    <w:rsid w:val="459E79E0"/>
    <w:rsid w:val="471A6376"/>
    <w:rsid w:val="48021483"/>
    <w:rsid w:val="495E1E55"/>
    <w:rsid w:val="4A6C57DD"/>
    <w:rsid w:val="4A842484"/>
    <w:rsid w:val="4ACE4B79"/>
    <w:rsid w:val="4ADA413D"/>
    <w:rsid w:val="4B68427F"/>
    <w:rsid w:val="4C811ECE"/>
    <w:rsid w:val="4C8E75EA"/>
    <w:rsid w:val="4CC31BF0"/>
    <w:rsid w:val="4CD64AED"/>
    <w:rsid w:val="4DEA6AA2"/>
    <w:rsid w:val="4DF74D1B"/>
    <w:rsid w:val="500D6A78"/>
    <w:rsid w:val="505E5526"/>
    <w:rsid w:val="50C025FA"/>
    <w:rsid w:val="51672826"/>
    <w:rsid w:val="51CA3B38"/>
    <w:rsid w:val="51E451CB"/>
    <w:rsid w:val="53425821"/>
    <w:rsid w:val="5366378B"/>
    <w:rsid w:val="543D7D43"/>
    <w:rsid w:val="54413194"/>
    <w:rsid w:val="554E608A"/>
    <w:rsid w:val="556A0B80"/>
    <w:rsid w:val="56D36709"/>
    <w:rsid w:val="56EB5013"/>
    <w:rsid w:val="57A557E8"/>
    <w:rsid w:val="57DD4F82"/>
    <w:rsid w:val="59337A15"/>
    <w:rsid w:val="5A865DA5"/>
    <w:rsid w:val="5ABF3065"/>
    <w:rsid w:val="5B3B1FAA"/>
    <w:rsid w:val="5BEE021E"/>
    <w:rsid w:val="5BF22FC6"/>
    <w:rsid w:val="5CF8252C"/>
    <w:rsid w:val="5D0631CD"/>
    <w:rsid w:val="5D215911"/>
    <w:rsid w:val="5DBF70F0"/>
    <w:rsid w:val="5DF23B2E"/>
    <w:rsid w:val="5E7C394C"/>
    <w:rsid w:val="5F4578E7"/>
    <w:rsid w:val="5F4E26F5"/>
    <w:rsid w:val="60511ABB"/>
    <w:rsid w:val="61D52281"/>
    <w:rsid w:val="61D95959"/>
    <w:rsid w:val="62173015"/>
    <w:rsid w:val="6228716A"/>
    <w:rsid w:val="62306DA1"/>
    <w:rsid w:val="62652744"/>
    <w:rsid w:val="63A20CFF"/>
    <w:rsid w:val="63F83144"/>
    <w:rsid w:val="640C43E7"/>
    <w:rsid w:val="66DC6D4D"/>
    <w:rsid w:val="68B735CD"/>
    <w:rsid w:val="6A400653"/>
    <w:rsid w:val="6A7F45BF"/>
    <w:rsid w:val="6B5A68F5"/>
    <w:rsid w:val="6B7E52FC"/>
    <w:rsid w:val="6BBF5D79"/>
    <w:rsid w:val="6BC9041D"/>
    <w:rsid w:val="6DAB7F02"/>
    <w:rsid w:val="6E2D03D6"/>
    <w:rsid w:val="719E17CE"/>
    <w:rsid w:val="71A751C5"/>
    <w:rsid w:val="71CD20B4"/>
    <w:rsid w:val="72567DE8"/>
    <w:rsid w:val="72C16AF2"/>
    <w:rsid w:val="72FA6ED8"/>
    <w:rsid w:val="73A76E7D"/>
    <w:rsid w:val="74A23383"/>
    <w:rsid w:val="75730384"/>
    <w:rsid w:val="78401AE9"/>
    <w:rsid w:val="78496E1F"/>
    <w:rsid w:val="7A4C31BF"/>
    <w:rsid w:val="7A801544"/>
    <w:rsid w:val="7A870038"/>
    <w:rsid w:val="7B4E5EDA"/>
    <w:rsid w:val="7BEB3862"/>
    <w:rsid w:val="7C7B7C1A"/>
    <w:rsid w:val="7D210FAE"/>
    <w:rsid w:val="7DE95B7F"/>
    <w:rsid w:val="7DF64DA9"/>
    <w:rsid w:val="7E151C77"/>
    <w:rsid w:val="7E773953"/>
    <w:rsid w:val="7EA83C8C"/>
    <w:rsid w:val="7EB60854"/>
    <w:rsid w:val="7FEE004B"/>
    <w:rsid w:val="ACFF2C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keepNext/>
      <w:keepLines/>
      <w:numPr>
        <w:ilvl w:val="2"/>
        <w:numId w:val="1"/>
      </w:numPr>
      <w:spacing w:before="260" w:beforeLines="0" w:beforeAutospacing="0" w:after="260" w:afterLines="0" w:afterAutospacing="0" w:line="413" w:lineRule="auto"/>
      <w:ind w:firstLine="0" w:firstLineChars="0"/>
      <w:outlineLvl w:val="2"/>
    </w:pPr>
    <w:rPr>
      <w:b/>
      <w:sz w:val="32"/>
    </w:rPr>
  </w:style>
  <w:style w:type="paragraph" w:styleId="5">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Body Text Indent"/>
    <w:basedOn w:val="1"/>
    <w:next w:val="8"/>
    <w:unhideWhenUsed/>
    <w:qFormat/>
    <w:uiPriority w:val="99"/>
    <w:pPr>
      <w:spacing w:after="120"/>
      <w:ind w:left="420" w:leftChars="200"/>
    </w:pPr>
  </w:style>
  <w:style w:type="paragraph" w:styleId="8">
    <w:name w:val="annotation subject"/>
    <w:basedOn w:val="9"/>
    <w:next w:val="1"/>
    <w:qFormat/>
    <w:uiPriority w:val="0"/>
    <w:rPr>
      <w:b/>
      <w:bCs/>
    </w:rPr>
  </w:style>
  <w:style w:type="paragraph" w:styleId="9">
    <w:name w:val="annotation text"/>
    <w:basedOn w:val="1"/>
    <w:semiHidden/>
    <w:unhideWhenUsed/>
    <w:qFormat/>
    <w:uiPriority w:val="99"/>
    <w:pPr>
      <w:jc w:val="left"/>
    </w:pPr>
  </w:style>
  <w:style w:type="paragraph" w:styleId="10">
    <w:name w:val="Document Map"/>
    <w:basedOn w:val="1"/>
    <w:link w:val="26"/>
    <w:semiHidden/>
    <w:unhideWhenUsed/>
    <w:qFormat/>
    <w:uiPriority w:val="99"/>
    <w:rPr>
      <w:rFonts w:ascii="宋体"/>
      <w:sz w:val="18"/>
      <w:szCs w:val="18"/>
    </w:rPr>
  </w:style>
  <w:style w:type="paragraph" w:styleId="11">
    <w:name w:val="Body Text"/>
    <w:basedOn w:val="1"/>
    <w:next w:val="1"/>
    <w:link w:val="37"/>
    <w:qFormat/>
    <w:uiPriority w:val="0"/>
    <w:pPr>
      <w:spacing w:after="120"/>
    </w:pPr>
    <w:rPr>
      <w:rFonts w:ascii="Times New Roman" w:hAnsi="Times New Roman"/>
      <w:szCs w:val="24"/>
    </w:rPr>
  </w:style>
  <w:style w:type="paragraph" w:styleId="12">
    <w:name w:val="Plain Text"/>
    <w:basedOn w:val="1"/>
    <w:link w:val="31"/>
    <w:qFormat/>
    <w:uiPriority w:val="0"/>
    <w:rPr>
      <w:rFonts w:ascii="宋体" w:hAnsi="Courier New"/>
      <w:kern w:val="0"/>
      <w:szCs w:val="20"/>
    </w:rPr>
  </w:style>
  <w:style w:type="paragraph" w:styleId="13">
    <w:name w:val="Date"/>
    <w:basedOn w:val="1"/>
    <w:next w:val="1"/>
    <w:link w:val="28"/>
    <w:semiHidden/>
    <w:unhideWhenUsed/>
    <w:qFormat/>
    <w:uiPriority w:val="99"/>
    <w:pPr>
      <w:ind w:left="100" w:leftChars="2500"/>
    </w:pPr>
  </w:style>
  <w:style w:type="paragraph" w:styleId="14">
    <w:name w:val="Body Text Indent 2"/>
    <w:basedOn w:val="1"/>
    <w:link w:val="41"/>
    <w:qFormat/>
    <w:uiPriority w:val="99"/>
    <w:pPr>
      <w:spacing w:after="120" w:line="480" w:lineRule="auto"/>
      <w:ind w:left="420" w:leftChars="200"/>
    </w:pPr>
    <w:rPr>
      <w:kern w:val="0"/>
      <w:sz w:val="24"/>
    </w:rPr>
  </w:style>
  <w:style w:type="paragraph" w:styleId="15">
    <w:name w:val="footer"/>
    <w:basedOn w:val="1"/>
    <w:link w:val="25"/>
    <w:unhideWhenUsed/>
    <w:qFormat/>
    <w:uiPriority w:val="99"/>
    <w:pPr>
      <w:tabs>
        <w:tab w:val="center" w:pos="4153"/>
        <w:tab w:val="right" w:pos="8306"/>
      </w:tabs>
      <w:snapToGrid w:val="0"/>
      <w:jc w:val="left"/>
    </w:pPr>
    <w:rPr>
      <w:sz w:val="18"/>
      <w:szCs w:val="18"/>
    </w:rPr>
  </w:style>
  <w:style w:type="paragraph" w:styleId="16">
    <w:name w:val="header"/>
    <w:basedOn w:val="1"/>
    <w:link w:val="24"/>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8">
    <w:name w:val="Body Text First Indent 2"/>
    <w:basedOn w:val="7"/>
    <w:next w:val="1"/>
    <w:unhideWhenUsed/>
    <w:qFormat/>
    <w:uiPriority w:val="99"/>
    <w:pPr>
      <w:spacing w:before="100" w:beforeAutospacing="1"/>
      <w:ind w:firstLine="420"/>
    </w:pPr>
    <w:rPr>
      <w:szCs w:val="21"/>
    </w:rPr>
  </w:style>
  <w:style w:type="table" w:styleId="20">
    <w:name w:val="Table Grid"/>
    <w:basedOn w:val="1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customStyle="1" w:styleId="23">
    <w:name w:val="标题 2 字符"/>
    <w:basedOn w:val="21"/>
    <w:link w:val="3"/>
    <w:semiHidden/>
    <w:qFormat/>
    <w:uiPriority w:val="9"/>
    <w:rPr>
      <w:rFonts w:asciiTheme="majorHAnsi" w:hAnsiTheme="majorHAnsi" w:eastAsiaTheme="majorEastAsia" w:cstheme="majorBidi"/>
      <w:b/>
      <w:bCs/>
      <w:kern w:val="2"/>
      <w:sz w:val="32"/>
      <w:szCs w:val="32"/>
    </w:rPr>
  </w:style>
  <w:style w:type="character" w:customStyle="1" w:styleId="24">
    <w:name w:val="页眉 字符"/>
    <w:basedOn w:val="21"/>
    <w:link w:val="16"/>
    <w:qFormat/>
    <w:uiPriority w:val="0"/>
    <w:rPr>
      <w:rFonts w:ascii="Calibri" w:hAnsi="Calibri" w:eastAsia="宋体" w:cs="Times New Roman"/>
      <w:sz w:val="18"/>
      <w:szCs w:val="18"/>
    </w:rPr>
  </w:style>
  <w:style w:type="character" w:customStyle="1" w:styleId="25">
    <w:name w:val="页脚 字符"/>
    <w:basedOn w:val="21"/>
    <w:link w:val="15"/>
    <w:qFormat/>
    <w:uiPriority w:val="99"/>
    <w:rPr>
      <w:rFonts w:ascii="Calibri" w:hAnsi="Calibri" w:eastAsia="宋体" w:cs="Times New Roman"/>
      <w:sz w:val="18"/>
      <w:szCs w:val="18"/>
    </w:rPr>
  </w:style>
  <w:style w:type="character" w:customStyle="1" w:styleId="26">
    <w:name w:val="文档结构图 字符"/>
    <w:basedOn w:val="21"/>
    <w:link w:val="10"/>
    <w:semiHidden/>
    <w:qFormat/>
    <w:uiPriority w:val="99"/>
    <w:rPr>
      <w:rFonts w:ascii="宋体" w:hAnsi="Calibri" w:eastAsia="宋体" w:cs="Times New Roman"/>
      <w:sz w:val="18"/>
      <w:szCs w:val="18"/>
    </w:rPr>
  </w:style>
  <w:style w:type="paragraph" w:customStyle="1" w:styleId="27">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8">
    <w:name w:val="日期 字符"/>
    <w:basedOn w:val="21"/>
    <w:link w:val="13"/>
    <w:semiHidden/>
    <w:qFormat/>
    <w:uiPriority w:val="99"/>
    <w:rPr>
      <w:rFonts w:ascii="Calibri" w:hAnsi="Calibri" w:eastAsia="宋体" w:cs="Times New Roman"/>
    </w:rPr>
  </w:style>
  <w:style w:type="paragraph" w:customStyle="1" w:styleId="2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0">
    <w:name w:val="标题 1 字符"/>
    <w:basedOn w:val="21"/>
    <w:link w:val="2"/>
    <w:qFormat/>
    <w:uiPriority w:val="0"/>
    <w:rPr>
      <w:rFonts w:ascii="Cambria" w:hAnsi="Cambria" w:eastAsia="华文中宋" w:cs="Times New Roman"/>
      <w:b/>
      <w:bCs/>
      <w:sz w:val="44"/>
      <w:szCs w:val="28"/>
    </w:rPr>
  </w:style>
  <w:style w:type="character" w:customStyle="1" w:styleId="31">
    <w:name w:val="纯文本 字符"/>
    <w:link w:val="12"/>
    <w:qFormat/>
    <w:locked/>
    <w:uiPriority w:val="0"/>
    <w:rPr>
      <w:rFonts w:ascii="宋体" w:hAnsi="Courier New"/>
      <w:sz w:val="21"/>
    </w:rPr>
  </w:style>
  <w:style w:type="character" w:customStyle="1" w:styleId="32">
    <w:name w:val="纯文本 Char"/>
    <w:basedOn w:val="21"/>
    <w:semiHidden/>
    <w:qFormat/>
    <w:uiPriority w:val="99"/>
    <w:rPr>
      <w:rFonts w:ascii="宋体" w:hAnsi="Courier New" w:cs="Courier New"/>
      <w:kern w:val="2"/>
      <w:sz w:val="21"/>
      <w:szCs w:val="21"/>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1"/>
    <w:link w:val="5"/>
    <w:qFormat/>
    <w:uiPriority w:val="9"/>
    <w:rPr>
      <w:rFonts w:asciiTheme="majorHAnsi" w:hAnsiTheme="majorHAnsi" w:eastAsiaTheme="majorEastAsia" w:cstheme="majorBidi"/>
      <w:b/>
      <w:bCs/>
      <w:kern w:val="2"/>
      <w:sz w:val="24"/>
      <w:szCs w:val="24"/>
    </w:rPr>
  </w:style>
  <w:style w:type="character" w:customStyle="1" w:styleId="37">
    <w:name w:val="正文文本 字符"/>
    <w:basedOn w:val="21"/>
    <w:link w:val="11"/>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14"/>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6090</Words>
  <Characters>6220</Characters>
  <Lines>31</Lines>
  <Paragraphs>9</Paragraphs>
  <TotalTime>0</TotalTime>
  <ScaleCrop>false</ScaleCrop>
  <LinksUpToDate>false</LinksUpToDate>
  <CharactersWithSpaces>6858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cp:lastModifiedBy>
  <cp:lastPrinted>2020-08-24T10:17:00Z</cp:lastPrinted>
  <dcterms:modified xsi:type="dcterms:W3CDTF">2026-06-29T08:33:47Z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60DF3220EC0E46DAA79C10762C6B9C45_13</vt:lpwstr>
  </property>
  <property fmtid="{D5CDD505-2E9C-101B-9397-08002B2CF9AE}" pid="4" name="KSOTemplateDocerSaveRecord">
    <vt:lpwstr>eyJoZGlkIjoiNjExNjA1MzY4NDcxNDhlNGIwYWUzMzQ5YTk5ZTk5ZTUiLCJ1c2VySWQiOiI0OTQ3NjU2MzMifQ==</vt:lpwstr>
  </property>
</Properties>
</file>