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54DE0C">
      <w:pPr>
        <w:adjustRightInd w:val="0"/>
        <w:snapToGrid w:val="0"/>
        <w:spacing w:line="360" w:lineRule="auto"/>
        <w:ind w:firstLine="405"/>
        <w:rPr>
          <w:rFonts w:ascii="仿宋_GB2312" w:hAnsi="华文中宋" w:eastAsia="仿宋_GB2312"/>
          <w:b/>
          <w:sz w:val="84"/>
          <w:szCs w:val="84"/>
        </w:rPr>
      </w:pPr>
    </w:p>
    <w:p w14:paraId="25D76753">
      <w:pPr>
        <w:pStyle w:val="10"/>
        <w:jc w:val="center"/>
        <w:rPr>
          <w:rFonts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3A3A375">
      <w:pPr>
        <w:pStyle w:val="10"/>
        <w:adjustRightInd w:val="0"/>
        <w:snapToGrid w:val="0"/>
        <w:spacing w:line="360" w:lineRule="auto"/>
        <w:ind w:left="846" w:leftChars="403" w:firstLine="157" w:firstLineChars="49"/>
        <w:rPr>
          <w:rFonts w:ascii="黑体" w:hAnsi="黑体" w:eastAsia="黑体"/>
          <w:b/>
          <w:sz w:val="32"/>
          <w:szCs w:val="32"/>
        </w:rPr>
      </w:pPr>
    </w:p>
    <w:p w14:paraId="47C2A435">
      <w:pPr>
        <w:pStyle w:val="10"/>
        <w:adjustRightInd w:val="0"/>
        <w:snapToGrid w:val="0"/>
        <w:spacing w:line="360" w:lineRule="auto"/>
        <w:ind w:left="846" w:leftChars="403" w:firstLine="157" w:firstLineChars="49"/>
        <w:rPr>
          <w:rFonts w:ascii="黑体" w:hAnsi="黑体" w:eastAsia="黑体"/>
          <w:b/>
          <w:sz w:val="32"/>
          <w:szCs w:val="32"/>
        </w:rPr>
      </w:pPr>
    </w:p>
    <w:p w14:paraId="112263E4">
      <w:pPr>
        <w:pStyle w:val="10"/>
        <w:adjustRightInd w:val="0"/>
        <w:snapToGrid w:val="0"/>
        <w:spacing w:line="360" w:lineRule="auto"/>
        <w:ind w:left="846" w:leftChars="403" w:firstLine="157" w:firstLineChars="49"/>
        <w:rPr>
          <w:rFonts w:ascii="黑体" w:hAnsi="黑体" w:eastAsia="黑体"/>
          <w:b/>
          <w:sz w:val="32"/>
          <w:szCs w:val="32"/>
        </w:rPr>
      </w:pPr>
    </w:p>
    <w:p w14:paraId="6F5EE51C">
      <w:pPr>
        <w:pStyle w:val="10"/>
        <w:adjustRightInd w:val="0"/>
        <w:snapToGrid w:val="0"/>
        <w:spacing w:line="360" w:lineRule="auto"/>
        <w:ind w:left="846" w:leftChars="403" w:firstLine="157" w:firstLineChars="49"/>
        <w:rPr>
          <w:rFonts w:ascii="黑体" w:hAnsi="黑体" w:eastAsia="黑体"/>
          <w:b/>
          <w:sz w:val="32"/>
          <w:szCs w:val="32"/>
        </w:rPr>
      </w:pPr>
    </w:p>
    <w:p w14:paraId="268867B9">
      <w:pPr>
        <w:pStyle w:val="10"/>
        <w:adjustRightInd w:val="0"/>
        <w:snapToGrid w:val="0"/>
        <w:spacing w:line="360" w:lineRule="auto"/>
        <w:ind w:left="846" w:leftChars="403" w:firstLine="157" w:firstLineChars="49"/>
        <w:rPr>
          <w:rFonts w:ascii="黑体" w:hAnsi="黑体" w:eastAsia="黑体"/>
          <w:b/>
          <w:sz w:val="32"/>
          <w:szCs w:val="32"/>
        </w:rPr>
      </w:pPr>
    </w:p>
    <w:p w14:paraId="59FFE41F">
      <w:pPr>
        <w:pStyle w:val="39"/>
        <w:ind w:firstLine="320" w:firstLineChars="100"/>
        <w:jc w:val="both"/>
        <w:rPr>
          <w:rFonts w:ascii="黑体" w:hAnsi="黑体" w:eastAsia="黑体"/>
          <w:kern w:val="0"/>
          <w:sz w:val="32"/>
          <w:szCs w:val="32"/>
        </w:rPr>
      </w:pPr>
      <w:r>
        <w:rPr>
          <w:rFonts w:ascii="黑体" w:hAnsi="黑体" w:eastAsia="黑体"/>
          <w:sz w:val="32"/>
          <w:szCs w:val="32"/>
        </w:rPr>
        <w:t>采购项目名称：</w:t>
      </w:r>
      <w:bookmarkStart w:id="0" w:name="_Hlk219192740"/>
      <w:bookmarkStart w:id="11" w:name="_GoBack"/>
      <w:r>
        <w:rPr>
          <w:rFonts w:hint="eastAsia" w:ascii="黑体" w:hAnsi="黑体" w:eastAsia="黑体"/>
          <w:sz w:val="32"/>
          <w:szCs w:val="32"/>
        </w:rPr>
        <w:t>“</w:t>
      </w:r>
      <w:r>
        <w:rPr>
          <w:rFonts w:hint="eastAsia" w:ascii="黑体" w:hAnsi="黑体" w:eastAsia="黑体"/>
          <w:kern w:val="0"/>
          <w:sz w:val="32"/>
          <w:szCs w:val="32"/>
        </w:rPr>
        <w:t>永磁同步电机模型预测控制”专著出版</w:t>
      </w:r>
      <w:bookmarkEnd w:id="0"/>
      <w:bookmarkEnd w:id="11"/>
    </w:p>
    <w:p w14:paraId="48DF50C7">
      <w:pPr>
        <w:pStyle w:val="10"/>
        <w:adjustRightInd w:val="0"/>
        <w:snapToGrid w:val="0"/>
        <w:spacing w:before="156" w:beforeLines="50" w:after="156" w:afterLines="50"/>
        <w:ind w:left="2559" w:leftChars="152" w:hanging="2240" w:hangingChars="700"/>
        <w:rPr>
          <w:rFonts w:ascii="黑体" w:hAnsi="黑体" w:eastAsia="黑体"/>
          <w:sz w:val="32"/>
          <w:szCs w:val="32"/>
        </w:rPr>
      </w:pPr>
    </w:p>
    <w:p w14:paraId="3A2AC220">
      <w:pPr>
        <w:pStyle w:val="10"/>
        <w:adjustRightInd w:val="0"/>
        <w:snapToGrid w:val="0"/>
        <w:spacing w:before="156" w:beforeLines="50" w:after="156" w:afterLines="50" w:line="360" w:lineRule="auto"/>
        <w:ind w:firstLine="320" w:firstLineChars="100"/>
        <w:rPr>
          <w:rFonts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15662BAE">
      <w:pPr>
        <w:pStyle w:val="10"/>
        <w:adjustRightInd w:val="0"/>
        <w:snapToGrid w:val="0"/>
        <w:spacing w:line="440" w:lineRule="exact"/>
        <w:jc w:val="center"/>
        <w:rPr>
          <w:rFonts w:ascii="黑体" w:hAnsi="黑体" w:eastAsia="黑体"/>
          <w:b/>
          <w:sz w:val="32"/>
        </w:rPr>
      </w:pPr>
    </w:p>
    <w:p w14:paraId="0BA674D3">
      <w:pPr>
        <w:pStyle w:val="10"/>
        <w:adjustRightInd w:val="0"/>
        <w:snapToGrid w:val="0"/>
        <w:spacing w:line="440" w:lineRule="exact"/>
        <w:jc w:val="center"/>
        <w:rPr>
          <w:rFonts w:ascii="黑体" w:hAnsi="黑体" w:eastAsia="黑体"/>
          <w:b/>
          <w:sz w:val="32"/>
        </w:rPr>
      </w:pPr>
    </w:p>
    <w:p w14:paraId="0BDC887D">
      <w:pPr>
        <w:pStyle w:val="10"/>
        <w:adjustRightInd w:val="0"/>
        <w:snapToGrid w:val="0"/>
        <w:spacing w:line="440" w:lineRule="exact"/>
        <w:jc w:val="center"/>
        <w:rPr>
          <w:rFonts w:ascii="黑体" w:hAnsi="黑体" w:eastAsia="黑体"/>
          <w:b/>
          <w:sz w:val="32"/>
        </w:rPr>
      </w:pPr>
    </w:p>
    <w:p w14:paraId="266CE1FA">
      <w:pPr>
        <w:pStyle w:val="10"/>
        <w:adjustRightInd w:val="0"/>
        <w:snapToGrid w:val="0"/>
        <w:spacing w:line="440" w:lineRule="exact"/>
        <w:jc w:val="center"/>
        <w:rPr>
          <w:rFonts w:ascii="黑体" w:hAnsi="黑体" w:eastAsia="黑体"/>
          <w:b/>
          <w:sz w:val="32"/>
        </w:rPr>
      </w:pPr>
    </w:p>
    <w:p w14:paraId="3A2600FF">
      <w:pPr>
        <w:pStyle w:val="10"/>
        <w:adjustRightInd w:val="0"/>
        <w:snapToGrid w:val="0"/>
        <w:spacing w:line="440" w:lineRule="exact"/>
        <w:jc w:val="center"/>
        <w:rPr>
          <w:rFonts w:ascii="黑体" w:hAnsi="黑体" w:eastAsia="黑体"/>
          <w:b/>
          <w:sz w:val="32"/>
        </w:rPr>
      </w:pPr>
    </w:p>
    <w:p w14:paraId="5F0113EC">
      <w:pPr>
        <w:pStyle w:val="10"/>
        <w:adjustRightInd w:val="0"/>
        <w:snapToGrid w:val="0"/>
        <w:spacing w:line="440" w:lineRule="exact"/>
        <w:jc w:val="center"/>
        <w:rPr>
          <w:rFonts w:ascii="黑体" w:hAnsi="黑体" w:eastAsia="黑体"/>
          <w:b/>
          <w:sz w:val="32"/>
        </w:rPr>
      </w:pPr>
    </w:p>
    <w:p w14:paraId="4766240B">
      <w:pPr>
        <w:pStyle w:val="10"/>
        <w:adjustRightInd w:val="0"/>
        <w:snapToGrid w:val="0"/>
        <w:spacing w:line="440" w:lineRule="exact"/>
        <w:jc w:val="center"/>
        <w:rPr>
          <w:rFonts w:ascii="黑体" w:hAnsi="黑体" w:eastAsia="黑体"/>
          <w:b/>
          <w:sz w:val="32"/>
        </w:rPr>
      </w:pPr>
    </w:p>
    <w:p w14:paraId="348195A2">
      <w:pPr>
        <w:pStyle w:val="10"/>
        <w:adjustRightInd w:val="0"/>
        <w:snapToGrid w:val="0"/>
        <w:spacing w:line="440" w:lineRule="exact"/>
        <w:jc w:val="center"/>
        <w:rPr>
          <w:rFonts w:ascii="黑体" w:hAnsi="黑体" w:eastAsia="黑体"/>
          <w:b/>
          <w:sz w:val="32"/>
        </w:rPr>
      </w:pPr>
    </w:p>
    <w:p w14:paraId="6A56474F">
      <w:pPr>
        <w:pStyle w:val="10"/>
        <w:adjustRightInd w:val="0"/>
        <w:snapToGrid w:val="0"/>
        <w:spacing w:line="440" w:lineRule="exact"/>
        <w:jc w:val="center"/>
        <w:rPr>
          <w:rFonts w:ascii="黑体" w:hAnsi="黑体" w:eastAsia="黑体"/>
          <w:b/>
          <w:sz w:val="32"/>
        </w:rPr>
      </w:pPr>
    </w:p>
    <w:p w14:paraId="0AFA8B47">
      <w:pPr>
        <w:spacing w:line="360" w:lineRule="auto"/>
        <w:jc w:val="center"/>
        <w:rPr>
          <w:rFonts w:ascii="黑体" w:hAnsi="黑体" w:eastAsia="黑体"/>
          <w:sz w:val="32"/>
          <w:szCs w:val="32"/>
        </w:rPr>
      </w:pPr>
      <w:r>
        <w:rPr>
          <w:rFonts w:hint="eastAsia" w:ascii="黑体" w:hAnsi="黑体" w:eastAsia="黑体"/>
          <w:sz w:val="32"/>
          <w:szCs w:val="32"/>
        </w:rPr>
        <w:t>二0二六</w:t>
      </w:r>
      <w:r>
        <w:rPr>
          <w:rFonts w:ascii="黑体" w:hAnsi="黑体" w:eastAsia="黑体"/>
          <w:sz w:val="32"/>
          <w:szCs w:val="32"/>
        </w:rPr>
        <w:t>年</w:t>
      </w:r>
      <w:r>
        <w:rPr>
          <w:rFonts w:hint="eastAsia" w:ascii="黑体" w:hAnsi="黑体" w:eastAsia="黑体"/>
          <w:sz w:val="32"/>
          <w:szCs w:val="32"/>
        </w:rPr>
        <w:t>一</w:t>
      </w:r>
      <w:r>
        <w:rPr>
          <w:rFonts w:ascii="黑体" w:hAnsi="黑体" w:eastAsia="黑体"/>
          <w:sz w:val="32"/>
          <w:szCs w:val="32"/>
        </w:rPr>
        <w:t>月</w:t>
      </w:r>
    </w:p>
    <w:p w14:paraId="48BDD3A5">
      <w:pPr>
        <w:pStyle w:val="15"/>
      </w:pPr>
    </w:p>
    <w:p w14:paraId="356D4B44">
      <w:pPr>
        <w:pStyle w:val="15"/>
        <w:rPr>
          <w:szCs w:val="22"/>
        </w:rPr>
      </w:pPr>
    </w:p>
    <w:p w14:paraId="3CED3FE0">
      <w:pPr>
        <w:jc w:val="center"/>
        <w:outlineLvl w:val="0"/>
        <w:rPr>
          <w:rFonts w:hint="eastAsia" w:ascii="黑体" w:hAnsi="黑体" w:eastAsia="黑体"/>
          <w:b/>
          <w:sz w:val="36"/>
          <w:szCs w:val="36"/>
        </w:rPr>
      </w:pPr>
      <w:r>
        <w:rPr>
          <w:rFonts w:hint="eastAsia" w:ascii="黑体" w:hAnsi="黑体" w:eastAsia="黑体"/>
          <w:b/>
          <w:sz w:val="36"/>
          <w:szCs w:val="36"/>
        </w:rPr>
        <w:t>湖南铁道职业技术学院“永磁同步电机模型预测控制”专著出版项目询比采购公告</w:t>
      </w:r>
    </w:p>
    <w:p w14:paraId="74B85BD9">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ascii="仿宋" w:hAnsi="仿宋" w:eastAsia="仿宋"/>
          <w:sz w:val="24"/>
          <w:szCs w:val="24"/>
        </w:rPr>
        <w:t>湖南铁道职业技术学院</w:t>
      </w:r>
      <w:r>
        <w:rPr>
          <w:rFonts w:hint="eastAsia" w:ascii="仿宋" w:hAnsi="仿宋" w:eastAsia="仿宋"/>
          <w:sz w:val="24"/>
          <w:szCs w:val="24"/>
          <w:u w:val="none"/>
        </w:rPr>
        <w:t>“永磁同步电机模型预测控制”专著出版项</w:t>
      </w:r>
      <w:r>
        <w:rPr>
          <w:rFonts w:hint="eastAsia" w:ascii="仿宋" w:hAnsi="仿宋" w:eastAsia="仿宋"/>
          <w:sz w:val="24"/>
          <w:szCs w:val="24"/>
        </w:rPr>
        <w:t>目需进行采购，现采用发布公告方式，邀请符合资格条件的供应商参与采购活动。</w:t>
      </w:r>
    </w:p>
    <w:p w14:paraId="5FA88E1D">
      <w:pPr>
        <w:snapToGrid w:val="0"/>
        <w:spacing w:line="360" w:lineRule="auto"/>
        <w:ind w:firstLine="482" w:firstLineChars="200"/>
        <w:jc w:val="left"/>
        <w:rPr>
          <w:rFonts w:ascii="仿宋" w:hAnsi="仿宋" w:eastAsia="仿宋" w:cs="仿宋"/>
          <w:b/>
          <w:bCs/>
          <w:color w:val="333333"/>
          <w:kern w:val="0"/>
          <w:sz w:val="24"/>
          <w:szCs w:val="24"/>
        </w:rPr>
      </w:pPr>
      <w:bookmarkStart w:id="1" w:name="_Toc4659"/>
      <w:bookmarkStart w:id="2" w:name="_Toc3564"/>
      <w:bookmarkStart w:id="3" w:name="_Toc26475"/>
      <w:bookmarkStart w:id="4" w:name="_Toc31662_WPSOffice_Level2"/>
      <w:bookmarkStart w:id="5" w:name="_Toc17794_WPSOffice_Level2"/>
      <w:r>
        <w:rPr>
          <w:rFonts w:hint="eastAsia" w:ascii="仿宋" w:hAnsi="仿宋" w:eastAsia="仿宋" w:cs="仿宋"/>
          <w:b/>
          <w:bCs/>
          <w:color w:val="333333"/>
          <w:kern w:val="0"/>
          <w:sz w:val="24"/>
          <w:szCs w:val="24"/>
        </w:rPr>
        <w:t>一、采购项目基本情况</w:t>
      </w:r>
      <w:bookmarkEnd w:id="1"/>
      <w:bookmarkEnd w:id="2"/>
      <w:bookmarkEnd w:id="3"/>
      <w:bookmarkEnd w:id="4"/>
      <w:bookmarkEnd w:id="5"/>
    </w:p>
    <w:p w14:paraId="6060D928">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1.项目名称：“永磁同步电机模型预测控制”专著出版项目</w:t>
      </w:r>
    </w:p>
    <w:p w14:paraId="7E77BF93">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2.项目概况:为固化永磁同步电机模型预测控制研究成果，进行推广应用，拟出版“永磁同步电机模型预测控制”专著。</w:t>
      </w:r>
    </w:p>
    <w:p w14:paraId="042EE248">
      <w:pPr>
        <w:spacing w:line="360" w:lineRule="auto"/>
        <w:ind w:firstLine="420"/>
        <w:rPr>
          <w:rFonts w:hint="eastAsia" w:ascii="仿宋" w:hAnsi="仿宋" w:eastAsia="仿宋"/>
          <w:sz w:val="24"/>
          <w:szCs w:val="24"/>
        </w:rPr>
      </w:pPr>
      <w:r>
        <w:rPr>
          <w:rFonts w:hint="eastAsia" w:ascii="仿宋" w:hAnsi="仿宋" w:eastAsia="仿宋"/>
          <w:sz w:val="24"/>
          <w:szCs w:val="24"/>
        </w:rPr>
        <w:t>3.服务内容：</w:t>
      </w:r>
    </w:p>
    <w:p w14:paraId="4EEA3ED4">
      <w:pPr>
        <w:spacing w:line="360" w:lineRule="auto"/>
        <w:ind w:firstLine="42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1.供应商应安排资深编辑提供图书编写技术指导、图书出版程序等方面的出版咨询服务。</w:t>
      </w:r>
    </w:p>
    <w:p w14:paraId="1BAA7F4E">
      <w:pPr>
        <w:spacing w:line="360" w:lineRule="auto"/>
        <w:ind w:firstLine="42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2.提供纸质图书出版服务（含书稿的封面与版式设计、编辑、校对、排版、印刷等），使用1个标准书号，书号能在中国国家版本馆数据库查询。</w:t>
      </w:r>
    </w:p>
    <w:p w14:paraId="5E8252F8">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sz w:val="24"/>
          <w:szCs w:val="24"/>
          <w:lang w:val="en-US" w:eastAsia="zh-CN"/>
        </w:rPr>
        <w:t>4.9</w:t>
      </w:r>
      <w:r>
        <w:rPr>
          <w:rFonts w:ascii="仿宋" w:hAnsi="仿宋" w:eastAsia="仿宋"/>
          <w:sz w:val="24"/>
          <w:szCs w:val="24"/>
        </w:rPr>
        <w:t>万元</w:t>
      </w:r>
    </w:p>
    <w:p w14:paraId="48B5D799">
      <w:pPr>
        <w:pStyle w:val="15"/>
        <w:snapToGrid w:val="0"/>
        <w:spacing w:before="0" w:beforeAutospacing="0" w:after="0" w:line="360" w:lineRule="auto"/>
        <w:ind w:left="0" w:leftChars="0" w:firstLine="482" w:firstLineChars="200"/>
        <w:jc w:val="left"/>
        <w:rPr>
          <w:rFonts w:ascii="仿宋" w:hAnsi="仿宋" w:eastAsia="仿宋"/>
          <w:b/>
          <w:bCs/>
          <w:sz w:val="24"/>
          <w:szCs w:val="24"/>
        </w:rPr>
      </w:pPr>
      <w:r>
        <w:rPr>
          <w:rFonts w:hint="eastAsia" w:ascii="仿宋" w:hAnsi="仿宋" w:eastAsia="仿宋"/>
          <w:b/>
          <w:bCs/>
          <w:sz w:val="24"/>
          <w:szCs w:val="24"/>
        </w:rPr>
        <w:t>二、投标人资格要求</w:t>
      </w:r>
    </w:p>
    <w:p w14:paraId="031CEAD1">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07690C6D">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（1）具有独立承担民事责任的能力；</w:t>
      </w:r>
    </w:p>
    <w:p w14:paraId="640E636D">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（2）具有良好的商业信誉和健全的财务会计制度；</w:t>
      </w:r>
    </w:p>
    <w:p w14:paraId="1709356A">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（3）具有履行合同所必需的设备和专业技术能力；</w:t>
      </w:r>
    </w:p>
    <w:p w14:paraId="5752F27B">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（4）有依法缴纳税收的良好记录；</w:t>
      </w:r>
    </w:p>
    <w:p w14:paraId="242D43C2">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（5）参加采购活动前三年内，在经营活动中没有重大违法记录；</w:t>
      </w:r>
    </w:p>
    <w:p w14:paraId="778D329A">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（6）法律、行政法规规定的其他条件。</w:t>
      </w:r>
    </w:p>
    <w:p w14:paraId="7EDB48EF">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2、特定资格条件：投标人应具备国家新闻出版署颁发的图书出版许可证。</w:t>
      </w:r>
    </w:p>
    <w:p w14:paraId="3D89F6EE">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3、不接受联合体投标，不允许以任何名义进行转包和分包。</w:t>
      </w:r>
    </w:p>
    <w:p w14:paraId="70D2D6E9">
      <w:pPr>
        <w:pStyle w:val="15"/>
        <w:snapToGrid w:val="0"/>
        <w:spacing w:before="0" w:beforeAutospacing="0" w:after="0" w:line="360" w:lineRule="auto"/>
        <w:ind w:left="0" w:leftChars="0" w:firstLine="482" w:firstLineChars="200"/>
        <w:jc w:val="left"/>
        <w:rPr>
          <w:rFonts w:ascii="仿宋" w:hAnsi="仿宋" w:eastAsia="仿宋"/>
          <w:b/>
          <w:bCs/>
          <w:sz w:val="24"/>
          <w:szCs w:val="24"/>
        </w:rPr>
      </w:pPr>
      <w:bookmarkStart w:id="6" w:name="_Toc58335831"/>
      <w:r>
        <w:rPr>
          <w:rFonts w:hint="eastAsia" w:ascii="仿宋" w:hAnsi="仿宋" w:eastAsia="仿宋"/>
          <w:b/>
          <w:bCs/>
          <w:sz w:val="24"/>
          <w:szCs w:val="24"/>
        </w:rPr>
        <w:t>三、响应文件提交的截止时间、开启时间及地点</w:t>
      </w:r>
      <w:bookmarkEnd w:id="6"/>
    </w:p>
    <w:p w14:paraId="638B894D">
      <w:pPr>
        <w:pStyle w:val="15"/>
        <w:snapToGrid w:val="0"/>
        <w:spacing w:before="0" w:beforeAutospacing="0" w:after="0" w:line="360" w:lineRule="auto"/>
        <w:ind w:left="0" w:leftChars="0" w:firstLine="480" w:firstLineChars="200"/>
        <w:jc w:val="left"/>
        <w:rPr>
          <w:rFonts w:ascii="仿宋" w:hAnsi="仿宋" w:eastAsia="仿宋"/>
          <w:sz w:val="24"/>
          <w:szCs w:val="24"/>
          <w:highlight w:val="none"/>
        </w:rPr>
      </w:pPr>
      <w:r>
        <w:rPr>
          <w:rFonts w:hint="eastAsia" w:ascii="仿宋" w:hAnsi="仿宋" w:eastAsia="仿宋"/>
          <w:sz w:val="24"/>
          <w:szCs w:val="24"/>
          <w:highlight w:val="none"/>
        </w:rPr>
        <w:t>1．首次响应文件的提交截止时间：202</w:t>
      </w:r>
      <w:r>
        <w:rPr>
          <w:rFonts w:ascii="仿宋" w:hAnsi="仿宋" w:eastAsia="仿宋"/>
          <w:sz w:val="24"/>
          <w:szCs w:val="24"/>
          <w:highlight w:val="none"/>
        </w:rPr>
        <w:t>6</w:t>
      </w:r>
      <w:r>
        <w:rPr>
          <w:rFonts w:hint="eastAsia" w:ascii="仿宋" w:hAnsi="仿宋" w:eastAsia="仿宋"/>
          <w:sz w:val="24"/>
          <w:szCs w:val="24"/>
          <w:highlight w:val="none"/>
        </w:rPr>
        <w:t>年1月</w:t>
      </w:r>
      <w:r>
        <w:rPr>
          <w:rFonts w:hint="eastAsia" w:ascii="仿宋" w:hAnsi="仿宋" w:eastAsia="仿宋"/>
          <w:sz w:val="24"/>
          <w:szCs w:val="24"/>
          <w:highlight w:val="none"/>
          <w:lang w:val="en-US" w:eastAsia="zh-CN"/>
        </w:rPr>
        <w:t>22</w:t>
      </w:r>
      <w:r>
        <w:rPr>
          <w:rFonts w:hint="eastAsia" w:ascii="仿宋" w:hAnsi="仿宋" w:eastAsia="仿宋"/>
          <w:sz w:val="24"/>
          <w:szCs w:val="24"/>
          <w:highlight w:val="none"/>
        </w:rPr>
        <w:t>日</w:t>
      </w:r>
      <w:r>
        <w:rPr>
          <w:rFonts w:hint="eastAsia" w:ascii="仿宋" w:hAnsi="仿宋" w:eastAsia="仿宋"/>
          <w:sz w:val="24"/>
          <w:szCs w:val="24"/>
          <w:highlight w:val="none"/>
          <w:lang w:val="en-US" w:eastAsia="zh-CN"/>
        </w:rPr>
        <w:t>10</w:t>
      </w:r>
      <w:r>
        <w:rPr>
          <w:rFonts w:hint="eastAsia" w:ascii="仿宋" w:hAnsi="仿宋" w:eastAsia="仿宋"/>
          <w:sz w:val="24"/>
          <w:szCs w:val="24"/>
          <w:highlight w:val="none"/>
        </w:rPr>
        <w:t>时</w:t>
      </w:r>
    </w:p>
    <w:p w14:paraId="7B1F3519">
      <w:pPr>
        <w:pStyle w:val="15"/>
        <w:snapToGrid w:val="0"/>
        <w:spacing w:before="0" w:beforeAutospacing="0" w:after="0" w:line="360" w:lineRule="auto"/>
        <w:ind w:left="0" w:leftChars="0" w:firstLine="480" w:firstLineChars="200"/>
        <w:jc w:val="left"/>
        <w:rPr>
          <w:rFonts w:ascii="仿宋" w:hAnsi="仿宋" w:eastAsia="仿宋"/>
          <w:sz w:val="24"/>
          <w:szCs w:val="24"/>
          <w:highlight w:val="none"/>
        </w:rPr>
      </w:pPr>
      <w:r>
        <w:rPr>
          <w:rFonts w:hint="eastAsia" w:ascii="仿宋" w:hAnsi="仿宋" w:eastAsia="仿宋"/>
          <w:sz w:val="24"/>
          <w:szCs w:val="24"/>
          <w:highlight w:val="none"/>
        </w:rPr>
        <w:t>2．首次响应文件的开启时间：202</w:t>
      </w:r>
      <w:r>
        <w:rPr>
          <w:rFonts w:ascii="仿宋" w:hAnsi="仿宋" w:eastAsia="仿宋"/>
          <w:sz w:val="24"/>
          <w:szCs w:val="24"/>
          <w:highlight w:val="none"/>
        </w:rPr>
        <w:t>6</w:t>
      </w:r>
      <w:r>
        <w:rPr>
          <w:rFonts w:hint="eastAsia" w:ascii="仿宋" w:hAnsi="仿宋" w:eastAsia="仿宋"/>
          <w:sz w:val="24"/>
          <w:szCs w:val="24"/>
          <w:highlight w:val="none"/>
        </w:rPr>
        <w:t>年</w:t>
      </w:r>
      <w:r>
        <w:rPr>
          <w:rFonts w:ascii="仿宋" w:hAnsi="仿宋" w:eastAsia="仿宋"/>
          <w:sz w:val="24"/>
          <w:szCs w:val="24"/>
          <w:highlight w:val="none"/>
        </w:rPr>
        <w:t>1</w:t>
      </w:r>
      <w:r>
        <w:rPr>
          <w:rFonts w:hint="eastAsia" w:ascii="仿宋" w:hAnsi="仿宋" w:eastAsia="仿宋"/>
          <w:sz w:val="24"/>
          <w:szCs w:val="24"/>
          <w:highlight w:val="none"/>
        </w:rPr>
        <w:t>月</w:t>
      </w:r>
      <w:r>
        <w:rPr>
          <w:rFonts w:hint="eastAsia" w:ascii="仿宋" w:hAnsi="仿宋" w:eastAsia="仿宋"/>
          <w:sz w:val="24"/>
          <w:szCs w:val="24"/>
          <w:highlight w:val="none"/>
          <w:lang w:val="en-US" w:eastAsia="zh-CN"/>
        </w:rPr>
        <w:t>22</w:t>
      </w:r>
      <w:r>
        <w:rPr>
          <w:rFonts w:hint="eastAsia" w:ascii="仿宋" w:hAnsi="仿宋" w:eastAsia="仿宋"/>
          <w:sz w:val="24"/>
          <w:szCs w:val="24"/>
          <w:highlight w:val="none"/>
        </w:rPr>
        <w:t>日</w:t>
      </w:r>
      <w:r>
        <w:rPr>
          <w:rFonts w:hint="eastAsia" w:ascii="仿宋" w:hAnsi="仿宋" w:eastAsia="仿宋"/>
          <w:sz w:val="24"/>
          <w:szCs w:val="24"/>
          <w:highlight w:val="none"/>
          <w:lang w:val="en-US" w:eastAsia="zh-CN"/>
        </w:rPr>
        <w:t>10</w:t>
      </w:r>
      <w:r>
        <w:rPr>
          <w:rFonts w:hint="eastAsia" w:ascii="仿宋" w:hAnsi="仿宋" w:eastAsia="仿宋"/>
          <w:sz w:val="24"/>
          <w:szCs w:val="24"/>
          <w:highlight w:val="none"/>
        </w:rPr>
        <w:t>时</w:t>
      </w:r>
    </w:p>
    <w:p w14:paraId="7744F006">
      <w:pPr>
        <w:pStyle w:val="15"/>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3．首次响应文件的开启地点：湖南铁道职业技术学院</w:t>
      </w:r>
    </w:p>
    <w:p w14:paraId="2AB8FE68">
      <w:pPr>
        <w:pStyle w:val="3"/>
        <w:snapToGrid w:val="0"/>
        <w:spacing w:before="0" w:after="0" w:line="360" w:lineRule="auto"/>
        <w:ind w:firstLine="470" w:firstLineChars="195"/>
        <w:jc w:val="left"/>
        <w:rPr>
          <w:rFonts w:ascii="仿宋" w:hAnsi="仿宋" w:eastAsia="仿宋" w:cs="宋体"/>
          <w:bCs w:val="0"/>
          <w:kern w:val="0"/>
          <w:sz w:val="24"/>
          <w:szCs w:val="24"/>
        </w:rPr>
      </w:pPr>
      <w:bookmarkStart w:id="7" w:name="_Toc58335832"/>
      <w:r>
        <w:rPr>
          <w:rFonts w:hint="eastAsia" w:ascii="仿宋" w:hAnsi="仿宋" w:eastAsia="仿宋" w:cs="宋体"/>
          <w:bCs w:val="0"/>
          <w:kern w:val="0"/>
          <w:sz w:val="24"/>
          <w:szCs w:val="24"/>
        </w:rPr>
        <w:t>四、公告期限</w:t>
      </w:r>
      <w:bookmarkEnd w:id="7"/>
    </w:p>
    <w:p w14:paraId="1604A8BC">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4BC9FCAD">
      <w:pPr>
        <w:pStyle w:val="3"/>
        <w:snapToGrid w:val="0"/>
        <w:spacing w:before="0" w:after="0" w:line="360" w:lineRule="auto"/>
        <w:ind w:firstLine="470" w:firstLineChars="195"/>
        <w:jc w:val="left"/>
        <w:rPr>
          <w:rFonts w:ascii="仿宋" w:hAnsi="仿宋" w:eastAsia="仿宋" w:cs="宋体"/>
          <w:bCs w:val="0"/>
          <w:kern w:val="0"/>
          <w:sz w:val="24"/>
          <w:szCs w:val="24"/>
        </w:rPr>
      </w:pPr>
      <w:bookmarkStart w:id="8" w:name="_Toc58335833"/>
      <w:r>
        <w:rPr>
          <w:rFonts w:hint="eastAsia" w:ascii="仿宋" w:hAnsi="仿宋" w:eastAsia="仿宋" w:cs="宋体"/>
          <w:bCs w:val="0"/>
          <w:kern w:val="0"/>
          <w:sz w:val="24"/>
          <w:szCs w:val="24"/>
        </w:rPr>
        <w:t>五、疑问及质疑</w:t>
      </w:r>
      <w:bookmarkEnd w:id="8"/>
    </w:p>
    <w:p w14:paraId="1EEF6486">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60F01CD4">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768EDB09">
      <w:pPr>
        <w:pStyle w:val="3"/>
        <w:snapToGrid w:val="0"/>
        <w:spacing w:before="0" w:after="0" w:line="360" w:lineRule="auto"/>
        <w:ind w:firstLine="470" w:firstLineChars="195"/>
        <w:jc w:val="left"/>
        <w:rPr>
          <w:rFonts w:ascii="仿宋" w:hAnsi="仿宋" w:eastAsia="仿宋" w:cs="宋体"/>
          <w:bCs w:val="0"/>
          <w:kern w:val="0"/>
          <w:sz w:val="24"/>
          <w:szCs w:val="24"/>
        </w:rPr>
      </w:pPr>
      <w:bookmarkStart w:id="9" w:name="_Toc58335834"/>
      <w:r>
        <w:rPr>
          <w:rFonts w:hint="eastAsia" w:ascii="仿宋" w:hAnsi="仿宋" w:eastAsia="仿宋" w:cs="宋体"/>
          <w:bCs w:val="0"/>
          <w:kern w:val="0"/>
          <w:sz w:val="24"/>
          <w:szCs w:val="24"/>
        </w:rPr>
        <w:t>六、采购项目联系人姓名和电话</w:t>
      </w:r>
      <w:bookmarkEnd w:id="9"/>
    </w:p>
    <w:p w14:paraId="6175E94B">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1．采购项目</w:t>
      </w:r>
    </w:p>
    <w:p w14:paraId="0383DA5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联系人姓名：胡老师</w:t>
      </w:r>
    </w:p>
    <w:p w14:paraId="745CB56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电 话：</w:t>
      </w:r>
      <w:bookmarkStart w:id="10" w:name="_Hlk186731053"/>
      <w:r>
        <w:rPr>
          <w:rFonts w:hint="eastAsia" w:ascii="仿宋" w:hAnsi="仿宋" w:eastAsia="仿宋" w:cstheme="minorEastAsia"/>
          <w:sz w:val="24"/>
          <w:szCs w:val="24"/>
        </w:rPr>
        <w:t>0731-</w:t>
      </w:r>
      <w:bookmarkEnd w:id="10"/>
      <w:r>
        <w:rPr>
          <w:rFonts w:hint="eastAsia" w:ascii="仿宋" w:hAnsi="仿宋" w:eastAsia="仿宋" w:cstheme="minorEastAsia"/>
          <w:sz w:val="24"/>
          <w:szCs w:val="24"/>
        </w:rPr>
        <w:t>22783917</w:t>
      </w:r>
    </w:p>
    <w:p w14:paraId="23A893FA">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2．采购人</w:t>
      </w:r>
    </w:p>
    <w:p w14:paraId="1541AA06">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1324779B">
      <w:pPr>
        <w:ind w:firstLine="480" w:firstLineChars="200"/>
        <w:rPr>
          <w:rFonts w:ascii="仿宋" w:hAnsi="仿宋" w:eastAsia="仿宋" w:cstheme="minorEastAsia"/>
          <w:sz w:val="24"/>
          <w:szCs w:val="24"/>
        </w:rPr>
      </w:pPr>
      <w:r>
        <w:rPr>
          <w:rFonts w:hint="eastAsia" w:ascii="仿宋" w:hAnsi="仿宋" w:eastAsia="仿宋" w:cstheme="minorEastAsia"/>
          <w:sz w:val="24"/>
          <w:szCs w:val="24"/>
        </w:rPr>
        <w:t>地 址：株洲市石峰区田心路18号</w:t>
      </w:r>
    </w:p>
    <w:p w14:paraId="790D3D76">
      <w:pPr>
        <w:pStyle w:val="15"/>
      </w:pPr>
    </w:p>
    <w:p w14:paraId="0BFBD500"/>
    <w:p w14:paraId="572721A9">
      <w:pPr>
        <w:pStyle w:val="15"/>
      </w:pPr>
    </w:p>
    <w:p w14:paraId="1343473C"/>
    <w:p w14:paraId="6EF515AB">
      <w:pPr>
        <w:pStyle w:val="15"/>
        <w:ind w:left="0" w:leftChars="0" w:firstLine="0"/>
        <w:rPr>
          <w:szCs w:val="22"/>
        </w:rPr>
      </w:pPr>
    </w:p>
    <w:p w14:paraId="06D4F699"/>
    <w:p w14:paraId="4B4D2D3E"/>
    <w:p w14:paraId="6ACD818E">
      <w:pPr>
        <w:pStyle w:val="7"/>
        <w:rPr>
          <w:szCs w:val="22"/>
        </w:rPr>
      </w:pPr>
    </w:p>
    <w:p w14:paraId="68F02336"/>
    <w:p w14:paraId="5F83CDEB">
      <w:pPr>
        <w:pStyle w:val="7"/>
        <w:rPr>
          <w:szCs w:val="22"/>
        </w:rPr>
      </w:pPr>
    </w:p>
    <w:p w14:paraId="5E7FA183"/>
    <w:p w14:paraId="61640311">
      <w:pPr>
        <w:pStyle w:val="7"/>
        <w:rPr>
          <w:szCs w:val="22"/>
        </w:rPr>
      </w:pPr>
    </w:p>
    <w:p w14:paraId="684D0F67">
      <w:pPr>
        <w:pStyle w:val="15"/>
        <w:ind w:left="0" w:leftChars="0" w:firstLine="0"/>
        <w:rPr>
          <w:rFonts w:ascii="仿宋" w:hAnsi="仿宋" w:eastAsia="仿宋"/>
          <w:b/>
          <w:sz w:val="36"/>
          <w:szCs w:val="36"/>
        </w:rPr>
      </w:pPr>
    </w:p>
    <w:p w14:paraId="611302C1">
      <w:pPr>
        <w:pStyle w:val="15"/>
        <w:ind w:left="0" w:leftChars="0" w:firstLine="0"/>
        <w:jc w:val="center"/>
        <w:rPr>
          <w:rFonts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ascii="仿宋" w:hAnsi="仿宋" w:eastAsia="仿宋" w:cs="仿宋"/>
          <w:color w:val="333333"/>
          <w:kern w:val="0"/>
          <w:sz w:val="24"/>
          <w:szCs w:val="24"/>
          <w:u w:val="none"/>
        </w:rPr>
      </w:pPr>
      <w:r>
        <w:rPr>
          <w:rFonts w:hint="eastAsia" w:ascii="仿宋" w:hAnsi="仿宋" w:eastAsia="仿宋" w:cs="仿宋"/>
          <w:color w:val="333333"/>
          <w:kern w:val="0"/>
          <w:sz w:val="24"/>
          <w:szCs w:val="24"/>
        </w:rPr>
        <w:t>1．项目名称：</w:t>
      </w:r>
      <w:r>
        <w:rPr>
          <w:rFonts w:hint="eastAsia" w:ascii="仿宋" w:hAnsi="仿宋" w:eastAsia="仿宋" w:cs="仿宋"/>
          <w:color w:val="333333"/>
          <w:kern w:val="0"/>
          <w:sz w:val="24"/>
          <w:szCs w:val="24"/>
          <w:u w:val="none"/>
        </w:rPr>
        <w:t>《永磁同步电机模型预测控制》专著出版项目</w:t>
      </w:r>
    </w:p>
    <w:p w14:paraId="5A3630E4">
      <w:pPr>
        <w:pStyle w:val="40"/>
        <w:adjustRightInd w:val="0"/>
        <w:snapToGrid w:val="0"/>
        <w:spacing w:line="360" w:lineRule="auto"/>
        <w:ind w:firstLine="480"/>
        <w:rPr>
          <w:rFonts w:ascii="仿宋" w:hAnsi="仿宋" w:eastAsia="仿宋" w:cs="仿宋"/>
          <w:color w:val="333333"/>
          <w:kern w:val="0"/>
          <w:sz w:val="24"/>
          <w:szCs w:val="24"/>
          <w:u w:val="none"/>
        </w:rPr>
      </w:pPr>
      <w:r>
        <w:rPr>
          <w:rFonts w:hint="eastAsia" w:ascii="仿宋" w:hAnsi="仿宋" w:eastAsia="仿宋" w:cs="仿宋"/>
          <w:color w:val="333333"/>
          <w:kern w:val="0"/>
          <w:sz w:val="24"/>
          <w:szCs w:val="24"/>
          <w:u w:val="none"/>
        </w:rPr>
        <w:t>2．服务期限：</w:t>
      </w:r>
      <w:r>
        <w:rPr>
          <w:rFonts w:ascii="仿宋" w:hAnsi="仿宋" w:eastAsia="仿宋" w:cs="仿宋"/>
          <w:color w:val="333333"/>
          <w:kern w:val="0"/>
          <w:sz w:val="24"/>
          <w:szCs w:val="24"/>
          <w:u w:val="none"/>
        </w:rPr>
        <w:t>2</w:t>
      </w:r>
      <w:r>
        <w:rPr>
          <w:rFonts w:hint="eastAsia" w:ascii="仿宋" w:hAnsi="仿宋" w:eastAsia="仿宋" w:cs="仿宋"/>
          <w:color w:val="333333"/>
          <w:kern w:val="0"/>
          <w:sz w:val="24"/>
          <w:szCs w:val="24"/>
          <w:u w:val="none"/>
        </w:rPr>
        <w:t>026年1月—2026年7月。</w:t>
      </w:r>
    </w:p>
    <w:p w14:paraId="60F11589">
      <w:pPr>
        <w:snapToGrid w:val="0"/>
        <w:spacing w:before="156" w:beforeLines="50"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二、服务内容及要求</w:t>
      </w:r>
    </w:p>
    <w:p w14:paraId="3A138DA1">
      <w:pPr>
        <w:pStyle w:val="40"/>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1.供应商应安排资深编辑提供图书编写技术指导、图书出版程序等方面的出版咨询服务。</w:t>
      </w:r>
    </w:p>
    <w:p w14:paraId="03577C77">
      <w:pPr>
        <w:pStyle w:val="40"/>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2.提供纸质图书出版服务（含书稿的封面与版式设计、编辑、校对、排版、印刷等），使用1个标准书号，书号能在中国国家版本馆数据库查询。</w:t>
      </w:r>
    </w:p>
    <w:p w14:paraId="130BDE49">
      <w:pPr>
        <w:snapToGrid w:val="0"/>
        <w:spacing w:before="156" w:beforeLines="50"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三、服务质量要求：</w:t>
      </w:r>
    </w:p>
    <w:p w14:paraId="6EDE62C1">
      <w:pPr>
        <w:spacing w:line="360" w:lineRule="auto"/>
        <w:ind w:firstLine="42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1.印刷成品规格：16开本。</w:t>
      </w:r>
    </w:p>
    <w:p w14:paraId="647F6E09">
      <w:pPr>
        <w:spacing w:line="360" w:lineRule="auto"/>
        <w:ind w:firstLine="42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2.纸张种类和规格：封面用 250g 铜版纸，四色印刷；内页用 60g 双胶纸，单色印刷；平装。</w:t>
      </w:r>
    </w:p>
    <w:p w14:paraId="07AD4D14">
      <w:pPr>
        <w:spacing w:line="360" w:lineRule="auto"/>
        <w:ind w:firstLine="42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3.印制质量：采用优质高级纸张，环保印刷，不发生书页粘连；对封面、版面进行专业化设计，对图片进行美化与加工，保证版面美观：正文图文字迹清晰；保证图书质量符合行业相关技术规范和质量标准。</w:t>
      </w:r>
    </w:p>
    <w:p w14:paraId="1E72AAC5">
      <w:pPr>
        <w:spacing w:line="360" w:lineRule="auto"/>
        <w:ind w:firstLine="42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4.内容质量：根据《出版管理条例》《图书出版管理规定》《图书质量管理规定》等相关要求，图书内容质量优良。</w:t>
      </w:r>
    </w:p>
    <w:p w14:paraId="3C7DCFAE">
      <w:pPr>
        <w:snapToGrid w:val="0"/>
        <w:spacing w:before="156" w:beforeLines="50"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四、服务质量检查考核标准和方法：</w:t>
      </w:r>
    </w:p>
    <w:p w14:paraId="3FECD92B">
      <w:pPr>
        <w:pStyle w:val="40"/>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应符合CY/T264-2023汉字字体使用要求、CY/T 118-2016 学术出版规范，以及CY/T学术出版规范和科学技术名词等相关标准和规范要求。</w:t>
      </w:r>
    </w:p>
    <w:p w14:paraId="07B64B92">
      <w:pPr>
        <w:adjustRightInd w:val="0"/>
        <w:snapToGrid w:val="0"/>
        <w:spacing w:line="520" w:lineRule="exact"/>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五、投标报价说明</w:t>
      </w:r>
    </w:p>
    <w:p w14:paraId="26FDA341">
      <w:pPr>
        <w:pStyle w:val="40"/>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本项目招标上限价为</w:t>
      </w:r>
      <w:r>
        <w:rPr>
          <w:rFonts w:hint="eastAsia" w:ascii="仿宋" w:hAnsi="仿宋" w:eastAsia="仿宋" w:cs="仿宋"/>
          <w:color w:val="333333"/>
          <w:kern w:val="0"/>
          <w:sz w:val="24"/>
          <w:szCs w:val="24"/>
          <w:u w:val="none"/>
          <w:lang w:val="en-US" w:eastAsia="zh-CN"/>
        </w:rPr>
        <w:t>4.9</w:t>
      </w:r>
      <w:r>
        <w:rPr>
          <w:rFonts w:hint="eastAsia" w:ascii="仿宋" w:hAnsi="仿宋" w:eastAsia="仿宋" w:cs="仿宋"/>
          <w:color w:val="333333"/>
          <w:kern w:val="0"/>
          <w:sz w:val="24"/>
          <w:szCs w:val="24"/>
          <w:u w:val="none"/>
        </w:rPr>
        <w:t>万元</w:t>
      </w:r>
      <w:r>
        <w:rPr>
          <w:rFonts w:hint="eastAsia" w:ascii="仿宋" w:hAnsi="仿宋" w:eastAsia="仿宋" w:cs="仿宋"/>
          <w:color w:val="333333"/>
          <w:kern w:val="0"/>
          <w:sz w:val="24"/>
          <w:szCs w:val="24"/>
        </w:rPr>
        <w:t>，报价为一次性报价。</w:t>
      </w:r>
    </w:p>
    <w:p w14:paraId="2D3BB43D">
      <w:pPr>
        <w:adjustRightInd w:val="0"/>
        <w:snapToGrid w:val="0"/>
        <w:spacing w:line="520" w:lineRule="exact"/>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2936BA9D">
      <w:pPr>
        <w:pStyle w:val="40"/>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 xml:space="preserve"> 本合同为含税总价包干，成交供应商收到成交通知后，应在一周内签订合同。</w:t>
      </w:r>
    </w:p>
    <w:p w14:paraId="60CEE356">
      <w:pPr>
        <w:snapToGrid w:val="0"/>
        <w:spacing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七、付款方式</w:t>
      </w:r>
    </w:p>
    <w:p w14:paraId="311C4EA4">
      <w:pPr>
        <w:snapToGrid w:val="0"/>
        <w:spacing w:line="360" w:lineRule="auto"/>
        <w:ind w:firstLine="480" w:firstLineChars="200"/>
        <w:jc w:val="left"/>
        <w:rPr>
          <w:rFonts w:ascii="仿宋" w:hAnsi="仿宋" w:eastAsia="仿宋" w:cstheme="minorEastAsia"/>
          <w:b/>
          <w:sz w:val="24"/>
          <w:szCs w:val="24"/>
        </w:rPr>
      </w:pPr>
      <w:r>
        <w:rPr>
          <w:rFonts w:hint="eastAsia" w:ascii="仿宋" w:hAnsi="仿宋" w:eastAsia="仿宋" w:cs="仿宋"/>
          <w:color w:val="333333"/>
          <w:kern w:val="0"/>
          <w:sz w:val="24"/>
          <w:szCs w:val="24"/>
          <w:lang w:val="en-US" w:eastAsia="zh-CN" w:bidi="ar-SA"/>
        </w:rPr>
        <w:t>项目完成经验收合格后，供应商开具正规税务发票，学校办理国库支付。</w:t>
      </w:r>
    </w:p>
    <w:p w14:paraId="1523D607">
      <w:pPr>
        <w:pStyle w:val="15"/>
        <w:ind w:left="0" w:leftChars="0" w:firstLine="0"/>
        <w:jc w:val="both"/>
        <w:rPr>
          <w:rFonts w:ascii="仿宋" w:hAnsi="仿宋" w:eastAsia="仿宋"/>
          <w:b/>
          <w:sz w:val="36"/>
          <w:szCs w:val="36"/>
        </w:rPr>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pPr>
    </w:p>
    <w:p w14:paraId="223FEA38">
      <w:pPr>
        <w:pStyle w:val="15"/>
        <w:ind w:left="0" w:leftChars="0" w:firstLine="0"/>
        <w:jc w:val="center"/>
        <w:rPr>
          <w:rFonts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ascii="仿宋" w:hAnsi="仿宋" w:eastAsia="仿宋"/>
          <w:b/>
          <w:sz w:val="24"/>
          <w:szCs w:val="24"/>
        </w:rPr>
      </w:pPr>
      <w:r>
        <w:rPr>
          <w:rFonts w:hint="eastAsia" w:ascii="仿宋" w:hAnsi="仿宋" w:eastAsia="仿宋"/>
          <w:b/>
          <w:sz w:val="24"/>
          <w:szCs w:val="24"/>
        </w:rPr>
        <w:t>2.评审方法</w:t>
      </w:r>
    </w:p>
    <w:p w14:paraId="3177D42E">
      <w:pPr>
        <w:spacing w:line="360" w:lineRule="auto"/>
        <w:ind w:firstLine="480" w:firstLineChars="200"/>
        <w:rPr>
          <w:rFonts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25A04307">
      <w:pPr>
        <w:spacing w:line="360" w:lineRule="auto"/>
        <w:ind w:firstLine="480" w:firstLineChars="200"/>
        <w:rPr>
          <w:rFonts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ascii="仿宋" w:hAnsi="仿宋" w:eastAsia="仿宋"/>
          <w:sz w:val="24"/>
          <w:szCs w:val="24"/>
        </w:rPr>
      </w:pPr>
      <w:r>
        <w:rPr>
          <w:rFonts w:hint="eastAsia" w:ascii="仿宋" w:hAnsi="仿宋" w:eastAsia="仿宋"/>
          <w:sz w:val="24"/>
          <w:szCs w:val="24"/>
        </w:rPr>
        <w:t>3.2最终报价评价。询比小组以最终报价为基础。</w:t>
      </w:r>
    </w:p>
    <w:p w14:paraId="26FD6BFF">
      <w:pPr>
        <w:spacing w:line="360" w:lineRule="auto"/>
        <w:ind w:firstLine="480" w:firstLineChars="200"/>
        <w:rPr>
          <w:rFonts w:ascii="仿宋" w:hAnsi="仿宋" w:eastAsia="仿宋"/>
          <w:sz w:val="24"/>
          <w:szCs w:val="24"/>
        </w:rPr>
      </w:pPr>
      <w:r>
        <w:rPr>
          <w:rFonts w:hint="eastAsia" w:ascii="仿宋" w:hAnsi="仿宋" w:eastAsia="仿宋"/>
          <w:sz w:val="24"/>
          <w:szCs w:val="24"/>
        </w:rPr>
        <w:t>3.3价格分采用按评审因素和标准表格内评分标准执行。</w:t>
      </w:r>
    </w:p>
    <w:p w14:paraId="2A57729E">
      <w:pPr>
        <w:spacing w:line="360" w:lineRule="auto"/>
        <w:ind w:firstLine="480" w:firstLineChars="200"/>
        <w:rPr>
          <w:rFonts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056FE710">
      <w:pPr>
        <w:pStyle w:val="15"/>
        <w:spacing w:before="0" w:beforeAutospacing="0" w:after="0" w:line="240" w:lineRule="atLeast"/>
        <w:ind w:left="0" w:leftChars="0" w:firstLine="0"/>
        <w:rPr>
          <w:rFonts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7"/>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308"/>
        <w:gridCol w:w="709"/>
        <w:gridCol w:w="6237"/>
      </w:tblGrid>
      <w:tr w14:paraId="79D19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0" w:type="auto"/>
            <w:vAlign w:val="center"/>
          </w:tcPr>
          <w:p w14:paraId="59AFEDA7">
            <w:pPr>
              <w:jc w:val="center"/>
              <w:rPr>
                <w:rFonts w:ascii="仿宋" w:hAnsi="仿宋" w:eastAsia="仿宋"/>
                <w:b/>
                <w:sz w:val="24"/>
                <w:szCs w:val="24"/>
              </w:rPr>
            </w:pPr>
            <w:r>
              <w:rPr>
                <w:rFonts w:hint="eastAsia" w:ascii="仿宋" w:hAnsi="仿宋" w:eastAsia="仿宋"/>
                <w:b/>
                <w:kern w:val="0"/>
                <w:sz w:val="24"/>
                <w:szCs w:val="24"/>
              </w:rPr>
              <w:t>序号</w:t>
            </w:r>
          </w:p>
        </w:tc>
        <w:tc>
          <w:tcPr>
            <w:tcW w:w="1308" w:type="dxa"/>
            <w:vAlign w:val="center"/>
          </w:tcPr>
          <w:p w14:paraId="0C748504">
            <w:pPr>
              <w:jc w:val="center"/>
              <w:rPr>
                <w:rFonts w:ascii="仿宋" w:hAnsi="仿宋" w:eastAsia="仿宋"/>
                <w:b/>
                <w:sz w:val="24"/>
                <w:szCs w:val="24"/>
              </w:rPr>
            </w:pPr>
            <w:r>
              <w:rPr>
                <w:rFonts w:hint="eastAsia" w:ascii="仿宋" w:hAnsi="仿宋" w:eastAsia="仿宋"/>
                <w:b/>
                <w:kern w:val="0"/>
                <w:sz w:val="24"/>
                <w:szCs w:val="24"/>
              </w:rPr>
              <w:t>评审因素</w:t>
            </w:r>
          </w:p>
        </w:tc>
        <w:tc>
          <w:tcPr>
            <w:tcW w:w="709" w:type="dxa"/>
            <w:vAlign w:val="center"/>
          </w:tcPr>
          <w:p w14:paraId="4F2F7146">
            <w:pPr>
              <w:jc w:val="center"/>
              <w:rPr>
                <w:rFonts w:ascii="仿宋" w:hAnsi="仿宋" w:eastAsia="仿宋"/>
                <w:b/>
                <w:sz w:val="24"/>
                <w:szCs w:val="24"/>
              </w:rPr>
            </w:pPr>
            <w:r>
              <w:rPr>
                <w:rFonts w:hint="eastAsia" w:ascii="仿宋" w:hAnsi="仿宋" w:eastAsia="仿宋"/>
                <w:b/>
                <w:kern w:val="0"/>
                <w:sz w:val="24"/>
                <w:szCs w:val="24"/>
              </w:rPr>
              <w:t>权值</w:t>
            </w:r>
          </w:p>
        </w:tc>
        <w:tc>
          <w:tcPr>
            <w:tcW w:w="6237" w:type="dxa"/>
            <w:vAlign w:val="center"/>
          </w:tcPr>
          <w:p w14:paraId="46B85A0E">
            <w:pPr>
              <w:jc w:val="center"/>
              <w:rPr>
                <w:rFonts w:ascii="仿宋" w:hAnsi="仿宋" w:eastAsia="仿宋"/>
                <w:b/>
                <w:sz w:val="24"/>
                <w:szCs w:val="24"/>
              </w:rPr>
            </w:pPr>
            <w:r>
              <w:rPr>
                <w:rFonts w:hint="eastAsia" w:ascii="仿宋" w:hAnsi="仿宋" w:eastAsia="仿宋"/>
                <w:b/>
                <w:sz w:val="24"/>
                <w:szCs w:val="24"/>
              </w:rPr>
              <w:t>评分标准</w:t>
            </w:r>
          </w:p>
        </w:tc>
      </w:tr>
      <w:tr w14:paraId="4A69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62BC2181">
            <w:pPr>
              <w:jc w:val="center"/>
              <w:rPr>
                <w:rFonts w:ascii="仿宋" w:hAnsi="仿宋" w:eastAsia="仿宋"/>
                <w:b/>
                <w:kern w:val="0"/>
                <w:sz w:val="24"/>
                <w:szCs w:val="24"/>
                <w:highlight w:val="none"/>
              </w:rPr>
            </w:pPr>
            <w:r>
              <w:rPr>
                <w:rFonts w:hint="eastAsia" w:ascii="仿宋" w:hAnsi="仿宋" w:eastAsia="仿宋"/>
                <w:sz w:val="24"/>
                <w:szCs w:val="24"/>
                <w:highlight w:val="none"/>
              </w:rPr>
              <w:t>1</w:t>
            </w:r>
          </w:p>
        </w:tc>
        <w:tc>
          <w:tcPr>
            <w:tcW w:w="1308" w:type="dxa"/>
            <w:vAlign w:val="center"/>
          </w:tcPr>
          <w:p w14:paraId="7D8E7FFA">
            <w:pPr>
              <w:jc w:val="center"/>
              <w:rPr>
                <w:rFonts w:ascii="仿宋" w:hAnsi="仿宋" w:eastAsia="仿宋"/>
                <w:b/>
                <w:kern w:val="0"/>
                <w:sz w:val="24"/>
                <w:szCs w:val="24"/>
                <w:highlight w:val="none"/>
              </w:rPr>
            </w:pPr>
            <w:r>
              <w:rPr>
                <w:rFonts w:hint="eastAsia" w:ascii="仿宋" w:hAnsi="仿宋" w:eastAsia="仿宋"/>
                <w:kern w:val="0"/>
                <w:sz w:val="24"/>
                <w:szCs w:val="24"/>
                <w:highlight w:val="none"/>
              </w:rPr>
              <w:t>报价</w:t>
            </w:r>
          </w:p>
        </w:tc>
        <w:tc>
          <w:tcPr>
            <w:tcW w:w="709" w:type="dxa"/>
            <w:vAlign w:val="center"/>
          </w:tcPr>
          <w:p w14:paraId="3AB271F7">
            <w:pPr>
              <w:jc w:val="center"/>
              <w:rPr>
                <w:rFonts w:hint="default" w:ascii="仿宋" w:hAnsi="仿宋" w:eastAsia="仿宋"/>
                <w:kern w:val="0"/>
                <w:sz w:val="24"/>
                <w:szCs w:val="24"/>
                <w:highlight w:val="none"/>
                <w:lang w:val="en-US" w:eastAsia="zh-CN"/>
              </w:rPr>
            </w:pPr>
            <w:r>
              <w:rPr>
                <w:rFonts w:hint="eastAsia" w:ascii="仿宋" w:hAnsi="仿宋" w:eastAsia="仿宋"/>
                <w:kern w:val="0"/>
                <w:sz w:val="24"/>
                <w:szCs w:val="24"/>
                <w:highlight w:val="none"/>
                <w:lang w:val="en-US" w:eastAsia="zh-CN"/>
              </w:rPr>
              <w:t>15</w:t>
            </w:r>
          </w:p>
        </w:tc>
        <w:tc>
          <w:tcPr>
            <w:tcW w:w="6237" w:type="dxa"/>
            <w:vAlign w:val="center"/>
          </w:tcPr>
          <w:p w14:paraId="0F742D00">
            <w:pPr>
              <w:jc w:val="left"/>
              <w:rPr>
                <w:rFonts w:ascii="仿宋" w:hAnsi="仿宋" w:eastAsia="仿宋" w:cs="宋体"/>
                <w:sz w:val="24"/>
                <w:szCs w:val="24"/>
                <w:highlight w:val="none"/>
              </w:rPr>
            </w:pPr>
            <w:r>
              <w:rPr>
                <w:rFonts w:hint="eastAsia" w:ascii="仿宋" w:hAnsi="仿宋" w:eastAsia="仿宋" w:cs="宋体"/>
                <w:sz w:val="24"/>
                <w:szCs w:val="24"/>
                <w:highlight w:val="none"/>
              </w:rPr>
              <w:t>以经</w:t>
            </w:r>
            <w:r>
              <w:rPr>
                <w:rFonts w:ascii="仿宋" w:hAnsi="仿宋" w:eastAsia="仿宋" w:cs="宋体"/>
                <w:sz w:val="24"/>
                <w:szCs w:val="24"/>
                <w:highlight w:val="none"/>
              </w:rPr>
              <w:t>评审小组</w:t>
            </w:r>
            <w:r>
              <w:rPr>
                <w:rFonts w:hint="eastAsia" w:ascii="仿宋" w:hAnsi="仿宋" w:eastAsia="仿宋" w:cs="宋体"/>
                <w:sz w:val="24"/>
                <w:szCs w:val="24"/>
                <w:highlight w:val="none"/>
              </w:rPr>
              <w:t>一致认定满足</w:t>
            </w:r>
            <w:r>
              <w:rPr>
                <w:rFonts w:ascii="仿宋" w:hAnsi="仿宋" w:eastAsia="仿宋" w:cs="宋体"/>
                <w:sz w:val="24"/>
                <w:szCs w:val="24"/>
                <w:highlight w:val="none"/>
              </w:rPr>
              <w:t>询价</w:t>
            </w:r>
            <w:r>
              <w:rPr>
                <w:rFonts w:hint="eastAsia" w:ascii="仿宋" w:hAnsi="仿宋" w:eastAsia="仿宋" w:cs="宋体"/>
                <w:sz w:val="24"/>
                <w:szCs w:val="24"/>
                <w:highlight w:val="none"/>
              </w:rPr>
              <w:t>文件要求的供应商报价的算术平均值为评标基准价。</w:t>
            </w:r>
          </w:p>
          <w:p w14:paraId="76EF04E8">
            <w:pPr>
              <w:jc w:val="left"/>
              <w:rPr>
                <w:rFonts w:ascii="仿宋" w:hAnsi="仿宋" w:eastAsia="仿宋" w:cs="宋体"/>
                <w:sz w:val="24"/>
                <w:szCs w:val="24"/>
                <w:highlight w:val="none"/>
              </w:rPr>
            </w:pPr>
            <w:r>
              <w:rPr>
                <w:rFonts w:hint="eastAsia" w:ascii="仿宋" w:hAnsi="仿宋" w:eastAsia="仿宋" w:cs="宋体"/>
                <w:sz w:val="24"/>
                <w:szCs w:val="24"/>
                <w:highlight w:val="none"/>
              </w:rPr>
              <w:t>价格得分按以下公式计算：</w:t>
            </w:r>
          </w:p>
          <w:p w14:paraId="5ED2E53D">
            <w:pPr>
              <w:jc w:val="left"/>
              <w:rPr>
                <w:rFonts w:ascii="仿宋" w:hAnsi="仿宋" w:eastAsia="仿宋"/>
                <w:b/>
                <w:sz w:val="24"/>
                <w:szCs w:val="24"/>
                <w:highlight w:val="none"/>
              </w:rPr>
            </w:pPr>
            <w:r>
              <w:rPr>
                <w:rFonts w:ascii="仿宋" w:hAnsi="仿宋" w:eastAsia="仿宋" w:cs="宋体"/>
                <w:sz w:val="24"/>
                <w:szCs w:val="24"/>
                <w:highlight w:val="none"/>
              </w:rPr>
              <w:t>价格</w:t>
            </w:r>
            <w:r>
              <w:rPr>
                <w:rFonts w:hint="eastAsia" w:ascii="仿宋" w:hAnsi="仿宋" w:eastAsia="仿宋" w:cs="宋体"/>
                <w:sz w:val="24"/>
                <w:szCs w:val="24"/>
                <w:highlight w:val="none"/>
              </w:rPr>
              <w:t>得分=（评标基准价/报价）×</w:t>
            </w:r>
            <w:r>
              <w:rPr>
                <w:rFonts w:ascii="仿宋" w:hAnsi="仿宋" w:eastAsia="仿宋" w:cs="宋体"/>
                <w:sz w:val="24"/>
                <w:szCs w:val="24"/>
                <w:highlight w:val="none"/>
              </w:rPr>
              <w:t>评标基准价</w:t>
            </w:r>
            <w:r>
              <w:rPr>
                <w:rFonts w:hint="eastAsia" w:ascii="仿宋" w:hAnsi="仿宋" w:eastAsia="仿宋" w:cs="宋体"/>
                <w:sz w:val="24"/>
                <w:szCs w:val="24"/>
                <w:highlight w:val="none"/>
              </w:rPr>
              <w:t>。</w:t>
            </w:r>
          </w:p>
        </w:tc>
      </w:tr>
      <w:tr w14:paraId="14C34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6389F210">
            <w:pPr>
              <w:jc w:val="left"/>
              <w:rPr>
                <w:rFonts w:ascii="仿宋" w:hAnsi="仿宋" w:eastAsia="仿宋" w:cs="宋体"/>
                <w:sz w:val="24"/>
                <w:szCs w:val="24"/>
              </w:rPr>
            </w:pPr>
            <w:r>
              <w:rPr>
                <w:rFonts w:hint="eastAsia" w:ascii="仿宋" w:hAnsi="仿宋" w:eastAsia="仿宋" w:cs="宋体"/>
                <w:sz w:val="24"/>
                <w:szCs w:val="24"/>
              </w:rPr>
              <w:t>2</w:t>
            </w:r>
          </w:p>
        </w:tc>
        <w:tc>
          <w:tcPr>
            <w:tcW w:w="1308" w:type="dxa"/>
            <w:vAlign w:val="center"/>
          </w:tcPr>
          <w:p w14:paraId="0B4E691E">
            <w:pPr>
              <w:jc w:val="center"/>
              <w:rPr>
                <w:rFonts w:ascii="仿宋" w:hAnsi="仿宋" w:eastAsia="仿宋" w:cs="宋体"/>
                <w:sz w:val="24"/>
                <w:szCs w:val="24"/>
              </w:rPr>
            </w:pPr>
            <w:r>
              <w:rPr>
                <w:rFonts w:hint="eastAsia" w:ascii="仿宋" w:hAnsi="仿宋" w:eastAsia="仿宋" w:cs="宋体"/>
                <w:sz w:val="24"/>
                <w:szCs w:val="24"/>
              </w:rPr>
              <w:t>服务团队能力</w:t>
            </w:r>
          </w:p>
        </w:tc>
        <w:tc>
          <w:tcPr>
            <w:tcW w:w="709" w:type="dxa"/>
            <w:vAlign w:val="center"/>
          </w:tcPr>
          <w:p w14:paraId="1B87B594">
            <w:pPr>
              <w:jc w:val="center"/>
              <w:rPr>
                <w:rFonts w:ascii="仿宋" w:hAnsi="仿宋" w:eastAsia="仿宋" w:cs="宋体"/>
                <w:sz w:val="24"/>
                <w:szCs w:val="24"/>
              </w:rPr>
            </w:pPr>
            <w:r>
              <w:rPr>
                <w:rFonts w:hint="eastAsia" w:ascii="仿宋" w:hAnsi="仿宋" w:eastAsia="仿宋" w:cs="宋体"/>
                <w:sz w:val="24"/>
                <w:szCs w:val="24"/>
              </w:rPr>
              <w:t>20</w:t>
            </w:r>
          </w:p>
        </w:tc>
        <w:tc>
          <w:tcPr>
            <w:tcW w:w="6237" w:type="dxa"/>
            <w:vAlign w:val="center"/>
          </w:tcPr>
          <w:p w14:paraId="68E8F9B3">
            <w:pPr>
              <w:widowControl/>
              <w:jc w:val="left"/>
              <w:textAlignment w:val="center"/>
              <w:rPr>
                <w:rFonts w:ascii="仿宋" w:hAnsi="仿宋" w:eastAsia="仿宋" w:cs="宋体"/>
                <w:sz w:val="24"/>
                <w:lang w:val="zh-CN" w:bidi="ar"/>
              </w:rPr>
            </w:pPr>
            <w:r>
              <w:rPr>
                <w:rFonts w:hint="eastAsia" w:ascii="仿宋" w:hAnsi="仿宋" w:eastAsia="仿宋" w:cs="宋体"/>
                <w:sz w:val="24"/>
                <w:szCs w:val="24"/>
                <w:lang w:bidi="ar"/>
              </w:rPr>
              <w:t>（1</w:t>
            </w:r>
            <w:r>
              <w:rPr>
                <w:rFonts w:hint="eastAsia" w:ascii="仿宋" w:hAnsi="仿宋" w:eastAsia="仿宋" w:cs="宋体"/>
                <w:sz w:val="24"/>
                <w:lang w:bidi="ar"/>
              </w:rPr>
              <w:t>）服务团队中包括一名项目负责人。项目负责人</w:t>
            </w:r>
            <w:r>
              <w:rPr>
                <w:rFonts w:hint="eastAsia" w:ascii="仿宋" w:hAnsi="仿宋" w:eastAsia="仿宋" w:cs="宋体"/>
                <w:sz w:val="24"/>
                <w:lang w:val="zh-CN" w:bidi="ar"/>
              </w:rPr>
              <w:t>具有</w:t>
            </w:r>
            <w:r>
              <w:rPr>
                <w:rFonts w:hint="eastAsia" w:ascii="仿宋" w:hAnsi="仿宋" w:eastAsia="仿宋" w:cs="宋体"/>
                <w:sz w:val="24"/>
                <w:lang w:bidi="ar"/>
              </w:rPr>
              <w:t>国家新闻出版署、人社等相关部门颁发的</w:t>
            </w:r>
            <w:r>
              <w:rPr>
                <w:rFonts w:hint="eastAsia" w:ascii="仿宋" w:hAnsi="仿宋" w:eastAsia="仿宋" w:cs="宋体"/>
                <w:sz w:val="24"/>
                <w:lang w:val="zh-CN" w:bidi="ar"/>
              </w:rPr>
              <w:t>出版专业</w:t>
            </w:r>
            <w:r>
              <w:rPr>
                <w:rFonts w:hint="eastAsia" w:ascii="仿宋" w:hAnsi="仿宋" w:eastAsia="仿宋" w:cs="宋体"/>
                <w:sz w:val="24"/>
                <w:lang w:bidi="ar"/>
              </w:rPr>
              <w:t>编审资格</w:t>
            </w:r>
            <w:r>
              <w:rPr>
                <w:rFonts w:hint="eastAsia" w:ascii="仿宋" w:hAnsi="仿宋" w:eastAsia="仿宋" w:cs="宋体"/>
                <w:sz w:val="24"/>
                <w:lang w:val="zh-CN" w:bidi="ar"/>
              </w:rPr>
              <w:t>得</w:t>
            </w:r>
            <w:r>
              <w:rPr>
                <w:rFonts w:ascii="仿宋" w:hAnsi="仿宋" w:eastAsia="仿宋" w:cs="宋体"/>
                <w:sz w:val="24"/>
                <w:lang w:bidi="ar"/>
              </w:rPr>
              <w:t>5</w:t>
            </w:r>
            <w:r>
              <w:rPr>
                <w:rFonts w:hint="eastAsia" w:ascii="仿宋" w:hAnsi="仿宋" w:eastAsia="仿宋" w:cs="宋体"/>
                <w:sz w:val="24"/>
                <w:lang w:val="zh-CN" w:bidi="ar"/>
              </w:rPr>
              <w:t>分，</w:t>
            </w:r>
            <w:r>
              <w:rPr>
                <w:rFonts w:hint="eastAsia" w:ascii="仿宋" w:hAnsi="仿宋" w:eastAsia="仿宋" w:cs="宋体"/>
                <w:sz w:val="24"/>
                <w:lang w:bidi="ar"/>
              </w:rPr>
              <w:t>副编审资格</w:t>
            </w:r>
            <w:r>
              <w:rPr>
                <w:rFonts w:hint="eastAsia" w:ascii="仿宋" w:hAnsi="仿宋" w:eastAsia="仿宋" w:cs="宋体"/>
                <w:sz w:val="24"/>
                <w:lang w:val="zh-CN" w:bidi="ar"/>
              </w:rPr>
              <w:t>的得</w:t>
            </w:r>
            <w:r>
              <w:rPr>
                <w:rFonts w:ascii="仿宋" w:hAnsi="仿宋" w:eastAsia="仿宋" w:cs="宋体"/>
                <w:sz w:val="24"/>
                <w:lang w:bidi="ar"/>
              </w:rPr>
              <w:t>3</w:t>
            </w:r>
            <w:r>
              <w:rPr>
                <w:rFonts w:hint="eastAsia" w:ascii="仿宋" w:hAnsi="仿宋" w:eastAsia="仿宋" w:cs="宋体"/>
                <w:sz w:val="24"/>
                <w:lang w:val="zh-CN" w:bidi="ar"/>
              </w:rPr>
              <w:t>分。</w:t>
            </w:r>
          </w:p>
          <w:p w14:paraId="7439F31C">
            <w:pPr>
              <w:rPr>
                <w:lang w:bidi="ar"/>
              </w:rPr>
            </w:pPr>
            <w:r>
              <w:rPr>
                <w:rFonts w:hint="eastAsia" w:ascii="仿宋" w:hAnsi="仿宋" w:eastAsia="仿宋" w:cs="宋体"/>
                <w:sz w:val="24"/>
                <w:szCs w:val="24"/>
                <w:lang w:bidi="ar"/>
              </w:rPr>
              <w:t>（</w:t>
            </w:r>
            <w:r>
              <w:rPr>
                <w:rFonts w:ascii="仿宋" w:hAnsi="仿宋" w:eastAsia="仿宋" w:cs="宋体"/>
                <w:sz w:val="24"/>
                <w:szCs w:val="24"/>
                <w:lang w:bidi="ar"/>
              </w:rPr>
              <w:t>2</w:t>
            </w:r>
            <w:r>
              <w:rPr>
                <w:rFonts w:hint="eastAsia" w:ascii="仿宋" w:hAnsi="仿宋" w:eastAsia="仿宋" w:cs="宋体"/>
                <w:sz w:val="24"/>
                <w:lang w:bidi="ar"/>
              </w:rPr>
              <w:t>）服务团队中项目实施成员具有国家新闻出版署、人社等相关部门颁发的出版专业编审资格，每提供</w:t>
            </w:r>
            <w:r>
              <w:rPr>
                <w:rFonts w:ascii="仿宋" w:hAnsi="仿宋" w:eastAsia="仿宋" w:cs="宋体"/>
                <w:sz w:val="24"/>
                <w:lang w:bidi="ar"/>
              </w:rPr>
              <w:t>1人得</w:t>
            </w:r>
            <w:r>
              <w:rPr>
                <w:rFonts w:hint="eastAsia" w:ascii="仿宋" w:hAnsi="仿宋" w:eastAsia="仿宋" w:cs="宋体"/>
                <w:sz w:val="24"/>
                <w:lang w:bidi="ar"/>
              </w:rPr>
              <w:t>5</w:t>
            </w:r>
            <w:r>
              <w:rPr>
                <w:rFonts w:ascii="仿宋" w:hAnsi="仿宋" w:eastAsia="仿宋" w:cs="宋体"/>
                <w:sz w:val="24"/>
                <w:lang w:bidi="ar"/>
              </w:rPr>
              <w:t>分，具有副编审资格的每提供</w:t>
            </w:r>
            <w:r>
              <w:rPr>
                <w:rFonts w:hint="eastAsia" w:ascii="仿宋" w:hAnsi="仿宋" w:eastAsia="仿宋" w:cs="宋体"/>
                <w:sz w:val="24"/>
                <w:lang w:bidi="ar"/>
              </w:rPr>
              <w:t>1</w:t>
            </w:r>
            <w:r>
              <w:rPr>
                <w:rFonts w:ascii="仿宋" w:hAnsi="仿宋" w:eastAsia="仿宋" w:cs="宋体"/>
                <w:sz w:val="24"/>
                <w:lang w:bidi="ar"/>
              </w:rPr>
              <w:t>人得</w:t>
            </w:r>
            <w:r>
              <w:rPr>
                <w:rFonts w:hint="eastAsia" w:ascii="仿宋" w:hAnsi="仿宋" w:eastAsia="仿宋" w:cs="宋体"/>
                <w:sz w:val="24"/>
                <w:lang w:bidi="ar"/>
              </w:rPr>
              <w:t>3</w:t>
            </w:r>
            <w:r>
              <w:rPr>
                <w:rFonts w:ascii="仿宋" w:hAnsi="仿宋" w:eastAsia="仿宋" w:cs="宋体"/>
                <w:sz w:val="24"/>
                <w:lang w:bidi="ar"/>
              </w:rPr>
              <w:t>分</w:t>
            </w:r>
            <w:r>
              <w:rPr>
                <w:rFonts w:hint="eastAsia" w:ascii="仿宋" w:hAnsi="仿宋" w:eastAsia="仿宋" w:cs="宋体"/>
                <w:sz w:val="24"/>
                <w:lang w:bidi="ar"/>
              </w:rPr>
              <w:t>，具有中级编辑职称的每提供1人得2分，</w:t>
            </w:r>
            <w:r>
              <w:rPr>
                <w:rFonts w:ascii="仿宋" w:hAnsi="仿宋" w:eastAsia="仿宋" w:cs="宋体"/>
                <w:sz w:val="24"/>
                <w:szCs w:val="24"/>
                <w:lang w:bidi="ar"/>
              </w:rPr>
              <w:t>最高得</w:t>
            </w:r>
            <w:r>
              <w:rPr>
                <w:rFonts w:hint="eastAsia" w:ascii="仿宋" w:hAnsi="仿宋" w:eastAsia="仿宋" w:cs="宋体"/>
                <w:sz w:val="24"/>
                <w:szCs w:val="24"/>
                <w:lang w:bidi="ar"/>
              </w:rPr>
              <w:t>1</w:t>
            </w:r>
            <w:r>
              <w:rPr>
                <w:rFonts w:ascii="仿宋" w:hAnsi="仿宋" w:eastAsia="仿宋" w:cs="宋体"/>
                <w:sz w:val="24"/>
                <w:szCs w:val="24"/>
                <w:lang w:bidi="ar"/>
              </w:rPr>
              <w:t>5分</w:t>
            </w:r>
            <w:r>
              <w:rPr>
                <w:rFonts w:ascii="仿宋" w:hAnsi="仿宋" w:eastAsia="仿宋" w:cs="宋体"/>
                <w:sz w:val="24"/>
                <w:lang w:bidi="ar"/>
              </w:rPr>
              <w:t>。</w:t>
            </w:r>
          </w:p>
          <w:p w14:paraId="4F757746">
            <w:pPr>
              <w:widowControl/>
              <w:jc w:val="left"/>
              <w:textAlignment w:val="center"/>
              <w:rPr>
                <w:rFonts w:ascii="仿宋" w:hAnsi="仿宋" w:eastAsia="仿宋" w:cs="宋体"/>
                <w:b/>
                <w:bCs/>
                <w:sz w:val="24"/>
                <w:szCs w:val="24"/>
              </w:rPr>
            </w:pPr>
            <w:r>
              <w:rPr>
                <w:rFonts w:hint="eastAsia" w:ascii="仿宋" w:hAnsi="仿宋" w:eastAsia="仿宋" w:cs="宋体"/>
                <w:b/>
                <w:bCs/>
                <w:sz w:val="24"/>
                <w:szCs w:val="24"/>
              </w:rPr>
              <w:t>本项满分20分。</w:t>
            </w:r>
          </w:p>
          <w:p w14:paraId="07F003E4">
            <w:pPr>
              <w:jc w:val="left"/>
              <w:rPr>
                <w:rFonts w:ascii="仿宋" w:hAnsi="仿宋" w:eastAsia="仿宋" w:cs="宋体"/>
                <w:sz w:val="24"/>
                <w:szCs w:val="24"/>
              </w:rPr>
            </w:pPr>
            <w:r>
              <w:rPr>
                <w:rFonts w:hint="eastAsia" w:ascii="仿宋" w:hAnsi="仿宋" w:eastAsia="仿宋" w:cs="宋体"/>
                <w:b/>
                <w:bCs/>
                <w:sz w:val="24"/>
                <w:szCs w:val="24"/>
              </w:rPr>
              <w:t>【评审依据】1）响应文件中提供以上人员证书扫描件和供应商为其缴纳的近三个月（不含</w:t>
            </w:r>
            <w:r>
              <w:rPr>
                <w:rFonts w:hint="eastAsia" w:ascii="仿宋" w:hAnsi="仿宋" w:eastAsia="仿宋" w:cs="宋体"/>
                <w:b/>
                <w:bCs/>
                <w:sz w:val="24"/>
                <w:szCs w:val="24"/>
                <w:lang w:val="en-US" w:eastAsia="zh-CN"/>
              </w:rPr>
              <w:t>询比</w:t>
            </w:r>
            <w:r>
              <w:rPr>
                <w:rFonts w:hint="eastAsia" w:ascii="仿宋" w:hAnsi="仿宋" w:eastAsia="仿宋" w:cs="宋体"/>
                <w:b/>
                <w:bCs/>
                <w:sz w:val="24"/>
                <w:szCs w:val="24"/>
              </w:rPr>
              <w:t>当月）的社保证明扫描件并加盖供应商公章，未提供或提供的证明材料不齐全的不得分。2）服务团队中人员证书不得复用，否则不予加分。</w:t>
            </w:r>
          </w:p>
        </w:tc>
      </w:tr>
      <w:tr w14:paraId="5B541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501" w:type="dxa"/>
            <w:vAlign w:val="center"/>
          </w:tcPr>
          <w:p w14:paraId="5040FC1A">
            <w:pPr>
              <w:jc w:val="left"/>
              <w:rPr>
                <w:rFonts w:ascii="仿宋" w:hAnsi="仿宋" w:eastAsia="仿宋" w:cs="宋体"/>
                <w:sz w:val="24"/>
                <w:szCs w:val="24"/>
                <w:highlight w:val="yellow"/>
              </w:rPr>
            </w:pPr>
            <w:r>
              <w:rPr>
                <w:rFonts w:hint="eastAsia" w:ascii="仿宋" w:hAnsi="仿宋" w:eastAsia="仿宋" w:cs="宋体"/>
                <w:sz w:val="24"/>
                <w:szCs w:val="24"/>
              </w:rPr>
              <w:t>3</w:t>
            </w:r>
          </w:p>
        </w:tc>
        <w:tc>
          <w:tcPr>
            <w:tcW w:w="1308" w:type="dxa"/>
            <w:vAlign w:val="center"/>
          </w:tcPr>
          <w:p w14:paraId="4CB097CA">
            <w:pPr>
              <w:jc w:val="center"/>
              <w:rPr>
                <w:rFonts w:ascii="仿宋" w:hAnsi="仿宋" w:eastAsia="仿宋" w:cs="宋体"/>
                <w:sz w:val="24"/>
                <w:szCs w:val="24"/>
                <w:highlight w:val="yellow"/>
              </w:rPr>
            </w:pPr>
            <w:r>
              <w:rPr>
                <w:rFonts w:hint="eastAsia" w:ascii="仿宋" w:hAnsi="仿宋" w:eastAsia="仿宋" w:cs="宋体"/>
                <w:sz w:val="24"/>
                <w:szCs w:val="24"/>
              </w:rPr>
              <w:t>项目整体实施方案</w:t>
            </w:r>
          </w:p>
        </w:tc>
        <w:tc>
          <w:tcPr>
            <w:tcW w:w="709" w:type="dxa"/>
            <w:vAlign w:val="center"/>
          </w:tcPr>
          <w:p w14:paraId="5F6B02FB">
            <w:pPr>
              <w:jc w:val="center"/>
              <w:rPr>
                <w:rFonts w:hint="eastAsia" w:ascii="仿宋" w:hAnsi="仿宋" w:eastAsia="仿宋" w:cs="宋体"/>
                <w:sz w:val="24"/>
                <w:szCs w:val="24"/>
                <w:highlight w:val="yellow"/>
                <w:lang w:val="en-US" w:eastAsia="zh-CN"/>
              </w:rPr>
            </w:pPr>
            <w:r>
              <w:rPr>
                <w:rFonts w:hint="eastAsia" w:ascii="仿宋" w:hAnsi="仿宋" w:eastAsia="仿宋" w:cs="宋体"/>
                <w:sz w:val="24"/>
                <w:szCs w:val="24"/>
              </w:rPr>
              <w:t>1</w:t>
            </w:r>
            <w:r>
              <w:rPr>
                <w:rFonts w:ascii="仿宋" w:hAnsi="仿宋" w:eastAsia="仿宋" w:cs="宋体"/>
                <w:sz w:val="24"/>
                <w:szCs w:val="24"/>
              </w:rPr>
              <w:t>0</w:t>
            </w:r>
          </w:p>
        </w:tc>
        <w:tc>
          <w:tcPr>
            <w:tcW w:w="6237" w:type="dxa"/>
            <w:vAlign w:val="center"/>
          </w:tcPr>
          <w:p w14:paraId="70FB90C0">
            <w:pPr>
              <w:widowControl/>
              <w:jc w:val="left"/>
              <w:textAlignment w:val="center"/>
              <w:rPr>
                <w:rFonts w:ascii="仿宋" w:hAnsi="仿宋" w:eastAsia="仿宋" w:cs="宋体"/>
                <w:sz w:val="24"/>
                <w:szCs w:val="24"/>
                <w:lang w:val="zh-CN" w:bidi="ar"/>
              </w:rPr>
            </w:pPr>
            <w:r>
              <w:rPr>
                <w:rFonts w:hint="eastAsia" w:ascii="仿宋" w:hAnsi="仿宋" w:eastAsia="仿宋" w:cs="宋体"/>
                <w:sz w:val="24"/>
                <w:szCs w:val="24"/>
                <w:lang w:val="zh-CN" w:bidi="ar"/>
              </w:rPr>
              <w:t>（</w:t>
            </w:r>
            <w:r>
              <w:rPr>
                <w:rFonts w:ascii="仿宋" w:hAnsi="仿宋" w:eastAsia="仿宋" w:cs="宋体"/>
                <w:sz w:val="24"/>
                <w:szCs w:val="24"/>
                <w:lang w:val="zh-CN" w:bidi="ar"/>
              </w:rPr>
              <w:t>1</w:t>
            </w:r>
            <w:r>
              <w:rPr>
                <w:rFonts w:hint="eastAsia" w:ascii="仿宋" w:hAnsi="仿宋" w:eastAsia="仿宋" w:cs="宋体"/>
                <w:sz w:val="24"/>
                <w:szCs w:val="24"/>
                <w:lang w:val="zh-CN" w:bidi="ar"/>
              </w:rPr>
              <w:t>）根据投标人提供的教材排版设计、编辑、校对、审稿方案综合评分：方案细致、科学、合理的得</w:t>
            </w:r>
            <w:r>
              <w:rPr>
                <w:rFonts w:ascii="仿宋" w:hAnsi="仿宋" w:eastAsia="仿宋" w:cs="宋体"/>
                <w:sz w:val="24"/>
                <w:szCs w:val="24"/>
                <w:lang w:val="zh-CN" w:bidi="ar"/>
              </w:rPr>
              <w:t>5</w:t>
            </w:r>
            <w:r>
              <w:rPr>
                <w:rFonts w:hint="eastAsia" w:ascii="仿宋" w:hAnsi="仿宋" w:eastAsia="仿宋" w:cs="宋体"/>
                <w:sz w:val="24"/>
                <w:szCs w:val="24"/>
                <w:lang w:val="zh-CN" w:bidi="ar"/>
              </w:rPr>
              <w:t>分，方案基本可行的得</w:t>
            </w:r>
            <w:r>
              <w:rPr>
                <w:rFonts w:ascii="仿宋" w:hAnsi="仿宋" w:eastAsia="仿宋" w:cs="宋体"/>
                <w:sz w:val="24"/>
                <w:szCs w:val="24"/>
                <w:lang w:val="zh-CN" w:bidi="ar"/>
              </w:rPr>
              <w:t>3分，方案欠合理或未提供不得分。</w:t>
            </w:r>
          </w:p>
          <w:p w14:paraId="09102AD7">
            <w:pPr>
              <w:widowControl/>
              <w:jc w:val="left"/>
              <w:textAlignment w:val="center"/>
              <w:rPr>
                <w:rFonts w:ascii="仿宋" w:hAnsi="仿宋" w:eastAsia="仿宋" w:cs="宋体"/>
                <w:sz w:val="24"/>
                <w:szCs w:val="24"/>
                <w:lang w:val="zh-CN" w:bidi="ar"/>
              </w:rPr>
            </w:pPr>
            <w:r>
              <w:rPr>
                <w:rFonts w:hint="eastAsia" w:ascii="仿宋" w:hAnsi="仿宋" w:eastAsia="仿宋" w:cs="宋体"/>
                <w:sz w:val="24"/>
                <w:szCs w:val="24"/>
                <w:lang w:val="zh-CN" w:bidi="ar"/>
              </w:rPr>
              <w:t>（</w:t>
            </w:r>
            <w:r>
              <w:rPr>
                <w:rFonts w:ascii="仿宋" w:hAnsi="仿宋" w:eastAsia="仿宋" w:cs="宋体"/>
                <w:sz w:val="24"/>
                <w:szCs w:val="24"/>
                <w:lang w:val="zh-CN" w:bidi="ar"/>
              </w:rPr>
              <w:t>2）</w:t>
            </w:r>
            <w:r>
              <w:rPr>
                <w:rFonts w:hint="eastAsia" w:ascii="仿宋" w:hAnsi="仿宋" w:eastAsia="仿宋" w:cs="宋体"/>
                <w:sz w:val="24"/>
                <w:szCs w:val="24"/>
                <w:lang w:val="zh-CN" w:bidi="ar"/>
              </w:rPr>
              <w:t>根据投标人提供的出版方案以及项目进度安排方案综合评分：方案细致、科学、合理的得</w:t>
            </w:r>
            <w:r>
              <w:rPr>
                <w:rFonts w:ascii="仿宋" w:hAnsi="仿宋" w:eastAsia="仿宋" w:cs="宋体"/>
                <w:sz w:val="24"/>
                <w:szCs w:val="24"/>
                <w:lang w:val="zh-CN" w:bidi="ar"/>
              </w:rPr>
              <w:t>5</w:t>
            </w:r>
            <w:r>
              <w:rPr>
                <w:rFonts w:hint="eastAsia" w:ascii="仿宋" w:hAnsi="仿宋" w:eastAsia="仿宋" w:cs="宋体"/>
                <w:sz w:val="24"/>
                <w:szCs w:val="24"/>
                <w:lang w:val="zh-CN" w:bidi="ar"/>
              </w:rPr>
              <w:t>分，方案基本可行的得</w:t>
            </w:r>
            <w:r>
              <w:rPr>
                <w:rFonts w:ascii="仿宋" w:hAnsi="仿宋" w:eastAsia="仿宋" w:cs="宋体"/>
                <w:sz w:val="24"/>
                <w:szCs w:val="24"/>
                <w:lang w:val="zh-CN" w:bidi="ar"/>
              </w:rPr>
              <w:t>3分，方案欠合理或未提供不得分。</w:t>
            </w:r>
          </w:p>
          <w:p w14:paraId="4EEF7644">
            <w:pPr>
              <w:jc w:val="left"/>
              <w:rPr>
                <w:rFonts w:ascii="仿宋" w:hAnsi="仿宋" w:eastAsia="仿宋" w:cs="宋体"/>
                <w:b/>
                <w:bCs/>
                <w:sz w:val="24"/>
                <w:szCs w:val="24"/>
              </w:rPr>
            </w:pPr>
            <w:r>
              <w:rPr>
                <w:rFonts w:hint="eastAsia" w:ascii="仿宋" w:hAnsi="仿宋" w:eastAsia="仿宋" w:cs="宋体"/>
                <w:b/>
                <w:bCs/>
                <w:sz w:val="24"/>
                <w:szCs w:val="24"/>
              </w:rPr>
              <w:t>本项满分1</w:t>
            </w:r>
            <w:r>
              <w:rPr>
                <w:rFonts w:ascii="仿宋" w:hAnsi="仿宋" w:eastAsia="仿宋" w:cs="宋体"/>
                <w:b/>
                <w:bCs/>
                <w:sz w:val="24"/>
                <w:szCs w:val="24"/>
              </w:rPr>
              <w:t>0</w:t>
            </w:r>
            <w:r>
              <w:rPr>
                <w:rFonts w:hint="eastAsia" w:ascii="仿宋" w:hAnsi="仿宋" w:eastAsia="仿宋" w:cs="宋体"/>
                <w:b/>
                <w:bCs/>
                <w:sz w:val="24"/>
                <w:szCs w:val="24"/>
              </w:rPr>
              <w:t>分。</w:t>
            </w:r>
          </w:p>
          <w:p w14:paraId="2B67A1F3">
            <w:pPr>
              <w:jc w:val="left"/>
              <w:rPr>
                <w:rFonts w:ascii="仿宋" w:hAnsi="仿宋" w:eastAsia="仿宋" w:cs="宋体"/>
                <w:sz w:val="24"/>
                <w:szCs w:val="24"/>
                <w:highlight w:val="yellow"/>
              </w:rPr>
            </w:pPr>
            <w:r>
              <w:rPr>
                <w:rFonts w:hint="eastAsia" w:ascii="仿宋" w:hAnsi="仿宋" w:eastAsia="仿宋" w:cs="宋体"/>
                <w:b/>
                <w:bCs/>
                <w:sz w:val="24"/>
                <w:szCs w:val="24"/>
              </w:rPr>
              <w:t>【评审依据】响应文件中提供项目整体实施方案，未提供不得分。</w:t>
            </w:r>
          </w:p>
        </w:tc>
      </w:tr>
      <w:tr w14:paraId="2E70B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501" w:type="dxa"/>
            <w:vAlign w:val="center"/>
          </w:tcPr>
          <w:p w14:paraId="55734A43">
            <w:pPr>
              <w:jc w:val="left"/>
              <w:rPr>
                <w:rFonts w:ascii="仿宋" w:hAnsi="仿宋" w:eastAsia="仿宋" w:cs="宋体"/>
                <w:sz w:val="24"/>
                <w:szCs w:val="24"/>
              </w:rPr>
            </w:pPr>
            <w:r>
              <w:rPr>
                <w:rFonts w:hint="eastAsia" w:ascii="仿宋" w:hAnsi="仿宋" w:eastAsia="仿宋" w:cs="宋体"/>
                <w:sz w:val="24"/>
                <w:szCs w:val="24"/>
              </w:rPr>
              <w:t>4</w:t>
            </w:r>
          </w:p>
        </w:tc>
        <w:tc>
          <w:tcPr>
            <w:tcW w:w="1308" w:type="dxa"/>
            <w:vAlign w:val="center"/>
          </w:tcPr>
          <w:p w14:paraId="329C7FA8">
            <w:pPr>
              <w:jc w:val="center"/>
              <w:rPr>
                <w:rFonts w:ascii="仿宋" w:hAnsi="仿宋" w:eastAsia="仿宋" w:cs="宋体"/>
                <w:sz w:val="24"/>
                <w:szCs w:val="24"/>
              </w:rPr>
            </w:pPr>
            <w:r>
              <w:rPr>
                <w:rFonts w:hint="eastAsia" w:ascii="仿宋" w:hAnsi="仿宋" w:eastAsia="仿宋" w:cs="宋体"/>
                <w:sz w:val="24"/>
                <w:szCs w:val="24"/>
              </w:rPr>
              <w:t>售后服务方案</w:t>
            </w:r>
          </w:p>
        </w:tc>
        <w:tc>
          <w:tcPr>
            <w:tcW w:w="709" w:type="dxa"/>
            <w:vAlign w:val="center"/>
          </w:tcPr>
          <w:p w14:paraId="19462B79">
            <w:pPr>
              <w:jc w:val="center"/>
              <w:rPr>
                <w:rFonts w:ascii="仿宋" w:hAnsi="仿宋" w:eastAsia="仿宋" w:cs="宋体"/>
                <w:sz w:val="24"/>
                <w:szCs w:val="24"/>
              </w:rPr>
            </w:pPr>
            <w:r>
              <w:rPr>
                <w:rFonts w:hint="eastAsia" w:ascii="仿宋" w:hAnsi="仿宋" w:eastAsia="仿宋" w:cs="宋体"/>
                <w:sz w:val="24"/>
                <w:szCs w:val="24"/>
              </w:rPr>
              <w:t>10</w:t>
            </w:r>
          </w:p>
        </w:tc>
        <w:tc>
          <w:tcPr>
            <w:tcW w:w="6237" w:type="dxa"/>
            <w:vAlign w:val="center"/>
          </w:tcPr>
          <w:p w14:paraId="2BAE84FB">
            <w:pPr>
              <w:jc w:val="left"/>
              <w:rPr>
                <w:rFonts w:ascii="仿宋" w:hAnsi="仿宋" w:eastAsia="仿宋" w:cs="宋体"/>
                <w:sz w:val="24"/>
                <w:szCs w:val="24"/>
                <w:lang w:val="zh-CN" w:bidi="ar"/>
              </w:rPr>
            </w:pPr>
            <w:r>
              <w:rPr>
                <w:rFonts w:hint="eastAsia" w:ascii="仿宋" w:hAnsi="仿宋" w:eastAsia="仿宋" w:cs="宋体"/>
                <w:sz w:val="24"/>
                <w:szCs w:val="24"/>
                <w:lang w:val="zh-CN" w:bidi="ar"/>
              </w:rPr>
              <w:t>根据投标文件中售后服务方案（包含出版期间售后措施、售后服务、服务响应时间、人员安排、售后服务承诺、应急服务措施等）综合评分：方案完善、有针对性、可行性的得</w:t>
            </w:r>
            <w:r>
              <w:rPr>
                <w:rFonts w:hint="eastAsia" w:ascii="仿宋" w:hAnsi="仿宋" w:eastAsia="仿宋" w:cs="宋体"/>
                <w:sz w:val="24"/>
                <w:szCs w:val="24"/>
                <w:lang w:bidi="ar"/>
              </w:rPr>
              <w:t>10</w:t>
            </w:r>
            <w:r>
              <w:rPr>
                <w:rFonts w:hint="eastAsia" w:ascii="仿宋" w:hAnsi="仿宋" w:eastAsia="仿宋" w:cs="宋体"/>
                <w:sz w:val="24"/>
                <w:szCs w:val="24"/>
                <w:lang w:val="zh-CN" w:bidi="ar"/>
              </w:rPr>
              <w:t>分，方案阐述不够清晰、不够详尽的得</w:t>
            </w:r>
            <w:r>
              <w:rPr>
                <w:rFonts w:hint="eastAsia" w:ascii="仿宋" w:hAnsi="仿宋" w:eastAsia="仿宋" w:cs="宋体"/>
                <w:sz w:val="24"/>
                <w:szCs w:val="24"/>
                <w:lang w:bidi="ar"/>
              </w:rPr>
              <w:t>5</w:t>
            </w:r>
            <w:r>
              <w:rPr>
                <w:rFonts w:hint="eastAsia" w:ascii="仿宋" w:hAnsi="仿宋" w:eastAsia="仿宋" w:cs="宋体"/>
                <w:sz w:val="24"/>
                <w:szCs w:val="24"/>
                <w:lang w:val="zh-CN" w:bidi="ar"/>
              </w:rPr>
              <w:t>分，方案欠合理或未提供不得分。</w:t>
            </w:r>
          </w:p>
          <w:p w14:paraId="267C7DF2">
            <w:pPr>
              <w:jc w:val="left"/>
              <w:rPr>
                <w:rFonts w:ascii="仿宋" w:hAnsi="仿宋" w:eastAsia="仿宋" w:cs="宋体"/>
                <w:b/>
                <w:bCs/>
                <w:sz w:val="24"/>
                <w:szCs w:val="24"/>
              </w:rPr>
            </w:pPr>
            <w:r>
              <w:rPr>
                <w:rFonts w:ascii="仿宋" w:hAnsi="仿宋" w:eastAsia="仿宋" w:cs="宋体"/>
                <w:b/>
                <w:bCs/>
                <w:sz w:val="24"/>
                <w:szCs w:val="24"/>
              </w:rPr>
              <w:t>本项满分</w:t>
            </w:r>
            <w:r>
              <w:rPr>
                <w:rFonts w:hint="eastAsia" w:ascii="仿宋" w:hAnsi="仿宋" w:eastAsia="仿宋" w:cs="宋体"/>
                <w:b/>
                <w:bCs/>
                <w:sz w:val="24"/>
                <w:szCs w:val="24"/>
              </w:rPr>
              <w:t>10分。</w:t>
            </w:r>
          </w:p>
          <w:p w14:paraId="0BAD3B39">
            <w:pPr>
              <w:jc w:val="left"/>
              <w:rPr>
                <w:rFonts w:ascii="仿宋" w:hAnsi="仿宋" w:eastAsia="仿宋" w:cs="宋体"/>
                <w:sz w:val="24"/>
                <w:szCs w:val="24"/>
              </w:rPr>
            </w:pPr>
            <w:r>
              <w:rPr>
                <w:rFonts w:hint="eastAsia" w:ascii="仿宋" w:hAnsi="仿宋" w:eastAsia="仿宋" w:cs="宋体"/>
                <w:b/>
                <w:bCs/>
                <w:sz w:val="24"/>
                <w:szCs w:val="24"/>
              </w:rPr>
              <w:t>【评审依据】响应文件中提供售后服务方案，未提供不得分。</w:t>
            </w:r>
          </w:p>
        </w:tc>
      </w:tr>
      <w:tr w14:paraId="5517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Align w:val="center"/>
          </w:tcPr>
          <w:p w14:paraId="7258C8DA">
            <w:pPr>
              <w:jc w:val="left"/>
              <w:rPr>
                <w:rFonts w:ascii="仿宋" w:hAnsi="仿宋" w:eastAsia="仿宋" w:cs="宋体"/>
                <w:sz w:val="24"/>
                <w:szCs w:val="24"/>
              </w:rPr>
            </w:pPr>
            <w:r>
              <w:rPr>
                <w:rFonts w:hint="eastAsia" w:ascii="仿宋" w:hAnsi="仿宋" w:eastAsia="仿宋" w:cs="宋体"/>
                <w:sz w:val="24"/>
                <w:szCs w:val="24"/>
              </w:rPr>
              <w:t>5</w:t>
            </w:r>
          </w:p>
        </w:tc>
        <w:tc>
          <w:tcPr>
            <w:tcW w:w="1308" w:type="dxa"/>
            <w:vAlign w:val="center"/>
          </w:tcPr>
          <w:p w14:paraId="12982FC6">
            <w:pPr>
              <w:jc w:val="center"/>
              <w:rPr>
                <w:rFonts w:ascii="仿宋" w:hAnsi="仿宋" w:eastAsia="仿宋" w:cs="宋体"/>
                <w:sz w:val="24"/>
                <w:szCs w:val="24"/>
              </w:rPr>
            </w:pPr>
            <w:r>
              <w:rPr>
                <w:rFonts w:hint="eastAsia" w:ascii="仿宋" w:hAnsi="仿宋" w:eastAsia="仿宋" w:cs="宋体"/>
                <w:sz w:val="24"/>
                <w:szCs w:val="24"/>
              </w:rPr>
              <w:t>履约能力</w:t>
            </w:r>
          </w:p>
        </w:tc>
        <w:tc>
          <w:tcPr>
            <w:tcW w:w="709" w:type="dxa"/>
            <w:vAlign w:val="center"/>
          </w:tcPr>
          <w:p w14:paraId="01FC025E">
            <w:pPr>
              <w:jc w:val="center"/>
              <w:rPr>
                <w:rFonts w:ascii="仿宋" w:hAnsi="仿宋" w:eastAsia="仿宋" w:cs="宋体"/>
                <w:sz w:val="24"/>
                <w:szCs w:val="24"/>
              </w:rPr>
            </w:pPr>
            <w:r>
              <w:rPr>
                <w:rFonts w:hint="eastAsia" w:ascii="仿宋" w:hAnsi="仿宋" w:eastAsia="仿宋" w:cs="宋体"/>
                <w:sz w:val="24"/>
                <w:szCs w:val="24"/>
              </w:rPr>
              <w:t>15</w:t>
            </w:r>
          </w:p>
        </w:tc>
        <w:tc>
          <w:tcPr>
            <w:tcW w:w="6237" w:type="dxa"/>
            <w:vAlign w:val="center"/>
          </w:tcPr>
          <w:p w14:paraId="45383CB7">
            <w:pPr>
              <w:jc w:val="left"/>
              <w:rPr>
                <w:rFonts w:ascii="仿宋" w:hAnsi="仿宋" w:eastAsia="仿宋" w:cs="宋体"/>
                <w:sz w:val="24"/>
                <w:szCs w:val="24"/>
              </w:rPr>
            </w:pPr>
            <w:r>
              <w:rPr>
                <w:rFonts w:hint="eastAsia" w:ascii="仿宋" w:hAnsi="仿宋" w:eastAsia="仿宋" w:cs="宋体"/>
                <w:sz w:val="24"/>
                <w:szCs w:val="24"/>
              </w:rPr>
              <w:t>供应商提供自2020年1月至本项目响应文件递交截止时间（以合同签订日期为准）合同额5万（含）以上的专著出版项目实施案例,每提供一个加5分。</w:t>
            </w:r>
          </w:p>
          <w:p w14:paraId="5C34BC79">
            <w:pPr>
              <w:jc w:val="left"/>
              <w:rPr>
                <w:rFonts w:ascii="仿宋" w:hAnsi="仿宋" w:eastAsia="仿宋" w:cs="宋体"/>
                <w:b/>
                <w:bCs/>
                <w:sz w:val="24"/>
                <w:szCs w:val="24"/>
              </w:rPr>
            </w:pPr>
            <w:r>
              <w:rPr>
                <w:rFonts w:hint="eastAsia" w:ascii="仿宋" w:hAnsi="仿宋" w:eastAsia="仿宋" w:cs="宋体"/>
                <w:b/>
                <w:bCs/>
                <w:sz w:val="24"/>
                <w:szCs w:val="24"/>
              </w:rPr>
              <w:t>本项满分</w:t>
            </w:r>
            <w:r>
              <w:rPr>
                <w:rFonts w:ascii="仿宋" w:hAnsi="仿宋" w:eastAsia="仿宋" w:cs="宋体"/>
                <w:b/>
                <w:bCs/>
                <w:sz w:val="24"/>
                <w:szCs w:val="24"/>
              </w:rPr>
              <w:t>15</w:t>
            </w:r>
            <w:r>
              <w:rPr>
                <w:rFonts w:hint="eastAsia" w:ascii="仿宋" w:hAnsi="仿宋" w:eastAsia="仿宋" w:cs="宋体"/>
                <w:b/>
                <w:bCs/>
                <w:sz w:val="24"/>
                <w:szCs w:val="24"/>
              </w:rPr>
              <w:t>分。</w:t>
            </w:r>
          </w:p>
          <w:p w14:paraId="21DD4FC3">
            <w:pPr>
              <w:jc w:val="left"/>
              <w:rPr>
                <w:rFonts w:ascii="仿宋" w:hAnsi="仿宋" w:eastAsia="仿宋" w:cs="宋体"/>
                <w:sz w:val="24"/>
                <w:szCs w:val="24"/>
              </w:rPr>
            </w:pPr>
            <w:r>
              <w:rPr>
                <w:rFonts w:hint="eastAsia" w:ascii="仿宋" w:hAnsi="仿宋" w:eastAsia="仿宋" w:cs="宋体"/>
                <w:b/>
                <w:bCs/>
                <w:sz w:val="24"/>
                <w:szCs w:val="24"/>
              </w:rPr>
              <w:t>【评审依据】响应文件中提供合同复印件并加盖供应商公章（合同复印件需提供合同首页、标的或内容所在页、签字盖章页）</w:t>
            </w:r>
          </w:p>
        </w:tc>
      </w:tr>
      <w:tr w14:paraId="631FF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Align w:val="center"/>
          </w:tcPr>
          <w:p w14:paraId="43CA71C8">
            <w:pPr>
              <w:jc w:val="left"/>
              <w:rPr>
                <w:rFonts w:ascii="仿宋" w:hAnsi="仿宋" w:eastAsia="仿宋" w:cs="宋体"/>
                <w:sz w:val="24"/>
                <w:szCs w:val="24"/>
              </w:rPr>
            </w:pPr>
            <w:r>
              <w:rPr>
                <w:rFonts w:hint="eastAsia" w:ascii="仿宋" w:hAnsi="仿宋" w:eastAsia="仿宋" w:cs="宋体"/>
                <w:sz w:val="24"/>
                <w:szCs w:val="24"/>
              </w:rPr>
              <w:t>6</w:t>
            </w:r>
          </w:p>
        </w:tc>
        <w:tc>
          <w:tcPr>
            <w:tcW w:w="1308" w:type="dxa"/>
            <w:vAlign w:val="center"/>
          </w:tcPr>
          <w:p w14:paraId="343B1904">
            <w:pPr>
              <w:jc w:val="center"/>
              <w:rPr>
                <w:rFonts w:ascii="仿宋" w:hAnsi="仿宋" w:eastAsia="仿宋" w:cs="宋体"/>
                <w:sz w:val="24"/>
                <w:szCs w:val="24"/>
              </w:rPr>
            </w:pPr>
            <w:r>
              <w:rPr>
                <w:rFonts w:hint="eastAsia" w:ascii="仿宋" w:hAnsi="仿宋" w:eastAsia="仿宋" w:cs="宋体"/>
                <w:sz w:val="24"/>
                <w:szCs w:val="24"/>
              </w:rPr>
              <w:t>企业综合实力</w:t>
            </w:r>
          </w:p>
        </w:tc>
        <w:tc>
          <w:tcPr>
            <w:tcW w:w="709" w:type="dxa"/>
            <w:vAlign w:val="center"/>
          </w:tcPr>
          <w:p w14:paraId="147D11AC">
            <w:pPr>
              <w:jc w:val="center"/>
              <w:rPr>
                <w:rFonts w:ascii="仿宋" w:hAnsi="仿宋" w:eastAsia="仿宋" w:cs="宋体"/>
                <w:sz w:val="24"/>
                <w:szCs w:val="24"/>
              </w:rPr>
            </w:pPr>
            <w:r>
              <w:rPr>
                <w:rFonts w:hint="eastAsia" w:ascii="仿宋" w:hAnsi="仿宋" w:eastAsia="仿宋" w:cs="宋体"/>
                <w:sz w:val="24"/>
                <w:szCs w:val="24"/>
              </w:rPr>
              <w:t>20</w:t>
            </w:r>
          </w:p>
        </w:tc>
        <w:tc>
          <w:tcPr>
            <w:tcW w:w="6237" w:type="dxa"/>
            <w:vAlign w:val="center"/>
          </w:tcPr>
          <w:p w14:paraId="39963124">
            <w:pPr>
              <w:numPr>
                <w:ilvl w:val="0"/>
                <w:numId w:val="1"/>
              </w:numPr>
              <w:jc w:val="left"/>
              <w:rPr>
                <w:rFonts w:ascii="仿宋" w:hAnsi="仿宋" w:eastAsia="仿宋" w:cs="宋体"/>
                <w:sz w:val="24"/>
                <w:szCs w:val="24"/>
              </w:rPr>
            </w:pPr>
            <w:r>
              <w:rPr>
                <w:rFonts w:hint="eastAsia" w:ascii="仿宋" w:hAnsi="仿宋" w:eastAsia="仿宋" w:cs="宋体"/>
                <w:sz w:val="24"/>
                <w:szCs w:val="24"/>
              </w:rPr>
              <w:t>供应商为985高校出版社加5分，为211高校出版社加4分。</w:t>
            </w:r>
          </w:p>
          <w:p w14:paraId="4E358C33">
            <w:pPr>
              <w:jc w:val="left"/>
              <w:rPr>
                <w:rFonts w:ascii="仿宋" w:hAnsi="仿宋" w:eastAsia="仿宋"/>
                <w:sz w:val="24"/>
                <w:szCs w:val="24"/>
                <w:u w:val="single"/>
              </w:rPr>
            </w:pPr>
            <w:r>
              <w:rPr>
                <w:rFonts w:hint="eastAsia" w:ascii="仿宋" w:hAnsi="仿宋" w:eastAsia="仿宋" w:cs="宋体"/>
                <w:sz w:val="24"/>
                <w:szCs w:val="24"/>
              </w:rPr>
              <w:t>（</w:t>
            </w:r>
            <w:r>
              <w:rPr>
                <w:rFonts w:ascii="仿宋" w:hAnsi="仿宋" w:eastAsia="仿宋" w:cs="宋体"/>
                <w:sz w:val="24"/>
                <w:szCs w:val="24"/>
              </w:rPr>
              <w:t>2</w:t>
            </w:r>
            <w:r>
              <w:rPr>
                <w:rFonts w:hint="eastAsia" w:ascii="仿宋" w:hAnsi="仿宋" w:eastAsia="仿宋" w:cs="宋体"/>
                <w:sz w:val="24"/>
                <w:szCs w:val="24"/>
              </w:rPr>
              <w:t>）供应商经营年限≥40年得5分（注：经营年限的计算为营业执照的成立时间至谈判当日。）</w:t>
            </w:r>
          </w:p>
          <w:p w14:paraId="07BDA9E9">
            <w:pPr>
              <w:jc w:val="left"/>
              <w:rPr>
                <w:rFonts w:ascii="仿宋" w:hAnsi="仿宋" w:eastAsia="仿宋" w:cs="宋体"/>
                <w:sz w:val="24"/>
                <w:szCs w:val="24"/>
              </w:rPr>
            </w:pPr>
            <w:r>
              <w:rPr>
                <w:rFonts w:hint="eastAsia" w:ascii="仿宋" w:hAnsi="仿宋" w:eastAsia="仿宋" w:cs="宋体"/>
                <w:sz w:val="24"/>
              </w:rPr>
              <w:t>（</w:t>
            </w:r>
            <w:r>
              <w:rPr>
                <w:rFonts w:ascii="仿宋" w:hAnsi="仿宋" w:eastAsia="仿宋" w:cs="宋体"/>
                <w:sz w:val="24"/>
              </w:rPr>
              <w:t>3</w:t>
            </w:r>
            <w:r>
              <w:rPr>
                <w:rFonts w:hint="eastAsia" w:ascii="仿宋" w:hAnsi="仿宋" w:eastAsia="仿宋" w:cs="宋体"/>
                <w:sz w:val="24"/>
              </w:rPr>
              <w:t>）供应</w:t>
            </w:r>
            <w:r>
              <w:rPr>
                <w:rFonts w:hint="eastAsia" w:ascii="仿宋" w:hAnsi="仿宋" w:eastAsia="仿宋" w:cs="宋体"/>
                <w:sz w:val="24"/>
                <w:szCs w:val="24"/>
              </w:rPr>
              <w:t>商注册资本≥2000万元得5分</w:t>
            </w:r>
            <w:r>
              <w:rPr>
                <w:rFonts w:hint="eastAsia" w:ascii="仿宋" w:hAnsi="仿宋" w:eastAsia="仿宋" w:cs="宋体"/>
                <w:sz w:val="24"/>
              </w:rPr>
              <w:t>，其他情况不得分</w:t>
            </w:r>
            <w:r>
              <w:rPr>
                <w:rFonts w:hint="eastAsia" w:ascii="仿宋" w:hAnsi="仿宋" w:eastAsia="仿宋"/>
                <w:sz w:val="24"/>
              </w:rPr>
              <w:t>。</w:t>
            </w:r>
          </w:p>
          <w:p w14:paraId="072ABE5A">
            <w:pPr>
              <w:jc w:val="left"/>
              <w:rPr>
                <w:rFonts w:eastAsia="仿宋"/>
              </w:rPr>
            </w:pPr>
            <w:r>
              <w:rPr>
                <w:rFonts w:hint="eastAsia" w:ascii="仿宋" w:hAnsi="仿宋" w:eastAsia="仿宋" w:cs="宋体"/>
                <w:sz w:val="24"/>
                <w:szCs w:val="24"/>
              </w:rPr>
              <w:t>（</w:t>
            </w:r>
            <w:r>
              <w:rPr>
                <w:rFonts w:ascii="仿宋" w:hAnsi="仿宋" w:eastAsia="仿宋" w:cs="宋体"/>
                <w:sz w:val="24"/>
                <w:szCs w:val="24"/>
              </w:rPr>
              <w:t>4</w:t>
            </w:r>
            <w:r>
              <w:rPr>
                <w:rFonts w:hint="eastAsia" w:ascii="仿宋" w:hAnsi="仿宋" w:eastAsia="仿宋" w:cs="宋体"/>
                <w:sz w:val="24"/>
                <w:szCs w:val="24"/>
              </w:rPr>
              <w:t>）供应商在近两年社会效益考</w:t>
            </w:r>
            <w:r>
              <w:rPr>
                <w:rFonts w:hint="eastAsia" w:ascii="仿宋" w:hAnsi="仿宋" w:eastAsia="仿宋"/>
                <w:sz w:val="24"/>
              </w:rPr>
              <w:t>核优秀得5分。</w:t>
            </w:r>
          </w:p>
          <w:p w14:paraId="7C4EEC18">
            <w:pPr>
              <w:jc w:val="left"/>
              <w:rPr>
                <w:rFonts w:ascii="仿宋" w:hAnsi="仿宋" w:eastAsia="仿宋" w:cs="宋体"/>
                <w:b/>
                <w:bCs/>
                <w:sz w:val="24"/>
                <w:szCs w:val="24"/>
              </w:rPr>
            </w:pPr>
            <w:r>
              <w:rPr>
                <w:rFonts w:hint="eastAsia" w:ascii="仿宋" w:hAnsi="仿宋" w:eastAsia="仿宋" w:cs="宋体"/>
                <w:b/>
                <w:bCs/>
                <w:sz w:val="24"/>
                <w:szCs w:val="24"/>
              </w:rPr>
              <w:t>本项满分20分。</w:t>
            </w:r>
          </w:p>
          <w:p w14:paraId="7316560E">
            <w:pPr>
              <w:jc w:val="left"/>
              <w:rPr>
                <w:rFonts w:ascii="仿宋" w:hAnsi="仿宋" w:eastAsia="仿宋" w:cs="宋体"/>
                <w:sz w:val="24"/>
                <w:szCs w:val="24"/>
              </w:rPr>
            </w:pPr>
            <w:r>
              <w:rPr>
                <w:rFonts w:hint="eastAsia" w:ascii="仿宋" w:hAnsi="仿宋" w:eastAsia="仿宋" w:cs="宋体"/>
                <w:b/>
                <w:bCs/>
                <w:sz w:val="24"/>
                <w:szCs w:val="24"/>
              </w:rPr>
              <w:t>【评审依据】响应文件中提供有效的证明文件并加盖供应商公章，未提供不得分。</w:t>
            </w:r>
          </w:p>
        </w:tc>
      </w:tr>
      <w:tr w14:paraId="6C41B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1" w:type="dxa"/>
            <w:vAlign w:val="center"/>
          </w:tcPr>
          <w:p w14:paraId="7CC0FC8C">
            <w:pPr>
              <w:jc w:val="left"/>
              <w:rPr>
                <w:rFonts w:ascii="仿宋" w:hAnsi="仿宋" w:eastAsia="仿宋" w:cs="宋体"/>
                <w:sz w:val="24"/>
                <w:szCs w:val="24"/>
              </w:rPr>
            </w:pPr>
            <w:r>
              <w:rPr>
                <w:rFonts w:hint="eastAsia" w:ascii="仿宋" w:hAnsi="仿宋" w:eastAsia="仿宋" w:cs="宋体"/>
                <w:sz w:val="24"/>
                <w:szCs w:val="24"/>
              </w:rPr>
              <w:t>7</w:t>
            </w:r>
          </w:p>
        </w:tc>
        <w:tc>
          <w:tcPr>
            <w:tcW w:w="1308" w:type="dxa"/>
            <w:vAlign w:val="center"/>
          </w:tcPr>
          <w:p w14:paraId="12A58C4F">
            <w:pPr>
              <w:jc w:val="center"/>
              <w:rPr>
                <w:rFonts w:ascii="仿宋" w:hAnsi="仿宋" w:eastAsia="仿宋" w:cs="宋体"/>
                <w:sz w:val="24"/>
                <w:szCs w:val="24"/>
              </w:rPr>
            </w:pPr>
            <w:r>
              <w:rPr>
                <w:rFonts w:hint="eastAsia" w:ascii="仿宋" w:hAnsi="仿宋" w:eastAsia="仿宋" w:cs="宋体"/>
                <w:sz w:val="24"/>
                <w:szCs w:val="24"/>
              </w:rPr>
              <w:t>出版荣誉</w:t>
            </w:r>
          </w:p>
        </w:tc>
        <w:tc>
          <w:tcPr>
            <w:tcW w:w="709" w:type="dxa"/>
            <w:vAlign w:val="center"/>
          </w:tcPr>
          <w:p w14:paraId="74047981">
            <w:pPr>
              <w:jc w:val="center"/>
              <w:rPr>
                <w:rFonts w:ascii="仿宋" w:hAnsi="仿宋" w:eastAsia="仿宋" w:cs="宋体"/>
                <w:sz w:val="24"/>
                <w:szCs w:val="24"/>
              </w:rPr>
            </w:pPr>
            <w:r>
              <w:rPr>
                <w:rFonts w:hint="eastAsia" w:ascii="仿宋" w:hAnsi="仿宋" w:eastAsia="仿宋" w:cs="宋体"/>
                <w:sz w:val="24"/>
                <w:szCs w:val="24"/>
              </w:rPr>
              <w:t>10</w:t>
            </w:r>
          </w:p>
        </w:tc>
        <w:tc>
          <w:tcPr>
            <w:tcW w:w="6237" w:type="dxa"/>
            <w:vAlign w:val="center"/>
          </w:tcPr>
          <w:p w14:paraId="357E932C">
            <w:pPr>
              <w:jc w:val="left"/>
              <w:rPr>
                <w:rFonts w:ascii="仿宋" w:hAnsi="仿宋" w:eastAsia="仿宋" w:cs="宋体"/>
                <w:sz w:val="24"/>
                <w:szCs w:val="24"/>
              </w:rPr>
            </w:pPr>
            <w:r>
              <w:rPr>
                <w:rFonts w:hint="eastAsia" w:ascii="仿宋" w:hAnsi="仿宋" w:eastAsia="仿宋" w:cs="宋体"/>
                <w:sz w:val="24"/>
                <w:szCs w:val="24"/>
              </w:rPr>
              <w:t>近五年获国家级出版项目（国家出版基金资助项目）资助，每提供</w:t>
            </w:r>
            <w:r>
              <w:rPr>
                <w:rFonts w:ascii="仿宋" w:hAnsi="仿宋" w:eastAsia="仿宋" w:cs="宋体"/>
                <w:sz w:val="24"/>
                <w:szCs w:val="24"/>
              </w:rPr>
              <w:t>1项得</w:t>
            </w:r>
            <w:r>
              <w:rPr>
                <w:rFonts w:hint="eastAsia" w:ascii="仿宋" w:hAnsi="仿宋" w:eastAsia="仿宋" w:cs="宋体"/>
                <w:sz w:val="24"/>
                <w:szCs w:val="24"/>
              </w:rPr>
              <w:t>5</w:t>
            </w:r>
            <w:r>
              <w:rPr>
                <w:rFonts w:ascii="仿宋" w:hAnsi="仿宋" w:eastAsia="仿宋" w:cs="宋体"/>
                <w:sz w:val="24"/>
                <w:szCs w:val="24"/>
              </w:rPr>
              <w:t>分，最高得</w:t>
            </w:r>
            <w:r>
              <w:rPr>
                <w:rFonts w:hint="eastAsia" w:ascii="仿宋" w:hAnsi="仿宋" w:eastAsia="仿宋" w:cs="宋体"/>
                <w:sz w:val="24"/>
                <w:szCs w:val="24"/>
              </w:rPr>
              <w:t>10分。</w:t>
            </w:r>
          </w:p>
          <w:p w14:paraId="766EBABF">
            <w:pPr>
              <w:pStyle w:val="7"/>
              <w:rPr>
                <w:rFonts w:ascii="仿宋" w:hAnsi="仿宋" w:eastAsia="仿宋" w:cs="宋体"/>
                <w:b/>
                <w:bCs/>
                <w:sz w:val="24"/>
              </w:rPr>
            </w:pPr>
            <w:r>
              <w:rPr>
                <w:rFonts w:hint="eastAsia" w:ascii="仿宋" w:hAnsi="仿宋" w:eastAsia="仿宋" w:cs="宋体"/>
                <w:b/>
                <w:bCs/>
                <w:sz w:val="24"/>
              </w:rPr>
              <w:t>本项满分</w:t>
            </w:r>
            <w:r>
              <w:rPr>
                <w:rFonts w:ascii="仿宋" w:hAnsi="仿宋" w:eastAsia="仿宋" w:cs="宋体"/>
                <w:b/>
                <w:bCs/>
                <w:sz w:val="24"/>
              </w:rPr>
              <w:t>1</w:t>
            </w:r>
            <w:r>
              <w:rPr>
                <w:rFonts w:hint="eastAsia" w:ascii="仿宋" w:hAnsi="仿宋" w:eastAsia="仿宋" w:cs="宋体"/>
                <w:b/>
                <w:bCs/>
                <w:sz w:val="24"/>
              </w:rPr>
              <w:t>0分。</w:t>
            </w:r>
          </w:p>
          <w:p w14:paraId="562E5F73">
            <w:pPr>
              <w:jc w:val="left"/>
              <w:rPr>
                <w:rFonts w:ascii="仿宋" w:hAnsi="仿宋" w:eastAsia="仿宋" w:cs="宋体"/>
                <w:sz w:val="24"/>
                <w:szCs w:val="24"/>
              </w:rPr>
            </w:pPr>
            <w:r>
              <w:rPr>
                <w:rFonts w:hint="eastAsia" w:ascii="仿宋" w:hAnsi="仿宋" w:eastAsia="仿宋" w:cs="宋体"/>
                <w:b/>
                <w:bCs/>
                <w:sz w:val="24"/>
                <w:szCs w:val="24"/>
              </w:rPr>
              <w:t>【评审依据】响应文件中提供有效的证明文件并加盖供应商公章，未提供不得分。</w:t>
            </w:r>
          </w:p>
        </w:tc>
      </w:tr>
    </w:tbl>
    <w:p w14:paraId="7B24F54E"/>
    <w:p w14:paraId="2CE8C035"/>
    <w:p w14:paraId="450018AE"/>
    <w:p w14:paraId="5077E8EB">
      <w:pPr>
        <w:pStyle w:val="15"/>
        <w:ind w:left="0" w:leftChars="0" w:firstLine="0"/>
        <w:jc w:val="center"/>
        <w:rPr>
          <w:rFonts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18F19F73">
      <w:pPr>
        <w:pStyle w:val="15"/>
        <w:spacing w:before="0" w:beforeAutospacing="0" w:after="0" w:line="360" w:lineRule="auto"/>
        <w:ind w:left="0" w:leftChars="0" w:firstLine="482" w:firstLineChars="200"/>
        <w:jc w:val="left"/>
        <w:rPr>
          <w:rFonts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083C3535"/>
    <w:p w14:paraId="26A326CD">
      <w:pPr>
        <w:pStyle w:val="15"/>
        <w:ind w:left="0" w:leftChars="0" w:firstLine="0"/>
      </w:pPr>
    </w:p>
    <w:p w14:paraId="4DFEE8F5">
      <w:pPr>
        <w:pStyle w:val="15"/>
        <w:ind w:left="0" w:leftChars="0" w:firstLine="0"/>
        <w:jc w:val="center"/>
        <w:rPr>
          <w:rFonts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1"/>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1"/>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1"/>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1"/>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4、报价不得超过采购预算价格，否则为无效投标。</w:t>
      </w:r>
    </w:p>
    <w:p w14:paraId="5FC3736A">
      <w:pPr>
        <w:pStyle w:val="10"/>
        <w:adjustRightInd w:val="0"/>
        <w:snapToGrid w:val="0"/>
        <w:spacing w:line="360" w:lineRule="auto"/>
        <w:rPr>
          <w:rFonts w:ascii="仿宋_GB2312" w:hAnsi="宋体" w:eastAsia="仿宋_GB2312"/>
          <w:b/>
        </w:rPr>
      </w:pPr>
    </w:p>
    <w:p w14:paraId="495F3925">
      <w:pPr>
        <w:pStyle w:val="10"/>
        <w:adjustRightInd w:val="0"/>
        <w:snapToGrid w:val="0"/>
        <w:spacing w:line="360" w:lineRule="auto"/>
        <w:rPr>
          <w:rFonts w:ascii="仿宋_GB2312" w:hAnsi="宋体" w:eastAsia="仿宋_GB2312"/>
          <w:b/>
        </w:rPr>
      </w:pPr>
    </w:p>
    <w:p w14:paraId="002BFB56">
      <w:pPr>
        <w:pStyle w:val="10"/>
        <w:adjustRightInd w:val="0"/>
        <w:snapToGrid w:val="0"/>
        <w:spacing w:line="360" w:lineRule="auto"/>
        <w:rPr>
          <w:rFonts w:ascii="仿宋_GB2312" w:hAnsi="宋体" w:eastAsia="仿宋_GB2312"/>
          <w:b/>
        </w:rPr>
      </w:pPr>
    </w:p>
    <w:p w14:paraId="3BA2FD4C">
      <w:pPr>
        <w:pStyle w:val="10"/>
        <w:adjustRightInd w:val="0"/>
        <w:snapToGrid w:val="0"/>
        <w:spacing w:line="360" w:lineRule="auto"/>
        <w:rPr>
          <w:rFonts w:ascii="仿宋_GB2312" w:hAnsi="宋体" w:eastAsia="仿宋_GB2312"/>
          <w:b/>
        </w:rPr>
      </w:pPr>
    </w:p>
    <w:p w14:paraId="5C02B142">
      <w:pPr>
        <w:pStyle w:val="10"/>
        <w:adjustRightInd w:val="0"/>
        <w:snapToGrid w:val="0"/>
        <w:spacing w:line="360" w:lineRule="auto"/>
        <w:rPr>
          <w:rFonts w:ascii="仿宋_GB2312" w:hAnsi="宋体" w:eastAsia="仿宋_GB2312"/>
          <w:b/>
        </w:rPr>
      </w:pPr>
    </w:p>
    <w:p w14:paraId="625771E2">
      <w:pPr>
        <w:pStyle w:val="10"/>
        <w:adjustRightInd w:val="0"/>
        <w:snapToGrid w:val="0"/>
        <w:spacing w:line="360" w:lineRule="auto"/>
        <w:rPr>
          <w:rFonts w:ascii="仿宋_GB2312" w:hAnsi="宋体" w:eastAsia="仿宋_GB2312"/>
          <w:b/>
        </w:rPr>
      </w:pPr>
    </w:p>
    <w:p w14:paraId="4396E67A">
      <w:pPr>
        <w:pStyle w:val="10"/>
        <w:adjustRightInd w:val="0"/>
        <w:snapToGrid w:val="0"/>
        <w:spacing w:line="360" w:lineRule="auto"/>
        <w:rPr>
          <w:rFonts w:ascii="仿宋_GB2312" w:hAnsi="宋体" w:eastAsia="仿宋_GB2312"/>
          <w:b/>
        </w:rPr>
      </w:pPr>
    </w:p>
    <w:p w14:paraId="33EE1F5B">
      <w:pPr>
        <w:pStyle w:val="10"/>
        <w:adjustRightInd w:val="0"/>
        <w:snapToGrid w:val="0"/>
        <w:spacing w:line="360" w:lineRule="auto"/>
        <w:rPr>
          <w:rFonts w:ascii="仿宋_GB2312" w:hAnsi="宋体" w:eastAsia="仿宋_GB2312"/>
          <w:b/>
        </w:rPr>
      </w:pPr>
    </w:p>
    <w:p w14:paraId="6BA60C6A">
      <w:pPr>
        <w:pStyle w:val="10"/>
        <w:adjustRightInd w:val="0"/>
        <w:snapToGrid w:val="0"/>
        <w:spacing w:line="360" w:lineRule="auto"/>
        <w:rPr>
          <w:rFonts w:ascii="仿宋_GB2312" w:hAnsi="宋体" w:eastAsia="仿宋_GB2312"/>
          <w:b/>
        </w:rPr>
      </w:pPr>
    </w:p>
    <w:p w14:paraId="5B86B409">
      <w:pPr>
        <w:pStyle w:val="10"/>
        <w:adjustRightInd w:val="0"/>
        <w:snapToGrid w:val="0"/>
        <w:spacing w:line="360" w:lineRule="auto"/>
        <w:rPr>
          <w:rFonts w:ascii="仿宋_GB2312" w:hAnsi="宋体" w:eastAsia="仿宋_GB2312"/>
          <w:b/>
        </w:rPr>
      </w:pPr>
    </w:p>
    <w:p w14:paraId="0BEB1F13">
      <w:pPr>
        <w:pStyle w:val="10"/>
        <w:adjustRightInd w:val="0"/>
        <w:snapToGrid w:val="0"/>
        <w:spacing w:line="360" w:lineRule="auto"/>
        <w:rPr>
          <w:rFonts w:ascii="仿宋_GB2312" w:hAnsi="宋体" w:eastAsia="仿宋_GB2312"/>
          <w:b/>
        </w:rPr>
      </w:pPr>
    </w:p>
    <w:p w14:paraId="4FA8DDB0">
      <w:pPr>
        <w:pStyle w:val="10"/>
        <w:adjustRightInd w:val="0"/>
        <w:snapToGrid w:val="0"/>
        <w:spacing w:line="360" w:lineRule="auto"/>
        <w:rPr>
          <w:rFonts w:ascii="仿宋_GB2312" w:hAnsi="宋体" w:eastAsia="仿宋_GB2312"/>
          <w:b/>
        </w:rPr>
      </w:pPr>
    </w:p>
    <w:p w14:paraId="25D1E616">
      <w:pPr>
        <w:pStyle w:val="10"/>
        <w:adjustRightInd w:val="0"/>
        <w:snapToGrid w:val="0"/>
        <w:spacing w:line="360" w:lineRule="auto"/>
        <w:rPr>
          <w:rFonts w:ascii="仿宋_GB2312" w:hAnsi="宋体" w:eastAsia="仿宋_GB2312"/>
          <w:b/>
        </w:rPr>
      </w:pPr>
    </w:p>
    <w:p w14:paraId="684643C1">
      <w:pPr>
        <w:pStyle w:val="10"/>
        <w:adjustRightInd w:val="0"/>
        <w:snapToGrid w:val="0"/>
        <w:spacing w:line="360" w:lineRule="auto"/>
        <w:rPr>
          <w:rFonts w:ascii="仿宋_GB2312" w:hAnsi="宋体" w:eastAsia="仿宋_GB2312"/>
          <w:b/>
        </w:rPr>
      </w:pPr>
    </w:p>
    <w:p w14:paraId="68C4A83B">
      <w:pPr>
        <w:pStyle w:val="10"/>
        <w:adjustRightInd w:val="0"/>
        <w:snapToGrid w:val="0"/>
        <w:spacing w:line="360" w:lineRule="auto"/>
        <w:rPr>
          <w:rFonts w:ascii="仿宋_GB2312" w:hAnsi="宋体" w:eastAsia="仿宋_GB2312"/>
          <w:b/>
        </w:rPr>
      </w:pPr>
    </w:p>
    <w:p w14:paraId="7A1525E4">
      <w:pPr>
        <w:pStyle w:val="10"/>
        <w:adjustRightInd w:val="0"/>
        <w:snapToGrid w:val="0"/>
        <w:spacing w:line="360" w:lineRule="auto"/>
        <w:rPr>
          <w:rFonts w:ascii="仿宋_GB2312" w:hAnsi="宋体" w:eastAsia="仿宋_GB2312"/>
          <w:b/>
        </w:rPr>
      </w:pPr>
    </w:p>
    <w:p w14:paraId="0F523BA7">
      <w:pPr>
        <w:pStyle w:val="10"/>
        <w:adjustRightInd w:val="0"/>
        <w:snapToGrid w:val="0"/>
        <w:spacing w:line="360" w:lineRule="auto"/>
        <w:rPr>
          <w:rFonts w:ascii="仿宋_GB2312" w:hAnsi="宋体" w:eastAsia="仿宋_GB2312"/>
          <w:b/>
        </w:rPr>
      </w:pPr>
    </w:p>
    <w:p w14:paraId="6C8F90E5">
      <w:pPr>
        <w:pStyle w:val="10"/>
        <w:adjustRightInd w:val="0"/>
        <w:snapToGrid w:val="0"/>
        <w:spacing w:line="360" w:lineRule="auto"/>
        <w:rPr>
          <w:rFonts w:ascii="仿宋_GB2312" w:hAnsi="宋体" w:eastAsia="仿宋_GB2312"/>
          <w:b/>
        </w:rPr>
      </w:pPr>
    </w:p>
    <w:p w14:paraId="2CCC1DC8">
      <w:pPr>
        <w:pStyle w:val="10"/>
        <w:adjustRightInd w:val="0"/>
        <w:snapToGrid w:val="0"/>
        <w:spacing w:line="360" w:lineRule="auto"/>
        <w:rPr>
          <w:rFonts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ascii="仿宋_GB2312" w:hAnsi="宋体" w:eastAsia="仿宋_GB2312"/>
          <w:sz w:val="24"/>
          <w:szCs w:val="24"/>
        </w:rPr>
      </w:pPr>
    </w:p>
    <w:p w14:paraId="3B40E189">
      <w:pPr>
        <w:adjustRightInd w:val="0"/>
        <w:snapToGrid w:val="0"/>
        <w:spacing w:line="360" w:lineRule="auto"/>
        <w:rPr>
          <w:rFonts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10"/>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0"/>
        <w:adjustRightInd w:val="0"/>
        <w:snapToGrid w:val="0"/>
        <w:spacing w:line="360" w:lineRule="auto"/>
        <w:ind w:firstLine="480" w:firstLineChars="200"/>
        <w:rPr>
          <w:rFonts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0"/>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0"/>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10"/>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C248E1D">
      <w:pPr>
        <w:adjustRightInd w:val="0"/>
        <w:snapToGrid w:val="0"/>
        <w:spacing w:line="360" w:lineRule="auto"/>
        <w:ind w:right="24"/>
        <w:rPr>
          <w:rFonts w:ascii="仿宋" w:hAnsi="仿宋" w:eastAsia="仿宋"/>
          <w:bCs/>
          <w:sz w:val="24"/>
          <w:szCs w:val="24"/>
        </w:rPr>
      </w:pPr>
    </w:p>
    <w:p w14:paraId="124491FF">
      <w:pPr>
        <w:adjustRightInd w:val="0"/>
        <w:snapToGrid w:val="0"/>
        <w:spacing w:line="360" w:lineRule="auto"/>
        <w:ind w:right="24"/>
        <w:rPr>
          <w:rFonts w:ascii="仿宋" w:hAnsi="仿宋" w:eastAsia="仿宋"/>
          <w:bCs/>
          <w:sz w:val="24"/>
          <w:szCs w:val="24"/>
        </w:rPr>
      </w:pPr>
    </w:p>
    <w:p w14:paraId="5DB1CD06">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6B7C009A">
      <w:pPr>
        <w:pStyle w:val="10"/>
        <w:adjustRightInd w:val="0"/>
        <w:snapToGrid w:val="0"/>
        <w:spacing w:line="360" w:lineRule="auto"/>
        <w:rPr>
          <w:rFonts w:ascii="仿宋" w:hAnsi="仿宋" w:eastAsia="仿宋"/>
          <w:sz w:val="24"/>
          <w:szCs w:val="24"/>
        </w:rPr>
      </w:pPr>
    </w:p>
    <w:p w14:paraId="5B8CF27D">
      <w:pPr>
        <w:pStyle w:val="10"/>
        <w:adjustRightInd w:val="0"/>
        <w:snapToGrid w:val="0"/>
        <w:spacing w:line="360" w:lineRule="auto"/>
        <w:rPr>
          <w:rFonts w:ascii="仿宋" w:hAnsi="仿宋" w:eastAsia="仿宋"/>
          <w:sz w:val="24"/>
          <w:szCs w:val="24"/>
        </w:rPr>
      </w:pPr>
    </w:p>
    <w:p w14:paraId="0E155071">
      <w:pPr>
        <w:pStyle w:val="10"/>
        <w:adjustRightInd w:val="0"/>
        <w:snapToGrid w:val="0"/>
        <w:spacing w:line="360" w:lineRule="auto"/>
        <w:rPr>
          <w:rFonts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ascii="仿宋" w:hAnsi="仿宋" w:eastAsia="仿宋"/>
          <w:bCs/>
          <w:sz w:val="24"/>
        </w:rPr>
      </w:pPr>
    </w:p>
    <w:p w14:paraId="2F5415D5">
      <w:pPr>
        <w:adjustRightInd w:val="0"/>
        <w:snapToGrid w:val="0"/>
        <w:spacing w:line="360" w:lineRule="auto"/>
        <w:ind w:right="24"/>
        <w:rPr>
          <w:szCs w:val="21"/>
        </w:rPr>
      </w:pPr>
    </w:p>
    <w:p w14:paraId="735B14D2">
      <w:pPr>
        <w:adjustRightInd w:val="0"/>
        <w:snapToGrid w:val="0"/>
        <w:spacing w:line="360" w:lineRule="auto"/>
        <w:ind w:right="24"/>
        <w:rPr>
          <w:szCs w:val="21"/>
        </w:rPr>
      </w:pPr>
    </w:p>
    <w:p w14:paraId="36AF8E5A">
      <w:pPr>
        <w:adjustRightInd w:val="0"/>
        <w:snapToGrid w:val="0"/>
        <w:spacing w:line="360" w:lineRule="auto"/>
        <w:ind w:right="24"/>
        <w:rPr>
          <w:rFonts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ascii="仿宋" w:hAnsi="仿宋" w:eastAsia="仿宋"/>
          <w:sz w:val="24"/>
          <w:szCs w:val="24"/>
        </w:rPr>
      </w:pPr>
    </w:p>
    <w:p w14:paraId="225D67E6">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ascii="仿宋" w:hAnsi="仿宋" w:eastAsia="仿宋"/>
          <w:sz w:val="24"/>
          <w:szCs w:val="24"/>
        </w:rPr>
      </w:pPr>
    </w:p>
    <w:p w14:paraId="4EAB8206">
      <w:pPr>
        <w:snapToGrid w:val="0"/>
        <w:rPr>
          <w:rFonts w:ascii="仿宋" w:hAnsi="仿宋" w:eastAsia="仿宋"/>
          <w:sz w:val="24"/>
          <w:szCs w:val="24"/>
        </w:rPr>
      </w:pPr>
    </w:p>
    <w:p w14:paraId="67C67ED1">
      <w:pPr>
        <w:snapToGrid w:val="0"/>
        <w:rPr>
          <w:rFonts w:ascii="仿宋" w:hAnsi="仿宋" w:eastAsia="仿宋"/>
          <w:sz w:val="24"/>
          <w:szCs w:val="24"/>
        </w:rPr>
      </w:pPr>
    </w:p>
    <w:p w14:paraId="172E056E">
      <w:pPr>
        <w:snapToGrid w:val="0"/>
        <w:rPr>
          <w:rFonts w:ascii="仿宋" w:hAnsi="仿宋" w:eastAsia="仿宋"/>
          <w:sz w:val="24"/>
          <w:szCs w:val="24"/>
        </w:rPr>
      </w:pPr>
    </w:p>
    <w:p w14:paraId="336B8B31">
      <w:pPr>
        <w:snapToGrid w:val="0"/>
        <w:rPr>
          <w:rFonts w:ascii="仿宋" w:hAnsi="仿宋" w:eastAsia="仿宋"/>
          <w:sz w:val="24"/>
          <w:szCs w:val="24"/>
        </w:rPr>
      </w:pPr>
    </w:p>
    <w:p w14:paraId="7FB434E6">
      <w:pPr>
        <w:adjustRightInd w:val="0"/>
        <w:snapToGrid w:val="0"/>
        <w:spacing w:line="360" w:lineRule="auto"/>
        <w:rPr>
          <w:rFonts w:ascii="仿宋" w:hAnsi="仿宋" w:eastAsia="仿宋"/>
          <w:sz w:val="24"/>
          <w:szCs w:val="24"/>
        </w:rPr>
      </w:pPr>
    </w:p>
    <w:p w14:paraId="244CD4E8">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ascii="仿宋_GB2312" w:hAnsi="宋体" w:eastAsia="仿宋_GB2312"/>
          <w:sz w:val="24"/>
          <w:szCs w:val="24"/>
        </w:rPr>
      </w:pPr>
    </w:p>
    <w:p w14:paraId="325667BA">
      <w:pPr>
        <w:adjustRightInd w:val="0"/>
        <w:snapToGrid w:val="0"/>
        <w:spacing w:before="156" w:beforeLines="50" w:line="360" w:lineRule="auto"/>
        <w:rPr>
          <w:rFonts w:ascii="仿宋_GB2312" w:hAnsi="宋体" w:eastAsia="仿宋_GB2312"/>
          <w:sz w:val="24"/>
          <w:szCs w:val="24"/>
        </w:rPr>
      </w:pPr>
    </w:p>
    <w:p w14:paraId="6BDE129F">
      <w:pPr>
        <w:adjustRightInd w:val="0"/>
        <w:snapToGrid w:val="0"/>
        <w:spacing w:before="156" w:beforeLines="50" w:line="360" w:lineRule="auto"/>
        <w:rPr>
          <w:rFonts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656A6B8E">
      <w:pPr>
        <w:adjustRightInd w:val="0"/>
        <w:snapToGrid w:val="0"/>
        <w:spacing w:line="360" w:lineRule="auto"/>
        <w:ind w:right="24"/>
        <w:jc w:val="center"/>
        <w:rPr>
          <w:rFonts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7F870902"/>
    <w:p w14:paraId="78DBABB8">
      <w:pPr>
        <w:pStyle w:val="15"/>
        <w:ind w:left="0" w:leftChars="0" w:firstLine="0"/>
        <w:rPr>
          <w:rFonts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ascii="仿宋" w:hAnsi="仿宋" w:eastAsia="仿宋"/>
          <w:b/>
          <w:sz w:val="32"/>
          <w:szCs w:val="32"/>
        </w:rPr>
      </w:pPr>
      <w:r>
        <w:rPr>
          <w:rFonts w:ascii="仿宋" w:hAnsi="仿宋" w:eastAsia="仿宋"/>
          <w:b/>
          <w:sz w:val="32"/>
          <w:szCs w:val="32"/>
        </w:rPr>
        <w:t>报价函</w:t>
      </w:r>
    </w:p>
    <w:p w14:paraId="090965E8">
      <w:pPr>
        <w:rPr>
          <w:rFonts w:ascii="仿宋" w:hAnsi="仿宋" w:eastAsia="仿宋"/>
          <w:sz w:val="24"/>
          <w:szCs w:val="24"/>
        </w:rPr>
      </w:pPr>
      <w:r>
        <w:rPr>
          <w:rFonts w:hint="eastAsia" w:ascii="仿宋" w:hAnsi="仿宋" w:eastAsia="仿宋"/>
          <w:sz w:val="24"/>
          <w:szCs w:val="24"/>
        </w:rPr>
        <w:t xml:space="preserve">                               </w:t>
      </w:r>
    </w:p>
    <w:p w14:paraId="00D06C2C">
      <w:pPr>
        <w:spacing w:line="480" w:lineRule="auto"/>
        <w:ind w:firstLine="2160" w:firstLineChars="900"/>
        <w:jc w:val="left"/>
        <w:rPr>
          <w:rFonts w:ascii="仿宋" w:hAnsi="仿宋" w:eastAsia="仿宋" w:cs="宋体"/>
          <w:sz w:val="24"/>
          <w:szCs w:val="24"/>
        </w:rPr>
      </w:pPr>
      <w:r>
        <w:rPr>
          <w:rFonts w:hint="eastAsia" w:ascii="仿宋" w:hAnsi="仿宋" w:eastAsia="仿宋" w:cs="宋体"/>
          <w:sz w:val="24"/>
          <w:szCs w:val="24"/>
        </w:rPr>
        <w:t>：</w:t>
      </w:r>
    </w:p>
    <w:p w14:paraId="3D2D870F">
      <w:pPr>
        <w:spacing w:line="480" w:lineRule="auto"/>
        <w:ind w:firstLine="640"/>
        <w:jc w:val="left"/>
        <w:rPr>
          <w:rFonts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rPr>
        <w:t xml:space="preserve">        项目</w:t>
      </w:r>
      <w:r>
        <w:rPr>
          <w:rFonts w:hint="eastAsia" w:ascii="仿宋" w:hAnsi="仿宋" w:eastAsia="仿宋"/>
          <w:sz w:val="24"/>
          <w:szCs w:val="24"/>
        </w:rPr>
        <w:t>询比文件，清楚文件中关于本项目的相关采购需求。</w:t>
      </w:r>
    </w:p>
    <w:p w14:paraId="18CF9AF0">
      <w:pPr>
        <w:spacing w:line="480" w:lineRule="auto"/>
        <w:ind w:firstLine="482" w:firstLineChars="200"/>
        <w:jc w:val="left"/>
        <w:rPr>
          <w:rFonts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428420B7">
      <w:pPr>
        <w:pStyle w:val="15"/>
        <w:rPr>
          <w:rFonts w:ascii="仿宋" w:hAnsi="仿宋" w:eastAsia="仿宋"/>
        </w:rPr>
      </w:pPr>
    </w:p>
    <w:p w14:paraId="5550980C">
      <w:pPr>
        <w:pStyle w:val="15"/>
        <w:ind w:left="0" w:leftChars="0" w:firstLine="0"/>
        <w:rPr>
          <w:rFonts w:ascii="仿宋" w:hAnsi="仿宋" w:eastAsia="仿宋"/>
        </w:rPr>
      </w:pPr>
    </w:p>
    <w:p w14:paraId="638C8DB7">
      <w:pPr>
        <w:spacing w:line="360" w:lineRule="auto"/>
        <w:ind w:firstLine="640"/>
        <w:jc w:val="left"/>
        <w:rPr>
          <w:rFonts w:ascii="仿宋" w:hAnsi="仿宋" w:eastAsia="仿宋"/>
          <w:sz w:val="24"/>
          <w:szCs w:val="24"/>
        </w:rPr>
      </w:pPr>
    </w:p>
    <w:p w14:paraId="6E3AC60B">
      <w:pPr>
        <w:spacing w:line="480" w:lineRule="auto"/>
        <w:ind w:firstLine="3600" w:firstLineChars="1500"/>
        <w:jc w:val="left"/>
        <w:rPr>
          <w:rFonts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0000000000000000000"/>
    <w:charset w:val="86"/>
    <w:family w:val="script"/>
    <w:pitch w:val="default"/>
    <w:sig w:usb0="00000000" w:usb1="00000000" w:usb2="00000000" w:usb3="00000000" w:csb0="00040000" w:csb1="00000000"/>
  </w:font>
  <w:font w:name="方正仿宋_GB2312">
    <w:altName w:val="微软雅黑"/>
    <w:panose1 w:val="00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439EEF5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2"/>
          <w:jc w:val="center"/>
        </w:pPr>
        <w:r>
          <w:fldChar w:fldCharType="begin"/>
        </w:r>
        <w:r>
          <w:instrText xml:space="preserve">PAGE   \* MERGEFORMAT</w:instrText>
        </w:r>
        <w:r>
          <w:fldChar w:fldCharType="separate"/>
        </w:r>
        <w:r>
          <w:rPr>
            <w:lang w:val="zh-CN"/>
          </w:rPr>
          <w:t>25</w:t>
        </w:r>
        <w:r>
          <w:fldChar w:fldCharType="end"/>
        </w:r>
      </w:p>
    </w:sdtContent>
  </w:sdt>
  <w:p w14:paraId="4ACC8206">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2"/>
      <w:framePr w:wrap="around" w:vAnchor="text" w:hAnchor="margin" w:xAlign="center" w:y="1"/>
      <w:rPr>
        <w:rStyle w:val="19"/>
      </w:rPr>
    </w:pPr>
    <w:r>
      <w:fldChar w:fldCharType="begin"/>
    </w:r>
    <w:r>
      <w:rPr>
        <w:rStyle w:val="19"/>
      </w:rPr>
      <w:instrText xml:space="preserve">PAGE  </w:instrText>
    </w:r>
    <w:r>
      <w:fldChar w:fldCharType="end"/>
    </w:r>
  </w:p>
  <w:p w14:paraId="7B4CFFC0">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B5BCD2"/>
    <w:multiLevelType w:val="singleLevel"/>
    <w:tmpl w:val="11B5BCD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05272"/>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C2294"/>
    <w:rsid w:val="000D213E"/>
    <w:rsid w:val="000F5572"/>
    <w:rsid w:val="000F5E0A"/>
    <w:rsid w:val="000F7D40"/>
    <w:rsid w:val="00111A43"/>
    <w:rsid w:val="0011786F"/>
    <w:rsid w:val="00121DE8"/>
    <w:rsid w:val="0012412A"/>
    <w:rsid w:val="0012458D"/>
    <w:rsid w:val="0012755C"/>
    <w:rsid w:val="00133E6C"/>
    <w:rsid w:val="00142CCC"/>
    <w:rsid w:val="0016025E"/>
    <w:rsid w:val="0017303E"/>
    <w:rsid w:val="00175922"/>
    <w:rsid w:val="00175AB6"/>
    <w:rsid w:val="001772C6"/>
    <w:rsid w:val="00180FCA"/>
    <w:rsid w:val="001A77F2"/>
    <w:rsid w:val="001B3DAB"/>
    <w:rsid w:val="001C232B"/>
    <w:rsid w:val="001D640A"/>
    <w:rsid w:val="001D7FEF"/>
    <w:rsid w:val="001E12CB"/>
    <w:rsid w:val="001F0FD8"/>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19F4"/>
    <w:rsid w:val="00283E7E"/>
    <w:rsid w:val="00285A19"/>
    <w:rsid w:val="002956E5"/>
    <w:rsid w:val="002B224D"/>
    <w:rsid w:val="002B5B45"/>
    <w:rsid w:val="002B7C35"/>
    <w:rsid w:val="002C11A4"/>
    <w:rsid w:val="002C473B"/>
    <w:rsid w:val="002C7169"/>
    <w:rsid w:val="002D4275"/>
    <w:rsid w:val="002D6B57"/>
    <w:rsid w:val="002D7374"/>
    <w:rsid w:val="002E4315"/>
    <w:rsid w:val="002E597A"/>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B785C"/>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2615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29F2"/>
    <w:rsid w:val="00585E27"/>
    <w:rsid w:val="005922A2"/>
    <w:rsid w:val="0059459F"/>
    <w:rsid w:val="005A062C"/>
    <w:rsid w:val="005B23DE"/>
    <w:rsid w:val="005C411A"/>
    <w:rsid w:val="005D2992"/>
    <w:rsid w:val="005E3959"/>
    <w:rsid w:val="005E5715"/>
    <w:rsid w:val="005F04FF"/>
    <w:rsid w:val="005F212B"/>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E5FBC"/>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39EE"/>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0DF8"/>
    <w:rsid w:val="0091131C"/>
    <w:rsid w:val="0091197F"/>
    <w:rsid w:val="00914B8F"/>
    <w:rsid w:val="00915032"/>
    <w:rsid w:val="00927E02"/>
    <w:rsid w:val="00953FD6"/>
    <w:rsid w:val="009567AA"/>
    <w:rsid w:val="00975662"/>
    <w:rsid w:val="00982BE7"/>
    <w:rsid w:val="00985320"/>
    <w:rsid w:val="00987145"/>
    <w:rsid w:val="00992170"/>
    <w:rsid w:val="009945FA"/>
    <w:rsid w:val="009B6342"/>
    <w:rsid w:val="009D6355"/>
    <w:rsid w:val="009E37A4"/>
    <w:rsid w:val="009E6A8E"/>
    <w:rsid w:val="009E722D"/>
    <w:rsid w:val="009F3F06"/>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B23EB"/>
    <w:rsid w:val="00AC07FC"/>
    <w:rsid w:val="00AE7076"/>
    <w:rsid w:val="00AF5819"/>
    <w:rsid w:val="00B0466D"/>
    <w:rsid w:val="00B17C1E"/>
    <w:rsid w:val="00B3136E"/>
    <w:rsid w:val="00B464FC"/>
    <w:rsid w:val="00B50736"/>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41CAC"/>
    <w:rsid w:val="00C53205"/>
    <w:rsid w:val="00C53D99"/>
    <w:rsid w:val="00C53E55"/>
    <w:rsid w:val="00C55CC9"/>
    <w:rsid w:val="00C63CCB"/>
    <w:rsid w:val="00C63D53"/>
    <w:rsid w:val="00C64CB1"/>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47B9"/>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0A3C"/>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76A3F"/>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D506C"/>
    <w:rsid w:val="00FE0327"/>
    <w:rsid w:val="00FE4AAE"/>
    <w:rsid w:val="00FE55F5"/>
    <w:rsid w:val="00FF6106"/>
    <w:rsid w:val="017442FA"/>
    <w:rsid w:val="0215299B"/>
    <w:rsid w:val="044E0E32"/>
    <w:rsid w:val="058231BF"/>
    <w:rsid w:val="05997E8B"/>
    <w:rsid w:val="066D3445"/>
    <w:rsid w:val="07A3050C"/>
    <w:rsid w:val="07F52985"/>
    <w:rsid w:val="08964B56"/>
    <w:rsid w:val="08C83CB5"/>
    <w:rsid w:val="097D7547"/>
    <w:rsid w:val="09902C2B"/>
    <w:rsid w:val="0A9926DB"/>
    <w:rsid w:val="0C3721EC"/>
    <w:rsid w:val="0CEC11E8"/>
    <w:rsid w:val="0CFD51A3"/>
    <w:rsid w:val="0D7A240F"/>
    <w:rsid w:val="0FB06655"/>
    <w:rsid w:val="10912321"/>
    <w:rsid w:val="10C81F6C"/>
    <w:rsid w:val="11BE5B42"/>
    <w:rsid w:val="12D9220E"/>
    <w:rsid w:val="13A26E3E"/>
    <w:rsid w:val="13AE369B"/>
    <w:rsid w:val="144F1BCA"/>
    <w:rsid w:val="14FD6A90"/>
    <w:rsid w:val="15455939"/>
    <w:rsid w:val="15B12877"/>
    <w:rsid w:val="16D36F75"/>
    <w:rsid w:val="16FC64CC"/>
    <w:rsid w:val="172E31C9"/>
    <w:rsid w:val="17C3509D"/>
    <w:rsid w:val="19E54DD6"/>
    <w:rsid w:val="1A07140F"/>
    <w:rsid w:val="1A7D2861"/>
    <w:rsid w:val="1B451A26"/>
    <w:rsid w:val="1BB90E2F"/>
    <w:rsid w:val="1D444728"/>
    <w:rsid w:val="1E4F7829"/>
    <w:rsid w:val="1F9951FF"/>
    <w:rsid w:val="201D3E7D"/>
    <w:rsid w:val="202D76F6"/>
    <w:rsid w:val="20746BB2"/>
    <w:rsid w:val="21E64000"/>
    <w:rsid w:val="22FB1D2D"/>
    <w:rsid w:val="23E9602A"/>
    <w:rsid w:val="242B03F0"/>
    <w:rsid w:val="24F13006"/>
    <w:rsid w:val="26E533CB"/>
    <w:rsid w:val="295D104C"/>
    <w:rsid w:val="29B665AC"/>
    <w:rsid w:val="29D15596"/>
    <w:rsid w:val="2A7725E1"/>
    <w:rsid w:val="2B473D61"/>
    <w:rsid w:val="2CB01DDA"/>
    <w:rsid w:val="2D460049"/>
    <w:rsid w:val="3163566D"/>
    <w:rsid w:val="31D8203D"/>
    <w:rsid w:val="31FA2FC3"/>
    <w:rsid w:val="3248523C"/>
    <w:rsid w:val="353327D7"/>
    <w:rsid w:val="35A3072E"/>
    <w:rsid w:val="35BA60CE"/>
    <w:rsid w:val="38CA49CD"/>
    <w:rsid w:val="39D54C2E"/>
    <w:rsid w:val="3A731769"/>
    <w:rsid w:val="3B3140E6"/>
    <w:rsid w:val="3B8763FC"/>
    <w:rsid w:val="3C0E61D6"/>
    <w:rsid w:val="3D912B45"/>
    <w:rsid w:val="3DC92B7D"/>
    <w:rsid w:val="3E7013C9"/>
    <w:rsid w:val="3F2D1069"/>
    <w:rsid w:val="3FBD7078"/>
    <w:rsid w:val="402E1587"/>
    <w:rsid w:val="404D79B1"/>
    <w:rsid w:val="40CF23D7"/>
    <w:rsid w:val="411058C0"/>
    <w:rsid w:val="413277CA"/>
    <w:rsid w:val="41A31919"/>
    <w:rsid w:val="42507548"/>
    <w:rsid w:val="457F75CA"/>
    <w:rsid w:val="471A6376"/>
    <w:rsid w:val="495E1E55"/>
    <w:rsid w:val="4A6C57DD"/>
    <w:rsid w:val="4A842484"/>
    <w:rsid w:val="4ACE4B79"/>
    <w:rsid w:val="4ADA413D"/>
    <w:rsid w:val="4C811ECE"/>
    <w:rsid w:val="4C8E75EA"/>
    <w:rsid w:val="4CD64AED"/>
    <w:rsid w:val="4D475A6A"/>
    <w:rsid w:val="4DEA6AA2"/>
    <w:rsid w:val="4DF74D1B"/>
    <w:rsid w:val="505E5526"/>
    <w:rsid w:val="50C025FA"/>
    <w:rsid w:val="51CA3B38"/>
    <w:rsid w:val="53425821"/>
    <w:rsid w:val="543D7D43"/>
    <w:rsid w:val="54413194"/>
    <w:rsid w:val="554E608A"/>
    <w:rsid w:val="5623777B"/>
    <w:rsid w:val="56D36709"/>
    <w:rsid w:val="56EB5013"/>
    <w:rsid w:val="57A557E8"/>
    <w:rsid w:val="57DD4F82"/>
    <w:rsid w:val="59337A15"/>
    <w:rsid w:val="5A865DA5"/>
    <w:rsid w:val="5B1E7030"/>
    <w:rsid w:val="5B3B1FAA"/>
    <w:rsid w:val="5BEE021E"/>
    <w:rsid w:val="5BF22FC6"/>
    <w:rsid w:val="5CF8252C"/>
    <w:rsid w:val="5D0631CD"/>
    <w:rsid w:val="5D215911"/>
    <w:rsid w:val="5DBF70F0"/>
    <w:rsid w:val="5DF23B2E"/>
    <w:rsid w:val="5E7C394C"/>
    <w:rsid w:val="5F4578E7"/>
    <w:rsid w:val="5F4E26F5"/>
    <w:rsid w:val="60511ABB"/>
    <w:rsid w:val="6158649C"/>
    <w:rsid w:val="62173015"/>
    <w:rsid w:val="6228716A"/>
    <w:rsid w:val="62652744"/>
    <w:rsid w:val="63A20CFF"/>
    <w:rsid w:val="63F83144"/>
    <w:rsid w:val="66DC6D4D"/>
    <w:rsid w:val="68B735CD"/>
    <w:rsid w:val="6A400653"/>
    <w:rsid w:val="6A7F45BF"/>
    <w:rsid w:val="6B5A68F5"/>
    <w:rsid w:val="6BBF5D79"/>
    <w:rsid w:val="6BC9041D"/>
    <w:rsid w:val="6DAB7F02"/>
    <w:rsid w:val="6DEC6DE6"/>
    <w:rsid w:val="719E17CE"/>
    <w:rsid w:val="71CD20B4"/>
    <w:rsid w:val="72567DE8"/>
    <w:rsid w:val="72C16AF2"/>
    <w:rsid w:val="72FA6ED8"/>
    <w:rsid w:val="73A76E7D"/>
    <w:rsid w:val="74A23383"/>
    <w:rsid w:val="75730384"/>
    <w:rsid w:val="78401AE9"/>
    <w:rsid w:val="79D1039F"/>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6"/>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2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3"/>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2"/>
    <w:semiHidden/>
    <w:unhideWhenUsed/>
    <w:qFormat/>
    <w:uiPriority w:val="99"/>
    <w:rPr>
      <w:rFonts w:ascii="宋体"/>
      <w:sz w:val="18"/>
      <w:szCs w:val="18"/>
    </w:rPr>
  </w:style>
  <w:style w:type="paragraph" w:styleId="7">
    <w:name w:val="Body Text"/>
    <w:basedOn w:val="1"/>
    <w:next w:val="1"/>
    <w:link w:val="34"/>
    <w:qFormat/>
    <w:uiPriority w:val="0"/>
    <w:pPr>
      <w:spacing w:after="120"/>
    </w:pPr>
    <w:rPr>
      <w:rFonts w:ascii="Times New Roman" w:hAnsi="Times New Roman"/>
      <w:szCs w:val="24"/>
    </w:rPr>
  </w:style>
  <w:style w:type="paragraph" w:styleId="8">
    <w:name w:val="Body Text Indent"/>
    <w:basedOn w:val="1"/>
    <w:next w:val="9"/>
    <w:unhideWhenUsed/>
    <w:qFormat/>
    <w:uiPriority w:val="99"/>
    <w:pPr>
      <w:spacing w:after="120"/>
      <w:ind w:left="420" w:leftChars="200"/>
    </w:pPr>
  </w:style>
  <w:style w:type="paragraph" w:styleId="9">
    <w:name w:val="Body Text Indent 2"/>
    <w:basedOn w:val="1"/>
    <w:link w:val="38"/>
    <w:qFormat/>
    <w:uiPriority w:val="99"/>
    <w:pPr>
      <w:spacing w:after="120" w:line="480" w:lineRule="auto"/>
      <w:ind w:left="420" w:leftChars="200"/>
    </w:pPr>
    <w:rPr>
      <w:kern w:val="0"/>
      <w:sz w:val="24"/>
    </w:rPr>
  </w:style>
  <w:style w:type="paragraph" w:styleId="10">
    <w:name w:val="Plain Text"/>
    <w:basedOn w:val="1"/>
    <w:link w:val="27"/>
    <w:qFormat/>
    <w:uiPriority w:val="0"/>
    <w:rPr>
      <w:rFonts w:ascii="宋体" w:hAnsi="Courier New"/>
      <w:kern w:val="0"/>
      <w:szCs w:val="20"/>
    </w:rPr>
  </w:style>
  <w:style w:type="paragraph" w:styleId="11">
    <w:name w:val="Date"/>
    <w:basedOn w:val="1"/>
    <w:next w:val="1"/>
    <w:link w:val="24"/>
    <w:semiHidden/>
    <w:unhideWhenUsed/>
    <w:qFormat/>
    <w:uiPriority w:val="99"/>
    <w:pPr>
      <w:ind w:left="100" w:leftChars="2500"/>
    </w:pPr>
  </w:style>
  <w:style w:type="paragraph" w:styleId="12">
    <w:name w:val="footer"/>
    <w:basedOn w:val="1"/>
    <w:link w:val="21"/>
    <w:unhideWhenUsed/>
    <w:qFormat/>
    <w:uiPriority w:val="99"/>
    <w:pPr>
      <w:tabs>
        <w:tab w:val="center" w:pos="4153"/>
        <w:tab w:val="right" w:pos="8306"/>
      </w:tabs>
      <w:snapToGrid w:val="0"/>
      <w:jc w:val="left"/>
    </w:pPr>
    <w:rPr>
      <w:sz w:val="18"/>
      <w:szCs w:val="18"/>
    </w:rPr>
  </w:style>
  <w:style w:type="paragraph" w:styleId="13">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5">
    <w:name w:val="Body Text First Indent 2"/>
    <w:basedOn w:val="8"/>
    <w:next w:val="1"/>
    <w:unhideWhenUsed/>
    <w:qFormat/>
    <w:uiPriority w:val="99"/>
    <w:pPr>
      <w:spacing w:before="100" w:beforeAutospacing="1"/>
      <w:ind w:firstLine="420"/>
    </w:pPr>
    <w:rPr>
      <w:szCs w:val="21"/>
    </w:r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customStyle="1" w:styleId="20">
    <w:name w:val="页眉 字符"/>
    <w:basedOn w:val="18"/>
    <w:link w:val="13"/>
    <w:qFormat/>
    <w:uiPriority w:val="0"/>
    <w:rPr>
      <w:rFonts w:ascii="Calibri" w:hAnsi="Calibri" w:eastAsia="宋体" w:cs="Times New Roman"/>
      <w:sz w:val="18"/>
      <w:szCs w:val="18"/>
    </w:rPr>
  </w:style>
  <w:style w:type="character" w:customStyle="1" w:styleId="21">
    <w:name w:val="页脚 字符"/>
    <w:basedOn w:val="18"/>
    <w:link w:val="12"/>
    <w:qFormat/>
    <w:uiPriority w:val="99"/>
    <w:rPr>
      <w:rFonts w:ascii="Calibri" w:hAnsi="Calibri" w:eastAsia="宋体" w:cs="Times New Roman"/>
      <w:sz w:val="18"/>
      <w:szCs w:val="18"/>
    </w:rPr>
  </w:style>
  <w:style w:type="character" w:customStyle="1" w:styleId="22">
    <w:name w:val="文档结构图 字符"/>
    <w:basedOn w:val="18"/>
    <w:link w:val="6"/>
    <w:semiHidden/>
    <w:qFormat/>
    <w:uiPriority w:val="99"/>
    <w:rPr>
      <w:rFonts w:ascii="宋体" w:hAnsi="Calibri" w:eastAsia="宋体" w:cs="Times New Roman"/>
      <w:sz w:val="18"/>
      <w:szCs w:val="18"/>
    </w:rPr>
  </w:style>
  <w:style w:type="paragraph" w:customStyle="1" w:styleId="23">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4">
    <w:name w:val="日期 字符"/>
    <w:basedOn w:val="18"/>
    <w:link w:val="11"/>
    <w:semiHidden/>
    <w:qFormat/>
    <w:uiPriority w:val="99"/>
    <w:rPr>
      <w:rFonts w:ascii="Calibri" w:hAnsi="Calibri" w:eastAsia="宋体" w:cs="Times New Roman"/>
    </w:rPr>
  </w:style>
  <w:style w:type="paragraph" w:customStyle="1" w:styleId="25">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6">
    <w:name w:val="标题 1 字符"/>
    <w:basedOn w:val="18"/>
    <w:link w:val="2"/>
    <w:qFormat/>
    <w:uiPriority w:val="0"/>
    <w:rPr>
      <w:rFonts w:ascii="Cambria" w:hAnsi="Cambria" w:eastAsia="华文中宋" w:cs="Times New Roman"/>
      <w:b/>
      <w:bCs/>
      <w:sz w:val="44"/>
      <w:szCs w:val="28"/>
    </w:rPr>
  </w:style>
  <w:style w:type="character" w:customStyle="1" w:styleId="27">
    <w:name w:val="纯文本 字符"/>
    <w:link w:val="10"/>
    <w:qFormat/>
    <w:locked/>
    <w:uiPriority w:val="0"/>
    <w:rPr>
      <w:rFonts w:ascii="宋体" w:hAnsi="Courier New"/>
      <w:sz w:val="21"/>
    </w:rPr>
  </w:style>
  <w:style w:type="character" w:customStyle="1" w:styleId="28">
    <w:name w:val="纯文本 Char"/>
    <w:basedOn w:val="18"/>
    <w:semiHidden/>
    <w:qFormat/>
    <w:uiPriority w:val="99"/>
    <w:rPr>
      <w:rFonts w:ascii="宋体" w:hAnsi="Courier New" w:cs="Courier New"/>
      <w:kern w:val="2"/>
      <w:sz w:val="21"/>
      <w:szCs w:val="21"/>
    </w:rPr>
  </w:style>
  <w:style w:type="character" w:customStyle="1" w:styleId="29">
    <w:name w:val="标题 2 字符"/>
    <w:basedOn w:val="18"/>
    <w:link w:val="3"/>
    <w:semiHidden/>
    <w:qFormat/>
    <w:uiPriority w:val="9"/>
    <w:rPr>
      <w:rFonts w:asciiTheme="majorHAnsi" w:hAnsiTheme="majorHAnsi" w:eastAsiaTheme="majorEastAsia" w:cstheme="majorBidi"/>
      <w:b/>
      <w:bCs/>
      <w:kern w:val="2"/>
      <w:sz w:val="32"/>
      <w:szCs w:val="32"/>
    </w:rPr>
  </w:style>
  <w:style w:type="paragraph" w:customStyle="1" w:styleId="30">
    <w:name w:val="Table Paragraph"/>
    <w:basedOn w:val="1"/>
    <w:qFormat/>
    <w:uiPriority w:val="1"/>
  </w:style>
  <w:style w:type="paragraph" w:customStyle="1" w:styleId="31">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
    <w:name w:val="Char1 Char Char Char Char Char Char Char"/>
    <w:basedOn w:val="1"/>
    <w:qFormat/>
    <w:uiPriority w:val="0"/>
    <w:rPr>
      <w:rFonts w:ascii="Tahoma" w:hAnsi="Tahoma"/>
      <w:sz w:val="24"/>
      <w:szCs w:val="20"/>
    </w:rPr>
  </w:style>
  <w:style w:type="character" w:customStyle="1" w:styleId="33">
    <w:name w:val="标题 6 字符"/>
    <w:basedOn w:val="18"/>
    <w:link w:val="4"/>
    <w:qFormat/>
    <w:uiPriority w:val="9"/>
    <w:rPr>
      <w:rFonts w:asciiTheme="majorHAnsi" w:hAnsiTheme="majorHAnsi" w:eastAsiaTheme="majorEastAsia" w:cstheme="majorBidi"/>
      <w:b/>
      <w:bCs/>
      <w:kern w:val="2"/>
      <w:sz w:val="24"/>
      <w:szCs w:val="24"/>
    </w:rPr>
  </w:style>
  <w:style w:type="character" w:customStyle="1" w:styleId="34">
    <w:name w:val="正文文本 字符"/>
    <w:basedOn w:val="18"/>
    <w:link w:val="7"/>
    <w:qFormat/>
    <w:uiPriority w:val="0"/>
    <w:rPr>
      <w:kern w:val="2"/>
      <w:sz w:val="21"/>
      <w:szCs w:val="24"/>
    </w:rPr>
  </w:style>
  <w:style w:type="paragraph" w:styleId="35">
    <w:name w:val="List Paragraph"/>
    <w:basedOn w:val="1"/>
    <w:qFormat/>
    <w:uiPriority w:val="34"/>
    <w:pPr>
      <w:ind w:firstLine="420" w:firstLineChars="200"/>
    </w:pPr>
    <w:rPr>
      <w:rFonts w:ascii="Times New Roman" w:hAnsi="Times New Roman"/>
      <w:szCs w:val="24"/>
    </w:rPr>
  </w:style>
  <w:style w:type="paragraph" w:customStyle="1" w:styleId="36">
    <w:name w:val="样式 宋体1"/>
    <w:basedOn w:val="1"/>
    <w:qFormat/>
    <w:uiPriority w:val="0"/>
    <w:pPr>
      <w:ind w:firstLine="420" w:firstLineChars="200"/>
      <w:jc w:val="left"/>
    </w:pPr>
    <w:rPr>
      <w:rFonts w:ascii="宋体" w:hAnsi="宋体" w:eastAsia="等线" w:cs="宋体"/>
      <w:szCs w:val="20"/>
    </w:rPr>
  </w:style>
  <w:style w:type="paragraph" w:customStyle="1" w:styleId="37">
    <w:name w:val="Normal_1"/>
    <w:qFormat/>
    <w:uiPriority w:val="0"/>
    <w:rPr>
      <w:rFonts w:ascii="Calibri" w:hAnsi="Calibri" w:eastAsia="宋体" w:cs="Times New Roman"/>
      <w:sz w:val="24"/>
      <w:szCs w:val="24"/>
      <w:lang w:val="en-US" w:eastAsia="zh-CN" w:bidi="ar-SA"/>
    </w:rPr>
  </w:style>
  <w:style w:type="character" w:customStyle="1" w:styleId="38">
    <w:name w:val="正文文本缩进 2 字符"/>
    <w:link w:val="9"/>
    <w:qFormat/>
    <w:uiPriority w:val="99"/>
    <w:rPr>
      <w:rFonts w:ascii="Calibri" w:hAnsi="Calibri"/>
      <w:sz w:val="24"/>
      <w:szCs w:val="22"/>
    </w:rPr>
  </w:style>
  <w:style w:type="paragraph" w:customStyle="1" w:styleId="39">
    <w:name w:val="01 文件标题"/>
    <w:basedOn w:val="1"/>
    <w:next w:val="1"/>
    <w:qFormat/>
    <w:uiPriority w:val="0"/>
    <w:pPr>
      <w:spacing w:line="560" w:lineRule="exact"/>
      <w:jc w:val="center"/>
    </w:pPr>
    <w:rPr>
      <w:rFonts w:ascii="方正小标宋简体" w:eastAsia="方正小标宋简体"/>
      <w:sz w:val="44"/>
    </w:rPr>
  </w:style>
  <w:style w:type="paragraph" w:customStyle="1" w:styleId="40">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1">
    <w:name w:val="04 二级标题"/>
    <w:basedOn w:val="3"/>
    <w:qFormat/>
    <w:uiPriority w:val="0"/>
    <w:pPr>
      <w:spacing w:before="0" w:after="0" w:line="560" w:lineRule="exact"/>
      <w:ind w:firstLine="200" w:firstLineChars="200"/>
    </w:pPr>
    <w:rPr>
      <w:rFonts w:ascii="楷体_GB2312" w:hAnsi="Times New Roman" w:eastAsia="楷体_GB2312"/>
      <w:b w:val="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3933</Words>
  <Characters>4071</Characters>
  <Lines>35</Lines>
  <Paragraphs>10</Paragraphs>
  <TotalTime>0</TotalTime>
  <ScaleCrop>false</ScaleCrop>
  <LinksUpToDate>false</LinksUpToDate>
  <CharactersWithSpaces>4676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2026-01-15T04:47:00Z</dcterms:created>
  <dc:creator>china</dc:creator>
  <cp:lastModifiedBy></cp:lastModifiedBy>
  <cp:lastPrinted>2020-08-24T02:17:00Z</cp:lastPrinted>
  <dcterms:modified xsi:type="dcterms:W3CDTF">2026-01-16T04:37:34Z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54A7C424B7C147B6967F79274FB1DD99_13</vt:lpwstr>
  </property>
  <property fmtid="{D5CDD505-2E9C-101B-9397-08002B2CF9AE}" pid="4" name="KSOTemplateDocerSaveRecord">
    <vt:lpwstr>eyJoZGlkIjoiNjRiNDcyZGU2YzJhYTkwMjk5MjQwZmFmNjBmNDJhZmYiLCJ1c2VySWQiOiI0OTQ3NjU2MzMifQ==</vt:lpwstr>
  </property>
</Properties>
</file>