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djustRightInd w:val="0"/>
        <w:snapToGrid w:val="0"/>
        <w:spacing w:line="360" w:lineRule="auto"/>
        <w:ind w:firstLine="405"/>
        <w:rPr>
          <w:rFonts w:hint="eastAsia" w:ascii="仿宋_GB2312" w:hAnsi="华文中宋" w:eastAsia="仿宋_GB2312"/>
          <w:b/>
          <w:sz w:val="84"/>
          <w:szCs w:val="84"/>
          <w:lang w:val="en-US" w:eastAsia="zh-CN"/>
        </w:rPr>
      </w:pPr>
    </w:p>
    <w:p>
      <w:pPr>
        <w:pStyle w:val="11"/>
        <w:jc w:val="center"/>
        <w:rPr>
          <w:rFonts w:ascii="黑体" w:hAnsi="黑体" w:eastAsia="黑体"/>
          <w:bCs/>
          <w:sz w:val="84"/>
          <w:szCs w:val="84"/>
        </w:rPr>
      </w:pPr>
      <w:r>
        <w:rPr>
          <w:rFonts w:hint="eastAsia" w:ascii="黑体" w:hAnsi="黑体" w:eastAsia="黑体"/>
          <w:sz w:val="84"/>
          <w:szCs w:val="84"/>
        </w:rPr>
        <w:t>询 比</w:t>
      </w:r>
      <w:r>
        <w:rPr>
          <w:rFonts w:hint="eastAsia" w:ascii="黑体" w:hAnsi="黑体" w:eastAsia="黑体"/>
          <w:bCs/>
          <w:sz w:val="84"/>
          <w:szCs w:val="84"/>
        </w:rPr>
        <w:t xml:space="preserve"> </w:t>
      </w:r>
      <w:r>
        <w:rPr>
          <w:rFonts w:hint="eastAsia" w:ascii="黑体" w:hAnsi="黑体" w:eastAsia="黑体"/>
          <w:sz w:val="84"/>
          <w:szCs w:val="84"/>
        </w:rPr>
        <w:t xml:space="preserve">采 购 </w:t>
      </w:r>
      <w:r>
        <w:rPr>
          <w:rFonts w:ascii="黑体" w:hAnsi="黑体" w:eastAsia="黑体"/>
          <w:sz w:val="84"/>
          <w:szCs w:val="84"/>
        </w:rPr>
        <w:t>文</w:t>
      </w:r>
      <w:r>
        <w:rPr>
          <w:rFonts w:hint="eastAsia" w:ascii="黑体" w:hAnsi="黑体" w:eastAsia="黑体"/>
          <w:sz w:val="84"/>
          <w:szCs w:val="84"/>
        </w:rPr>
        <w:t xml:space="preserve"> </w:t>
      </w:r>
      <w:r>
        <w:rPr>
          <w:rFonts w:ascii="黑体" w:hAnsi="黑体" w:eastAsia="黑体"/>
          <w:sz w:val="84"/>
          <w:szCs w:val="84"/>
        </w:rPr>
        <w:t>件</w:t>
      </w:r>
    </w:p>
    <w:p>
      <w:pPr>
        <w:pStyle w:val="11"/>
        <w:adjustRightInd w:val="0"/>
        <w:snapToGrid w:val="0"/>
        <w:spacing w:line="360" w:lineRule="auto"/>
        <w:ind w:left="846" w:leftChars="403" w:firstLine="157" w:firstLineChars="49"/>
        <w:rPr>
          <w:rFonts w:ascii="黑体" w:hAnsi="黑体" w:eastAsia="黑体"/>
          <w:b/>
          <w:sz w:val="32"/>
          <w:szCs w:val="32"/>
        </w:rPr>
      </w:pPr>
    </w:p>
    <w:p>
      <w:pPr>
        <w:pStyle w:val="11"/>
        <w:adjustRightInd w:val="0"/>
        <w:snapToGrid w:val="0"/>
        <w:spacing w:line="360" w:lineRule="auto"/>
        <w:ind w:left="846" w:leftChars="403" w:firstLine="157" w:firstLineChars="49"/>
        <w:rPr>
          <w:rFonts w:ascii="黑体" w:hAnsi="黑体" w:eastAsia="黑体"/>
          <w:b/>
          <w:sz w:val="32"/>
          <w:szCs w:val="32"/>
        </w:rPr>
      </w:pPr>
    </w:p>
    <w:p>
      <w:pPr>
        <w:pStyle w:val="11"/>
        <w:adjustRightInd w:val="0"/>
        <w:snapToGrid w:val="0"/>
        <w:spacing w:line="360" w:lineRule="auto"/>
        <w:ind w:left="846" w:leftChars="403" w:firstLine="157" w:firstLineChars="49"/>
        <w:rPr>
          <w:rFonts w:ascii="黑体" w:hAnsi="黑体" w:eastAsia="黑体"/>
          <w:b/>
          <w:sz w:val="32"/>
          <w:szCs w:val="32"/>
        </w:rPr>
      </w:pPr>
    </w:p>
    <w:p>
      <w:pPr>
        <w:pStyle w:val="11"/>
        <w:adjustRightInd w:val="0"/>
        <w:snapToGrid w:val="0"/>
        <w:spacing w:line="360" w:lineRule="auto"/>
        <w:ind w:left="846" w:leftChars="403" w:firstLine="157" w:firstLineChars="49"/>
        <w:rPr>
          <w:rFonts w:ascii="黑体" w:hAnsi="黑体" w:eastAsia="黑体"/>
          <w:b/>
          <w:sz w:val="32"/>
          <w:szCs w:val="32"/>
        </w:rPr>
      </w:pPr>
    </w:p>
    <w:p>
      <w:pPr>
        <w:pStyle w:val="11"/>
        <w:adjustRightInd w:val="0"/>
        <w:snapToGrid w:val="0"/>
        <w:spacing w:line="360" w:lineRule="auto"/>
        <w:ind w:left="846" w:leftChars="403" w:firstLine="157" w:firstLineChars="49"/>
        <w:rPr>
          <w:rFonts w:ascii="黑体" w:hAnsi="黑体" w:eastAsia="黑体"/>
          <w:b/>
          <w:sz w:val="32"/>
          <w:szCs w:val="32"/>
        </w:rPr>
      </w:pPr>
    </w:p>
    <w:p>
      <w:pPr>
        <w:ind w:firstLine="320" w:firstLineChars="100"/>
        <w:jc w:val="both"/>
        <w:rPr>
          <w:rFonts w:ascii="黑体" w:hAnsi="黑体" w:eastAsia="黑体"/>
          <w:kern w:val="0"/>
          <w:sz w:val="32"/>
          <w:szCs w:val="32"/>
        </w:rPr>
      </w:pPr>
      <w:r>
        <w:rPr>
          <w:rFonts w:ascii="黑体" w:hAnsi="黑体" w:eastAsia="黑体"/>
          <w:sz w:val="32"/>
          <w:szCs w:val="32"/>
        </w:rPr>
        <w:t>采购项目名称：</w:t>
      </w:r>
      <w:r>
        <w:rPr>
          <w:rFonts w:hint="eastAsia" w:ascii="黑体" w:hAnsi="黑体" w:eastAsia="黑体" w:cs="Times New Roman"/>
          <w:kern w:val="0"/>
          <w:sz w:val="32"/>
          <w:szCs w:val="32"/>
          <w:lang w:val="en-US" w:eastAsia="zh-CN" w:bidi="ar-SA"/>
        </w:rPr>
        <w:t>学生宿舍卫生间深度清洁服务项目</w:t>
      </w:r>
    </w:p>
    <w:p>
      <w:pPr>
        <w:pStyle w:val="11"/>
        <w:adjustRightInd w:val="0"/>
        <w:snapToGrid w:val="0"/>
        <w:spacing w:before="156" w:beforeLines="50" w:after="156" w:afterLines="50"/>
        <w:ind w:left="2559" w:leftChars="152" w:hanging="2240" w:hangingChars="700"/>
        <w:rPr>
          <w:rFonts w:ascii="黑体" w:hAnsi="黑体" w:eastAsia="黑体"/>
          <w:sz w:val="32"/>
          <w:szCs w:val="32"/>
        </w:rPr>
      </w:pPr>
    </w:p>
    <w:p>
      <w:pPr>
        <w:pStyle w:val="11"/>
        <w:adjustRightInd w:val="0"/>
        <w:snapToGrid w:val="0"/>
        <w:spacing w:before="156" w:beforeLines="50" w:after="156"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pStyle w:val="11"/>
        <w:adjustRightInd w:val="0"/>
        <w:snapToGrid w:val="0"/>
        <w:spacing w:line="440" w:lineRule="exact"/>
        <w:jc w:val="center"/>
        <w:rPr>
          <w:rFonts w:ascii="黑体" w:hAnsi="黑体" w:eastAsia="黑体"/>
          <w:b/>
          <w:sz w:val="32"/>
        </w:rPr>
      </w:pPr>
    </w:p>
    <w:p>
      <w:pPr>
        <w:spacing w:line="360" w:lineRule="auto"/>
        <w:jc w:val="center"/>
        <w:rPr>
          <w:rFonts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八</w:t>
      </w:r>
      <w:r>
        <w:rPr>
          <w:rFonts w:ascii="黑体" w:hAnsi="黑体" w:eastAsia="黑体"/>
          <w:sz w:val="32"/>
          <w:szCs w:val="32"/>
        </w:rPr>
        <w:t>月</w:t>
      </w:r>
    </w:p>
    <w:p>
      <w:pPr>
        <w:pStyle w:val="15"/>
      </w:pPr>
    </w:p>
    <w:p>
      <w:pPr>
        <w:pStyle w:val="15"/>
        <w:rPr>
          <w:szCs w:val="22"/>
        </w:rPr>
      </w:pPr>
    </w:p>
    <w:p>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学生宿舍卫生间深度清洁服务项目</w:t>
      </w:r>
      <w:r>
        <w:rPr>
          <w:rFonts w:hint="eastAsia" w:ascii="黑体" w:hAnsi="黑体" w:eastAsia="黑体" w:cs="Times New Roman"/>
          <w:b/>
          <w:sz w:val="36"/>
          <w:szCs w:val="36"/>
        </w:rPr>
        <w:t>询比采购公告</w:t>
      </w:r>
    </w:p>
    <w:p>
      <w:pPr>
        <w:pStyle w:val="15"/>
        <w:snapToGrid w:val="0"/>
        <w:spacing w:before="0" w:beforeAutospacing="0" w:after="0" w:line="360" w:lineRule="auto"/>
        <w:ind w:left="0" w:leftChars="0" w:firstLine="480" w:firstLineChars="200"/>
        <w:jc w:val="left"/>
        <w:rPr>
          <w:rFonts w:hint="eastAsia" w:ascii="仿宋" w:hAnsi="仿宋" w:eastAsia="仿宋" w:cs="Times New Roman"/>
          <w:kern w:val="2"/>
          <w:sz w:val="24"/>
          <w:szCs w:val="24"/>
          <w:lang w:val="en-US" w:eastAsia="zh-CN" w:bidi="ar-SA"/>
        </w:rPr>
      </w:pPr>
      <w:bookmarkStart w:id="0" w:name="_Toc17794_WPSOffice_Level2"/>
      <w:bookmarkStart w:id="1" w:name="_Toc4659"/>
      <w:bookmarkStart w:id="2" w:name="_Toc26475"/>
      <w:bookmarkStart w:id="3" w:name="_Toc3564"/>
      <w:bookmarkStart w:id="4" w:name="_Toc31662_WPSOffice_Level2"/>
      <w:r>
        <w:rPr>
          <w:rFonts w:hint="eastAsia" w:ascii="仿宋" w:hAnsi="仿宋" w:eastAsia="仿宋" w:cs="Times New Roman"/>
          <w:kern w:val="2"/>
          <w:sz w:val="24"/>
          <w:szCs w:val="24"/>
          <w:lang w:val="en-US" w:eastAsia="zh-CN" w:bidi="ar-SA"/>
        </w:rPr>
        <w:t>湖南铁道职业技术学院学生宿舍卫生间深度清洁服务项目需进行采购，</w:t>
      </w:r>
      <w:r>
        <w:rPr>
          <w:rFonts w:hint="eastAsia" w:ascii="仿宋" w:hAnsi="仿宋" w:eastAsia="仿宋"/>
          <w:sz w:val="24"/>
          <w:szCs w:val="24"/>
        </w:rPr>
        <w:t>现采用发布公告方式，邀请符合资格条件的供应商参与采购活动。</w:t>
      </w:r>
    </w:p>
    <w:bookmarkEnd w:id="0"/>
    <w:bookmarkEnd w:id="1"/>
    <w:bookmarkEnd w:id="2"/>
    <w:bookmarkEnd w:id="3"/>
    <w:bookmarkEnd w:id="4"/>
    <w:p>
      <w:pPr>
        <w:widowControl/>
        <w:spacing w:line="360" w:lineRule="auto"/>
        <w:ind w:firstLine="482"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仿宋"/>
          <w:b/>
          <w:bCs/>
          <w:color w:val="333333"/>
          <w:kern w:val="0"/>
          <w:sz w:val="24"/>
          <w:szCs w:val="24"/>
        </w:rPr>
        <w:t>一、采购项目基本情况</w:t>
      </w:r>
    </w:p>
    <w:p>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1.项目名称：学生宿舍卫生间深度清洁服务项目</w:t>
      </w:r>
    </w:p>
    <w:p>
      <w:pPr>
        <w:pStyle w:val="15"/>
        <w:snapToGrid w:val="0"/>
        <w:spacing w:before="0" w:beforeAutospacing="0" w:after="0" w:line="360" w:lineRule="auto"/>
        <w:ind w:left="0" w:leftChars="0"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2.项目概况:本项目为学校学生宿舍楼卫生间深度清洁专项服务，针对全校学生宿舍独立卫生间长期使用后产生的顽固尿垢、黄斑、水垢、异味、细菌滋生、边角积污等日常保洁无法彻底处理的问题</w:t>
      </w:r>
      <w:r>
        <w:rPr>
          <w:rFonts w:hint="default" w:ascii="仿宋" w:hAnsi="仿宋" w:eastAsia="仿宋" w:cs="Times New Roman"/>
          <w:kern w:val="2"/>
          <w:sz w:val="24"/>
          <w:szCs w:val="24"/>
          <w:lang w:val="en-US" w:eastAsia="zh-CN" w:bidi="ar-SA"/>
        </w:rPr>
        <w:t>以及梳洗间（洗漱区）</w:t>
      </w:r>
      <w:r>
        <w:rPr>
          <w:rFonts w:hint="eastAsia" w:ascii="仿宋" w:hAnsi="仿宋" w:eastAsia="仿宋" w:cs="Times New Roman"/>
          <w:kern w:val="2"/>
          <w:sz w:val="24"/>
          <w:szCs w:val="24"/>
          <w:lang w:val="en-US" w:eastAsia="zh-CN" w:bidi="ar-SA"/>
        </w:rPr>
        <w:t>，开展专业化、标准化深度清洁作业。通过系统化深度清洗、除垢、除菌、除臭，全面提升宿舍卫生间环境卫生标准，改善学生住宿生活条件，保障校园卫生安全与学生身心健康，营造干净、整洁、舒适、规范的宿舍居住环境。</w:t>
      </w:r>
    </w:p>
    <w:p>
      <w:pPr>
        <w:pStyle w:val="15"/>
        <w:snapToGrid w:val="0"/>
        <w:spacing w:before="0" w:beforeAutospacing="0" w:after="0" w:line="360" w:lineRule="auto"/>
        <w:ind w:left="0" w:leftChars="0"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sz w:val="24"/>
          <w:szCs w:val="24"/>
          <w:lang w:val="en-US" w:eastAsia="zh-CN"/>
        </w:rPr>
        <w:t>3.服务内容：</w:t>
      </w:r>
      <w:r>
        <w:rPr>
          <w:rFonts w:hint="eastAsia" w:ascii="仿宋" w:hAnsi="仿宋" w:eastAsia="仿宋" w:cs="Times New Roman"/>
          <w:kern w:val="2"/>
          <w:sz w:val="24"/>
          <w:szCs w:val="24"/>
          <w:lang w:val="en-US" w:eastAsia="zh-CN" w:bidi="ar-SA"/>
        </w:rPr>
        <w:t>依据高校宿舍卫生标准与环境卫生管理规范，针对全校学生宿舍独立卫生间长期积攒的顽固尿垢、黄斑、水垢、异味、细菌、边角积污及洗漱区常规保洁难以清理的各类污垢，实施专业化、标准化深度清洁作业，全面清除陈年污渍，实现清洁无死角、污渍无残留、空间无异味。</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Times New Roman"/>
          <w:sz w:val="24"/>
          <w:szCs w:val="24"/>
          <w:lang w:val="en-US" w:eastAsia="zh-CN"/>
        </w:rPr>
        <w:t>15.791万元。</w:t>
      </w:r>
    </w:p>
    <w:p>
      <w:pPr>
        <w:pStyle w:val="15"/>
        <w:snapToGrid w:val="0"/>
        <w:spacing w:before="0" w:beforeAutospacing="0" w:after="0" w:line="360" w:lineRule="auto"/>
        <w:ind w:left="0" w:leftChars="0" w:firstLine="482" w:firstLineChars="200"/>
        <w:jc w:val="left"/>
        <w:rPr>
          <w:rFonts w:hint="eastAsia" w:ascii="仿宋" w:hAnsi="仿宋" w:eastAsia="仿宋" w:cs="Times New Roman"/>
          <w:b/>
          <w:bCs/>
          <w:sz w:val="24"/>
          <w:szCs w:val="24"/>
        </w:rPr>
      </w:pPr>
      <w:r>
        <w:rPr>
          <w:rFonts w:hint="eastAsia" w:ascii="仿宋" w:hAnsi="仿宋" w:eastAsia="仿宋" w:cs="Times New Roman"/>
          <w:b/>
          <w:bCs/>
          <w:sz w:val="24"/>
          <w:szCs w:val="24"/>
        </w:rPr>
        <w:t>二、投标人资格要求</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bookmarkStart w:id="5" w:name="_Toc58335831"/>
      <w:r>
        <w:rPr>
          <w:rFonts w:hint="eastAsia" w:ascii="仿宋" w:hAnsi="仿宋" w:eastAsia="仿宋" w:cs="Times New Roman"/>
          <w:sz w:val="24"/>
          <w:szCs w:val="24"/>
        </w:rPr>
        <w:t>1、基本资格条件：供应商必须是在中华人民共和国境内注册登记的法人、其他组织或者自然人，且应当符合下列规定，即：</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（1）具有独立承担民事责任的能力；</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（2）具有良好的商业信誉和健全的财务会计制度；</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（3）具有履行合同所必需的设备和专业技术能力；</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（4）有依法缴纳税收的良好记录；</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（5）参加采购活动前三年内，在经营活动中没有重大违法记录；</w:t>
      </w:r>
    </w:p>
    <w:p>
      <w:pPr>
        <w:pStyle w:val="15"/>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（6）法律、行政法规规定的其他条件。</w:t>
      </w:r>
    </w:p>
    <w:p>
      <w:pPr>
        <w:ind w:firstLine="480" w:firstLineChars="200"/>
        <w:rPr>
          <w:rFonts w:hint="default" w:ascii="仿宋" w:hAnsi="仿宋" w:eastAsia="仿宋" w:cs="Times New Roman"/>
          <w:color w:val="000000"/>
          <w:kern w:val="2"/>
          <w:sz w:val="24"/>
          <w:szCs w:val="24"/>
          <w:lang w:val="en-US" w:eastAsia="zh-CN" w:bidi="ar-SA"/>
        </w:rPr>
      </w:pPr>
      <w:r>
        <w:rPr>
          <w:rFonts w:hint="eastAsia" w:ascii="仿宋" w:hAnsi="仿宋" w:eastAsia="仿宋" w:cs="Times New Roman"/>
          <w:color w:val="000000"/>
          <w:kern w:val="2"/>
          <w:sz w:val="24"/>
          <w:szCs w:val="24"/>
          <w:lang w:val="en-US" w:eastAsia="zh-CN" w:bidi="ar-SA"/>
        </w:rPr>
        <w:t>2、特定资格条件：无。</w:t>
      </w:r>
    </w:p>
    <w:p>
      <w:pPr>
        <w:pStyle w:val="15"/>
        <w:snapToGrid w:val="0"/>
        <w:spacing w:before="0" w:beforeAutospacing="0" w:after="0" w:line="360" w:lineRule="auto"/>
        <w:ind w:left="0" w:leftChars="0" w:firstLine="482" w:firstLineChars="200"/>
        <w:jc w:val="left"/>
        <w:rPr>
          <w:rFonts w:hint="eastAsia" w:ascii="仿宋" w:hAnsi="仿宋" w:eastAsia="仿宋" w:cs="Times New Roman"/>
          <w:b/>
          <w:bCs/>
          <w:sz w:val="24"/>
          <w:szCs w:val="24"/>
        </w:rPr>
      </w:pPr>
      <w:r>
        <w:rPr>
          <w:rFonts w:hint="eastAsia" w:ascii="仿宋" w:hAnsi="仿宋" w:eastAsia="仿宋" w:cs="Times New Roman"/>
          <w:b/>
          <w:bCs/>
          <w:sz w:val="24"/>
          <w:szCs w:val="24"/>
        </w:rPr>
        <w:t>三、响应文件提交的截止时间、开启时间及地点</w:t>
      </w:r>
      <w:bookmarkEnd w:id="5"/>
    </w:p>
    <w:p>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bookmarkStart w:id="6" w:name="_Hlk186730358"/>
      <w:r>
        <w:rPr>
          <w:rFonts w:hint="eastAsia" w:ascii="仿宋" w:hAnsi="仿宋" w:eastAsia="仿宋"/>
          <w:sz w:val="24"/>
          <w:szCs w:val="24"/>
        </w:rPr>
        <w:t>1．首次响应文件的提交截止时间：202</w:t>
      </w:r>
      <w:r>
        <w:rPr>
          <w:rFonts w:hint="eastAsia" w:ascii="仿宋" w:hAnsi="仿宋" w:eastAsia="仿宋"/>
          <w:sz w:val="24"/>
          <w:szCs w:val="24"/>
          <w:lang w:val="en-US" w:eastAsia="zh-CN"/>
        </w:rPr>
        <w:t>6</w:t>
      </w:r>
      <w:r>
        <w:rPr>
          <w:rFonts w:hint="eastAsia" w:ascii="仿宋" w:hAnsi="仿宋" w:eastAsia="仿宋"/>
          <w:sz w:val="24"/>
          <w:szCs w:val="24"/>
        </w:rPr>
        <w:t>年</w:t>
      </w:r>
      <w:r>
        <w:rPr>
          <w:rFonts w:hint="eastAsia" w:ascii="仿宋" w:hAnsi="仿宋" w:eastAsia="仿宋"/>
          <w:sz w:val="24"/>
          <w:szCs w:val="24"/>
          <w:lang w:val="en-US" w:eastAsia="zh-CN"/>
        </w:rPr>
        <w:t>8</w:t>
      </w:r>
      <w:r>
        <w:rPr>
          <w:rFonts w:hint="eastAsia" w:ascii="仿宋" w:hAnsi="仿宋" w:eastAsia="仿宋"/>
          <w:sz w:val="24"/>
          <w:szCs w:val="24"/>
        </w:rPr>
        <w:t>月</w:t>
      </w:r>
      <w:r>
        <w:rPr>
          <w:rFonts w:hint="eastAsia" w:ascii="仿宋" w:hAnsi="仿宋" w:eastAsia="仿宋"/>
          <w:sz w:val="24"/>
          <w:szCs w:val="24"/>
          <w:lang w:val="en-US" w:eastAsia="zh-CN"/>
        </w:rPr>
        <w:t>7</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p>
    <w:p>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w:t>
      </w:r>
      <w:r>
        <w:rPr>
          <w:rFonts w:hint="eastAsia" w:ascii="仿宋" w:hAnsi="仿宋" w:eastAsia="仿宋"/>
          <w:sz w:val="24"/>
          <w:szCs w:val="24"/>
          <w:lang w:val="en-US" w:eastAsia="zh-CN"/>
        </w:rPr>
        <w:t>6</w:t>
      </w:r>
      <w:r>
        <w:rPr>
          <w:rFonts w:hint="eastAsia" w:ascii="仿宋" w:hAnsi="仿宋" w:eastAsia="仿宋"/>
          <w:sz w:val="24"/>
          <w:szCs w:val="24"/>
        </w:rPr>
        <w:t>年</w:t>
      </w:r>
      <w:r>
        <w:rPr>
          <w:rFonts w:hint="eastAsia" w:ascii="仿宋" w:hAnsi="仿宋" w:eastAsia="仿宋"/>
          <w:sz w:val="24"/>
          <w:szCs w:val="24"/>
          <w:lang w:val="en-US" w:eastAsia="zh-CN"/>
        </w:rPr>
        <w:t>8</w:t>
      </w:r>
      <w:r>
        <w:rPr>
          <w:rFonts w:hint="eastAsia" w:ascii="仿宋" w:hAnsi="仿宋" w:eastAsia="仿宋"/>
          <w:sz w:val="24"/>
          <w:szCs w:val="24"/>
        </w:rPr>
        <w:t>月</w:t>
      </w:r>
      <w:r>
        <w:rPr>
          <w:rFonts w:hint="eastAsia" w:ascii="仿宋" w:hAnsi="仿宋" w:eastAsia="仿宋"/>
          <w:sz w:val="24"/>
          <w:szCs w:val="24"/>
          <w:lang w:val="en-US" w:eastAsia="zh-CN"/>
        </w:rPr>
        <w:t>7</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p>
    <w:p>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bookmarkStart w:id="9" w:name="_GoBack"/>
      <w:bookmarkEnd w:id="9"/>
    </w:p>
    <w:p>
      <w:pPr>
        <w:pStyle w:val="3"/>
        <w:snapToGrid w:val="0"/>
        <w:spacing w:before="0" w:after="0" w:line="360" w:lineRule="auto"/>
        <w:ind w:firstLine="470" w:firstLineChars="195"/>
        <w:jc w:val="left"/>
        <w:rPr>
          <w:rFonts w:hint="eastAsia" w:ascii="仿宋" w:hAnsi="仿宋" w:eastAsia="仿宋" w:cs="宋体"/>
          <w:bCs w:val="0"/>
          <w:kern w:val="0"/>
          <w:sz w:val="24"/>
          <w:szCs w:val="24"/>
        </w:rPr>
      </w:pPr>
      <w:r>
        <w:rPr>
          <w:rFonts w:hint="eastAsia" w:ascii="仿宋" w:hAnsi="仿宋" w:eastAsia="仿宋" w:cs="宋体"/>
          <w:bCs w:val="0"/>
          <w:kern w:val="0"/>
          <w:sz w:val="24"/>
          <w:szCs w:val="24"/>
        </w:rPr>
        <w:t>四、公告期限</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1．本招标公告在湖南铁道职业技术学院官网（www.hnrpc.com）发布。公告期限从本招标公告发布之日起3个工作日。</w:t>
      </w:r>
      <w:bookmarkEnd w:id="6"/>
    </w:p>
    <w:p>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pPr>
        <w:snapToGrid w:val="0"/>
        <w:spacing w:line="360" w:lineRule="auto"/>
        <w:ind w:firstLine="480" w:firstLineChars="20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1．潜在投标人对采购活动事项如有疑问的，可以向采购人提出询问。采购人将在3个工作日内作出答复。</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2．潜在投标人认为招标文件或招标公告使自己的合法权益受到损害的，可以在收到招标文件之日或招标公告期限届满之日起7个工作日内，以书面形式向采购人提出质疑。</w:t>
      </w:r>
    </w:p>
    <w:p>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1．项目联系人和电话</w:t>
      </w:r>
    </w:p>
    <w:p>
      <w:pPr>
        <w:snapToGrid w:val="0"/>
        <w:spacing w:line="360" w:lineRule="auto"/>
        <w:ind w:firstLine="480" w:firstLineChars="200"/>
        <w:jc w:val="left"/>
        <w:rPr>
          <w:rFonts w:hint="default" w:ascii="仿宋" w:hAnsi="仿宋" w:eastAsia="仿宋" w:cs="宋体"/>
          <w:sz w:val="24"/>
          <w:szCs w:val="24"/>
          <w:lang w:val="en-US" w:eastAsia="zh-CN"/>
        </w:rPr>
      </w:pPr>
      <w:r>
        <w:rPr>
          <w:rFonts w:hint="eastAsia" w:ascii="仿宋" w:hAnsi="仿宋" w:eastAsia="仿宋" w:cs="宋体"/>
          <w:sz w:val="24"/>
          <w:szCs w:val="24"/>
        </w:rPr>
        <w:t>联系人姓名：</w:t>
      </w:r>
      <w:r>
        <w:rPr>
          <w:rFonts w:hint="eastAsia" w:ascii="仿宋" w:hAnsi="仿宋" w:eastAsia="仿宋" w:cs="宋体"/>
          <w:sz w:val="24"/>
          <w:szCs w:val="24"/>
          <w:lang w:val="en-US" w:eastAsia="zh-CN"/>
        </w:rPr>
        <w:t>张老师</w:t>
      </w:r>
    </w:p>
    <w:p>
      <w:pPr>
        <w:snapToGrid w:val="0"/>
        <w:spacing w:line="360" w:lineRule="auto"/>
        <w:ind w:firstLine="480" w:firstLineChars="200"/>
        <w:jc w:val="left"/>
        <w:rPr>
          <w:rFonts w:hint="default" w:ascii="仿宋" w:hAnsi="仿宋" w:eastAsia="仿宋" w:cs="宋体"/>
          <w:sz w:val="24"/>
          <w:szCs w:val="24"/>
          <w:lang w:val="en-US" w:eastAsia="zh-CN"/>
        </w:rPr>
      </w:pPr>
      <w:r>
        <w:rPr>
          <w:rFonts w:hint="eastAsia" w:ascii="仿宋" w:hAnsi="仿宋" w:eastAsia="仿宋" w:cs="宋体"/>
          <w:sz w:val="24"/>
          <w:szCs w:val="24"/>
        </w:rPr>
        <w:t>电 话：</w:t>
      </w:r>
      <w:r>
        <w:rPr>
          <w:rFonts w:hint="eastAsia" w:ascii="仿宋" w:hAnsi="仿宋" w:eastAsia="仿宋" w:cs="宋体"/>
          <w:sz w:val="24"/>
          <w:szCs w:val="24"/>
          <w:lang w:val="en-US" w:eastAsia="zh-CN"/>
        </w:rPr>
        <w:t>13617332368</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2．采购人</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名 称：湖南铁道职业技术学院</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地 址：株洲市</w:t>
      </w:r>
      <w:r>
        <w:rPr>
          <w:rFonts w:hint="eastAsia" w:ascii="仿宋" w:hAnsi="仿宋" w:eastAsia="仿宋" w:cs="宋体"/>
          <w:sz w:val="24"/>
          <w:szCs w:val="24"/>
          <w:lang w:val="en-US" w:eastAsia="zh-CN"/>
        </w:rPr>
        <w:t>石峰区智慧路1号</w:t>
      </w:r>
    </w:p>
    <w:p>
      <w:pPr>
        <w:pStyle w:val="15"/>
      </w:pPr>
    </w:p>
    <w:p/>
    <w:p>
      <w:pPr>
        <w:pStyle w:val="15"/>
      </w:pPr>
    </w:p>
    <w:p/>
    <w:p>
      <w:pPr>
        <w:pStyle w:val="15"/>
      </w:pPr>
    </w:p>
    <w:p>
      <w:pPr>
        <w:pStyle w:val="15"/>
        <w:ind w:left="0" w:leftChars="0" w:firstLine="0"/>
        <w:rPr>
          <w:szCs w:val="22"/>
        </w:rPr>
      </w:pPr>
    </w:p>
    <w:p/>
    <w:p>
      <w:pPr>
        <w:pStyle w:val="10"/>
      </w:pPr>
    </w:p>
    <w:p>
      <w:pPr>
        <w:pStyle w:val="10"/>
      </w:pPr>
    </w:p>
    <w:p>
      <w:pPr>
        <w:pStyle w:val="10"/>
      </w:pPr>
    </w:p>
    <w:p>
      <w:pPr>
        <w:pStyle w:val="10"/>
      </w:pPr>
    </w:p>
    <w:p>
      <w:pPr>
        <w:pStyle w:val="10"/>
      </w:pPr>
    </w:p>
    <w:p/>
    <w:p>
      <w:pPr>
        <w:pStyle w:val="15"/>
        <w:ind w:left="0" w:leftChars="0" w:firstLine="0"/>
        <w:jc w:val="center"/>
        <w:rPr>
          <w:rFonts w:ascii="仿宋" w:hAnsi="仿宋" w:eastAsia="仿宋" w:cs="Times New Roman"/>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cs="Times New Roman"/>
          <w:b/>
          <w:sz w:val="36"/>
          <w:szCs w:val="36"/>
        </w:rPr>
        <w:t>采购需求</w:t>
      </w:r>
    </w:p>
    <w:p>
      <w:pPr>
        <w:snapToGrid w:val="0"/>
        <w:spacing w:before="156" w:beforeLines="50" w:line="360" w:lineRule="auto"/>
        <w:ind w:firstLine="482" w:firstLineChars="200"/>
        <w:jc w:val="left"/>
        <w:rPr>
          <w:rFonts w:hint="eastAsia" w:ascii="仿宋" w:hAnsi="仿宋" w:eastAsia="仿宋" w:cs="宋体"/>
          <w:b/>
          <w:sz w:val="24"/>
          <w:szCs w:val="24"/>
        </w:rPr>
      </w:pPr>
      <w:r>
        <w:rPr>
          <w:rFonts w:hint="eastAsia" w:ascii="仿宋" w:hAnsi="仿宋" w:eastAsia="仿宋" w:cs="宋体"/>
          <w:b/>
          <w:sz w:val="24"/>
          <w:szCs w:val="24"/>
        </w:rPr>
        <w:t>一、项目基本情况</w:t>
      </w:r>
    </w:p>
    <w:p>
      <w:pPr>
        <w:adjustRightInd w:val="0"/>
        <w:snapToGrid w:val="0"/>
        <w:spacing w:line="360" w:lineRule="auto"/>
        <w:ind w:firstLine="480" w:firstLineChars="200"/>
        <w:rPr>
          <w:rFonts w:hint="default" w:ascii="仿宋" w:hAnsi="仿宋" w:eastAsia="仿宋" w:cs="宋体"/>
          <w:sz w:val="24"/>
          <w:szCs w:val="24"/>
          <w:lang w:val="en-US"/>
        </w:rPr>
      </w:pPr>
      <w:r>
        <w:rPr>
          <w:rFonts w:hint="eastAsia" w:ascii="仿宋" w:hAnsi="仿宋" w:eastAsia="仿宋" w:cs="仿宋"/>
          <w:color w:val="333333"/>
          <w:kern w:val="0"/>
          <w:sz w:val="24"/>
          <w:szCs w:val="24"/>
        </w:rPr>
        <w:t>1．项目名称：</w:t>
      </w:r>
      <w:r>
        <w:rPr>
          <w:rFonts w:hint="eastAsia" w:ascii="仿宋" w:hAnsi="仿宋" w:eastAsia="仿宋" w:cs="Times New Roman"/>
          <w:kern w:val="2"/>
          <w:sz w:val="24"/>
          <w:szCs w:val="24"/>
          <w:lang w:val="en-US" w:eastAsia="zh-CN" w:bidi="ar-SA"/>
        </w:rPr>
        <w:t>学生宿舍卫生间深度清洁服务项目</w:t>
      </w:r>
    </w:p>
    <w:p>
      <w:pPr>
        <w:widowControl w:val="0"/>
        <w:spacing w:before="0" w:beforeAutospacing="0" w:after="0" w:afterAutospacing="0"/>
        <w:ind w:left="0" w:right="0" w:firstLine="480" w:firstLineChars="200"/>
        <w:jc w:val="both"/>
        <w:rPr>
          <w:rFonts w:hint="eastAsia" w:ascii="仿宋" w:hAnsi="仿宋" w:eastAsia="仿宋" w:cs="仿宋"/>
          <w:color w:val="333333"/>
          <w:kern w:val="0"/>
          <w:sz w:val="24"/>
          <w:szCs w:val="24"/>
          <w:highlight w:val="yellow"/>
        </w:rPr>
      </w:pPr>
      <w:r>
        <w:rPr>
          <w:rFonts w:hint="eastAsia" w:ascii="仿宋" w:hAnsi="仿宋" w:eastAsia="仿宋" w:cs="仿宋"/>
          <w:color w:val="333333"/>
          <w:kern w:val="0"/>
          <w:sz w:val="24"/>
          <w:szCs w:val="24"/>
        </w:rPr>
        <w:t>2．服务期限：</w:t>
      </w:r>
      <w:r>
        <w:rPr>
          <w:rFonts w:hint="eastAsia" w:ascii="仿宋" w:hAnsi="仿宋" w:eastAsia="仿宋" w:cs="Times New Roman"/>
          <w:kern w:val="2"/>
          <w:sz w:val="24"/>
          <w:szCs w:val="24"/>
          <w:lang w:val="en-US" w:eastAsia="zh-CN" w:bidi="ar-SA"/>
        </w:rPr>
        <w:t>自合同签订之日起至2026年9月1日。</w:t>
      </w:r>
    </w:p>
    <w:p>
      <w:pPr>
        <w:snapToGrid w:val="0"/>
        <w:spacing w:before="156" w:beforeLines="50" w:line="360" w:lineRule="auto"/>
        <w:ind w:firstLine="482" w:firstLineChars="200"/>
        <w:jc w:val="left"/>
        <w:rPr>
          <w:rFonts w:hint="eastAsia" w:ascii="仿宋" w:hAnsi="仿宋" w:eastAsia="仿宋" w:cs="宋体"/>
          <w:b/>
          <w:sz w:val="24"/>
          <w:szCs w:val="24"/>
          <w:lang w:eastAsia="zh-CN"/>
        </w:rPr>
      </w:pPr>
      <w:r>
        <w:rPr>
          <w:rFonts w:hint="eastAsia" w:ascii="仿宋" w:hAnsi="仿宋" w:eastAsia="仿宋" w:cs="宋体"/>
          <w:b/>
          <w:sz w:val="24"/>
          <w:szCs w:val="24"/>
        </w:rPr>
        <w:t>二、服务内容及要求</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供应商应遵照高校宿舍卫生标准及环境卫生管理制度，对 2113 间宿舍的卫生间、洗漱间实施深度清洁处理，全方位去除日常保洁堆积的顽固污渍、老旧污垢，满足无清洁盲区、无污渍残留、无异味的验收要求；对 100 间宿舍执行全屋精细化保洁服务。具体要求如下：</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 洁具深度清洁除垢</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对蹲便器、坐便器内部、边缘凹槽、下水口、排污口进行专业除垢清洗，彻底清除尿垢、黄斑、黑渍、水垢、黏附污物；冲洗配件、冲水按钮、洁具表面擦拭干净，无发黑、无锈迹、无残留污垢，洁具光洁透亮，排水通畅无堵塞、无积水回流。</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2. 地面、墙面深度清洗</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对卫生间地面、墙面瓷砖、砖缝、踢脚线进行全面刷洗除污，清除积灰、黑垢、霉斑、油污，彻底清理长期堆积的边角死角污垢；清洁后地面墙面干净透亮、无污渍、无积水、无霉点、无灰尘、无遗留杂物。</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3. 洗漱区域清洁养护</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对洗手台、台面、水龙头、下水器、台面缝隙、镜面进行精细清洁、抛光除水渍，去除水垢、水痕、皂垢；镜面洁净透亮、无水印、无污渍、无灰尘；下水口清理毛发、杂物，确保排水顺畅不堵塞。</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4. 附属设施清洁</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对卫生间门窗、玻璃、窗台、隔断、排气扇外罩、墙角、顶部边角进行除尘除污，清除蛛网、积尘、污渍，做到设施整洁、外观统一干净，无乱写乱画、无粘贴残留。</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5. 除菌、除臭、异味治理</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清洁完成后对卫生间整体空间、洁具、排水点位进行专业除菌、除臭处理，有效消除潮湿异味、霉味、排泄物异味，抑制细菌滋生，保障卫生间空气清新、环境卫生达标。</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6.全屋精细保洁</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100 间宿舍全屋全区域精细清扫，卧室、阳台、家具、门窗、电器外壳等全面除尘除污，清理胶痕、霉斑、边角积灰；全屋除菌除味，无卫生死角，整体整洁达标。</w:t>
      </w:r>
    </w:p>
    <w:p>
      <w:pPr>
        <w:numPr>
          <w:ilvl w:val="0"/>
          <w:numId w:val="1"/>
        </w:numPr>
        <w:snapToGrid w:val="0"/>
        <w:spacing w:line="360" w:lineRule="auto"/>
        <w:ind w:firstLine="482" w:firstLineChars="200"/>
        <w:jc w:val="left"/>
        <w:rPr>
          <w:rFonts w:hint="eastAsia" w:ascii="仿宋" w:hAnsi="仿宋" w:eastAsia="仿宋" w:cs="宋体"/>
          <w:b/>
          <w:sz w:val="24"/>
          <w:szCs w:val="24"/>
        </w:rPr>
      </w:pPr>
      <w:r>
        <w:rPr>
          <w:rFonts w:hint="eastAsia" w:ascii="仿宋" w:hAnsi="仿宋" w:eastAsia="仿宋" w:cs="宋体"/>
          <w:b/>
          <w:sz w:val="24"/>
          <w:szCs w:val="24"/>
        </w:rPr>
        <w:t>服务质量要求：</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（一）卫生间、洗漱间质量要求</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 整体观感：卫生间干净整洁、透亮清爽，无卫生死角、无陈年污垢、无霉斑、无明显色差。</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2. 洁具：便器内外干净光洁，无尿垢、黄斑、黑渍、污物残留，冲水顺畅、无残留积水。</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3. 墙面地面：瓷砖、砖缝、踢脚线干净无积污、无黑垢、无霉点，无水渍残留。</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4. 洗漱区域：台面、龙头、镜面干净透亮，无水垢、水痕、污渍，排水通畅。</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5. 空气环境：卫生间无异味、无霉味、无刺鼻味道，空气清新。</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6. 现场规范：作业完成后做到工完场清，所有垃圾、污物、清洁杂物全部清理带走，不遗留任何垃圾。</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（二）全屋精细化保洁质量要求</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1.全屋整体观感：室内规整清爽，墙面、顶面、地面干净统一，无大面积污渍、霉斑、蛛网，无明显积尘区域，无清洁盲区。</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2.家具设施：衣柜、书桌、床架、桌椅、置物柜内外清洁，桌面无油污笔迹，家具缝隙无积灰，柜体无杂物堆积。</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3.墙地与阳台：全屋地面拖洗洁净无残渣、胶印；墙面无手印、涂鸦、胶带残留；阳台地面洁净。</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4.门窗玻璃：全屋玻璃通透无水痕、灰尘，窗框、窗台、门把手无积尘、胶渍。</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5.电器设施：灯具、空调、风扇、开关插座外壳干燥除尘，无浮尘污渍，清洁操作不涉水，保障用电安全。</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6.室内空气：全屋无闷味、霉味，经除菌除味后空气舒适无异味。</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lang w:val="en-US" w:eastAsia="zh-CN"/>
        </w:rPr>
      </w:pPr>
      <w:r>
        <w:rPr>
          <w:rFonts w:hint="eastAsia" w:ascii="仿宋" w:hAnsi="仿宋" w:eastAsia="仿宋" w:cs="宋体"/>
          <w:kern w:val="2"/>
          <w:sz w:val="24"/>
          <w:szCs w:val="24"/>
          <w:lang w:val="en-US" w:eastAsia="zh-CN" w:bidi="ar-SA"/>
        </w:rPr>
        <w:t>7.现场管理：全屋保洁产生的所有垃圾全部打包清运离场，室内无保洁工具、废料、垃圾遗留。</w:t>
      </w:r>
    </w:p>
    <w:p>
      <w:pPr>
        <w:snapToGrid w:val="0"/>
        <w:spacing w:before="156" w:beforeLines="50" w:line="360" w:lineRule="auto"/>
        <w:ind w:firstLine="482" w:firstLineChars="200"/>
        <w:jc w:val="left"/>
        <w:rPr>
          <w:rFonts w:hint="eastAsia" w:ascii="仿宋" w:hAnsi="仿宋" w:eastAsia="仿宋" w:cs="宋体"/>
          <w:b/>
          <w:sz w:val="24"/>
          <w:szCs w:val="24"/>
        </w:rPr>
      </w:pPr>
      <w:r>
        <w:rPr>
          <w:rFonts w:hint="eastAsia" w:ascii="仿宋" w:hAnsi="仿宋" w:eastAsia="仿宋" w:cs="宋体"/>
          <w:b/>
          <w:sz w:val="24"/>
          <w:szCs w:val="24"/>
        </w:rPr>
        <w:t>四、服务质量检查考核标准和方法：</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 供应商须配备专业清洁作业人员，统一着装、文明作业、服从学校管理，遵守校园作息及宿舍管理规定。</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2. 自备全套专业清洁设备、工具、中性环保清洁药剂、除垢剂、除菌剂、除臭剂，所用耗材须符合环保、无毒、无强腐蚀、不伤瓷砖洁具及建筑饰面要求，不得使用违规、腐蚀性强、刺激性大的违禁药剂。</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3. 作业人员须具备宿舍保洁作业经验，熟悉校园作业规范，严禁损坏宿舍设施、墙面、洁具、水电设备，作业过程造成损坏的由供应商全额承担修复及赔偿责任。</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4. 严格按照学校指定时间、指定楼栋、指定房间开展作业，不得擅自更改作业范围、作业时间。</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5. 作业期间文明施工，轻声作业，不影响学生正常学习、休息，严禁喧哗、打闹、随意翻动学生物品。</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6. 全程接受学校后勤管理部门监督、检查、验收，对检查发现的不合格点位须立即无偿返工整改，直至验收合格。</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7. 落实安全作业要求，做好用水、用电安全防护，杜绝漏水、积水浸泡、设施损坏等安全问题，作业期间安全责任由供应商全权负责。</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8. 采用逐间查验、现场抽检、整体复核的方式，由学校后勤管理部门根据上述服务标准逐项验收，对清洁不到位、存在污渍、异味、死角的区域，服务商须在24小时内免费返工整改；</w:t>
      </w:r>
    </w:p>
    <w:p>
      <w:pPr>
        <w:pStyle w:val="15"/>
        <w:wordWrap/>
        <w:adjustRightInd/>
        <w:snapToGrid w:val="0"/>
        <w:spacing w:before="0" w:beforeAutospacing="0" w:after="0" w:line="360" w:lineRule="auto"/>
        <w:ind w:left="0" w:leftChars="0" w:firstLine="480" w:firstLineChars="200"/>
        <w:jc w:val="left"/>
        <w:textAlignment w:val="auto"/>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9. 质保要求：完工验收合格后，质保期不少于7天，质保期内出现大面积返味、污渍残留、污垢未清理干净等问题，服务商免费上门整改。</w:t>
      </w:r>
    </w:p>
    <w:p>
      <w:pPr>
        <w:ind w:firstLine="482" w:firstLineChars="200"/>
        <w:rPr>
          <w:rFonts w:hint="eastAsia" w:ascii="仿宋" w:hAnsi="仿宋" w:eastAsia="仿宋" w:cs="宋体"/>
          <w:b/>
          <w:bCs w:val="0"/>
          <w:kern w:val="0"/>
          <w:sz w:val="24"/>
          <w:szCs w:val="24"/>
          <w:lang w:val="en-US" w:eastAsia="zh-CN" w:bidi="ar-SA"/>
        </w:rPr>
      </w:pPr>
      <w:r>
        <w:rPr>
          <w:rFonts w:hint="eastAsia" w:ascii="仿宋" w:hAnsi="仿宋" w:eastAsia="仿宋" w:cs="宋体"/>
          <w:b/>
          <w:bCs w:val="0"/>
          <w:kern w:val="0"/>
          <w:sz w:val="24"/>
          <w:szCs w:val="24"/>
          <w:lang w:val="en-US" w:eastAsia="zh-CN" w:bidi="ar-SA"/>
        </w:rPr>
        <w:t>五、投标报价计费及结算依据</w:t>
      </w:r>
    </w:p>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费用构成（上限报价）</w:t>
      </w:r>
    </w:p>
    <w:tbl>
      <w:tblPr>
        <w:tblStyle w:val="23"/>
        <w:tblW w:w="89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3300"/>
        <w:gridCol w:w="1730"/>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7" w:hRule="atLeast"/>
        </w:trPr>
        <w:tc>
          <w:tcPr>
            <w:tcW w:w="871"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序号</w:t>
            </w:r>
          </w:p>
        </w:tc>
        <w:tc>
          <w:tcPr>
            <w:tcW w:w="330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服务项目</w:t>
            </w:r>
          </w:p>
        </w:tc>
        <w:tc>
          <w:tcPr>
            <w:tcW w:w="173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数量（间）</w:t>
            </w:r>
          </w:p>
        </w:tc>
        <w:tc>
          <w:tcPr>
            <w:tcW w:w="300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单间费用（元/间）上限值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1"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w:t>
            </w:r>
          </w:p>
        </w:tc>
        <w:tc>
          <w:tcPr>
            <w:tcW w:w="330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宿舍卫生间、洗漱间深度清洁</w:t>
            </w:r>
          </w:p>
        </w:tc>
        <w:tc>
          <w:tcPr>
            <w:tcW w:w="173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2113</w:t>
            </w:r>
          </w:p>
        </w:tc>
        <w:tc>
          <w:tcPr>
            <w:tcW w:w="300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1"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w:t>
            </w:r>
          </w:p>
        </w:tc>
        <w:tc>
          <w:tcPr>
            <w:tcW w:w="330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全屋精细化保洁</w:t>
            </w:r>
          </w:p>
        </w:tc>
        <w:tc>
          <w:tcPr>
            <w:tcW w:w="173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100</w:t>
            </w:r>
          </w:p>
        </w:tc>
        <w:tc>
          <w:tcPr>
            <w:tcW w:w="3000" w:type="dxa"/>
            <w:tcBorders>
              <w:top w:val="single" w:color="auto" w:sz="4" w:space="0"/>
              <w:left w:val="single" w:color="auto" w:sz="4" w:space="0"/>
              <w:bottom w:val="single" w:color="auto" w:sz="4" w:space="0"/>
              <w:right w:val="single" w:color="auto" w:sz="4" w:space="0"/>
            </w:tcBorders>
            <w:vAlign w:val="top"/>
          </w:tcPr>
          <w:p>
            <w:pPr>
              <w:widowControl w:val="0"/>
              <w:spacing w:before="0" w:beforeAutospacing="0" w:after="0" w:afterAutospacing="0"/>
              <w:ind w:left="0" w:right="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100</w:t>
            </w:r>
          </w:p>
        </w:tc>
      </w:tr>
    </w:tbl>
    <w:p>
      <w:pPr>
        <w:widowControl w:val="0"/>
        <w:spacing w:before="0" w:beforeAutospacing="0" w:after="0" w:afterAutospacing="0"/>
        <w:ind w:left="0" w:right="0"/>
        <w:jc w:val="both"/>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注：费用为全包价（自备全套专业清洁设备、工具、中性环保清洁药剂、除垢剂、除菌剂、除臭剂等物品）。投标报价不得高于收费标准（上限值），否则为无效投标。</w:t>
      </w:r>
    </w:p>
    <w:p>
      <w:pPr>
        <w:adjustRightInd w:val="0"/>
        <w:snapToGrid w:val="0"/>
        <w:spacing w:line="520" w:lineRule="exact"/>
        <w:ind w:firstLine="482" w:firstLineChars="200"/>
        <w:jc w:val="left"/>
        <w:rPr>
          <w:rFonts w:hint="eastAsia" w:ascii="仿宋" w:hAnsi="仿宋" w:eastAsia="仿宋" w:cs="宋体"/>
          <w:b/>
          <w:sz w:val="24"/>
          <w:szCs w:val="24"/>
        </w:rPr>
      </w:pPr>
      <w:r>
        <w:rPr>
          <w:rFonts w:hint="eastAsia" w:ascii="仿宋" w:hAnsi="仿宋" w:eastAsia="仿宋" w:cs="宋体"/>
          <w:b/>
          <w:sz w:val="24"/>
          <w:szCs w:val="24"/>
        </w:rPr>
        <w:t>六、合同价款和履行合同时间服务质量要求</w:t>
      </w:r>
    </w:p>
    <w:p>
      <w:pPr>
        <w:pStyle w:val="3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本合同</w:t>
      </w:r>
      <w:r>
        <w:rPr>
          <w:rFonts w:hint="eastAsia" w:ascii="仿宋" w:hAnsi="仿宋" w:eastAsia="仿宋" w:cs="仿宋"/>
          <w:color w:val="000000"/>
          <w:kern w:val="0"/>
          <w:sz w:val="24"/>
          <w:szCs w:val="24"/>
          <w:lang w:val="en-US" w:eastAsia="zh-CN"/>
        </w:rPr>
        <w:t>按实际发生数量进行结算，</w:t>
      </w:r>
      <w:r>
        <w:rPr>
          <w:rFonts w:hint="eastAsia" w:ascii="仿宋" w:hAnsi="仿宋" w:eastAsia="仿宋" w:cs="仿宋"/>
          <w:color w:val="000000"/>
          <w:kern w:val="0"/>
          <w:sz w:val="24"/>
          <w:szCs w:val="24"/>
        </w:rPr>
        <w:t>成交供应商收到成交通知后，</w:t>
      </w:r>
      <w:r>
        <w:rPr>
          <w:rFonts w:hint="eastAsia" w:ascii="仿宋" w:hAnsi="仿宋" w:eastAsia="仿宋" w:cs="仿宋"/>
          <w:color w:val="333333"/>
          <w:kern w:val="0"/>
          <w:sz w:val="24"/>
          <w:szCs w:val="24"/>
        </w:rPr>
        <w:t>应在一周内签订合同。</w:t>
      </w:r>
    </w:p>
    <w:p>
      <w:pPr>
        <w:ind w:firstLine="480" w:firstLineChars="200"/>
        <w:rPr>
          <w:rFonts w:hint="eastAsia" w:ascii="仿宋" w:hAnsi="仿宋" w:eastAsia="仿宋" w:cs="仿宋"/>
          <w:color w:val="000000"/>
          <w:kern w:val="0"/>
          <w:sz w:val="24"/>
          <w:szCs w:val="24"/>
        </w:rPr>
      </w:pPr>
    </w:p>
    <w:p>
      <w:pPr>
        <w:numPr>
          <w:ilvl w:val="0"/>
          <w:numId w:val="2"/>
        </w:numPr>
        <w:snapToGrid w:val="0"/>
        <w:spacing w:line="360" w:lineRule="auto"/>
        <w:ind w:firstLine="482" w:firstLineChars="200"/>
        <w:jc w:val="left"/>
        <w:rPr>
          <w:rFonts w:hint="eastAsia" w:ascii="仿宋" w:hAnsi="仿宋" w:eastAsia="仿宋" w:cs="宋体"/>
          <w:b/>
          <w:sz w:val="24"/>
          <w:szCs w:val="24"/>
        </w:rPr>
      </w:pPr>
      <w:r>
        <w:rPr>
          <w:rFonts w:hint="eastAsia" w:ascii="仿宋" w:hAnsi="仿宋" w:eastAsia="仿宋" w:cs="宋体"/>
          <w:b/>
          <w:sz w:val="24"/>
          <w:szCs w:val="24"/>
        </w:rPr>
        <w:t>付款方式</w:t>
      </w:r>
    </w:p>
    <w:p>
      <w:pPr>
        <w:pStyle w:val="17"/>
        <w:widowControl w:val="0"/>
        <w:autoSpaceDE w:val="0"/>
        <w:snapToGrid w:val="0"/>
        <w:spacing w:before="0" w:beforeAutospacing="0" w:after="0" w:afterAutospacing="0" w:line="360" w:lineRule="auto"/>
        <w:ind w:left="0" w:leftChars="0" w:right="0"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1、按实际服务进行结算。服务完成后并经学校经办部门验收签字确认后，供应商开具合法有效的发票。</w:t>
      </w:r>
    </w:p>
    <w:p>
      <w:pPr>
        <w:widowControl w:val="0"/>
        <w:snapToGrid w:val="0"/>
        <w:spacing w:before="0" w:beforeAutospacing="0" w:after="0" w:afterAutospacing="0" w:line="360" w:lineRule="auto"/>
        <w:ind w:left="0" w:right="0"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2、学校在收到完整付款资料后，办理支付手续，结清该次服务全部费用。</w:t>
      </w:r>
    </w:p>
    <w:p>
      <w:pPr>
        <w:ind w:firstLine="482" w:firstLineChars="200"/>
        <w:rPr>
          <w:rFonts w:hint="eastAsia" w:ascii="仿宋" w:hAnsi="仿宋" w:eastAsia="仿宋" w:cs="宋体"/>
          <w:b/>
          <w:bCs w:val="0"/>
          <w:kern w:val="0"/>
          <w:sz w:val="24"/>
          <w:szCs w:val="24"/>
          <w:lang w:val="en-US" w:eastAsia="zh-CN" w:bidi="ar-SA"/>
        </w:rPr>
      </w:pPr>
      <w:r>
        <w:rPr>
          <w:rFonts w:hint="eastAsia" w:ascii="仿宋" w:hAnsi="仿宋" w:eastAsia="仿宋" w:cs="宋体"/>
          <w:b/>
          <w:bCs w:val="0"/>
          <w:kern w:val="0"/>
          <w:sz w:val="24"/>
          <w:szCs w:val="24"/>
          <w:lang w:val="en-US" w:eastAsia="zh-CN" w:bidi="ar-SA"/>
        </w:rPr>
        <w:t>八、其他事项</w:t>
      </w:r>
    </w:p>
    <w:p>
      <w:pPr>
        <w:ind w:firstLine="480" w:firstLineChars="200"/>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1、禁止转包：供应商若中标，不允许将本项目进行分包或转包。一经发现，采购人有权立即终止框架协议，并追究违约责任。</w:t>
      </w:r>
    </w:p>
    <w:p>
      <w:pPr>
        <w:ind w:firstLine="480" w:firstLineChars="200"/>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2、安全责任：清洁过程中，因清洁公司人员操作不当造成的人身伤害或财产损失，由清洁公司承担全部法律责任及经济赔偿。学校应提供必要的作业场地协调。</w:t>
      </w:r>
    </w:p>
    <w:p>
      <w:pPr>
        <w:ind w:firstLine="480" w:firstLineChars="200"/>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3、其他未尽事宜，由双方在具体服务合同中另行约定。</w:t>
      </w:r>
    </w:p>
    <w:p/>
    <w:p>
      <w:pPr>
        <w:pStyle w:val="15"/>
        <w:ind w:left="0" w:leftChars="0" w:firstLine="0"/>
        <w:jc w:val="center"/>
        <w:rPr>
          <w:rFonts w:hint="eastAsia" w:ascii="仿宋" w:hAnsi="仿宋" w:eastAsia="仿宋"/>
          <w:b/>
          <w:sz w:val="36"/>
          <w:szCs w:val="36"/>
        </w:rPr>
      </w:pPr>
    </w:p>
    <w:p>
      <w:pPr>
        <w:pStyle w:val="10"/>
        <w:rPr>
          <w:rFonts w:hint="eastAsia" w:ascii="仿宋" w:hAnsi="仿宋" w:eastAsia="仿宋"/>
          <w:b/>
          <w:sz w:val="36"/>
          <w:szCs w:val="36"/>
        </w:rPr>
      </w:pPr>
    </w:p>
    <w:p>
      <w:pPr>
        <w:pStyle w:val="15"/>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pPr>
        <w:spacing w:line="360" w:lineRule="auto"/>
        <w:ind w:firstLine="480" w:firstLineChars="200"/>
        <w:rPr>
          <w:rFonts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2.1评审方法：综合评分法，即响应文件能够最大限度的满足询比采购文件规定的各项综合评价标准且经评审得分第一的供应商为成交供应商的评标方法。</w:t>
      </w:r>
    </w:p>
    <w:p>
      <w:pPr>
        <w:spacing w:line="360" w:lineRule="auto"/>
        <w:ind w:firstLine="480" w:firstLineChars="200"/>
        <w:rPr>
          <w:rFonts w:hint="eastAsia" w:ascii="仿宋" w:hAnsi="仿宋" w:eastAsia="仿宋"/>
          <w:sz w:val="24"/>
          <w:szCs w:val="24"/>
          <w:lang w:val="en-US" w:eastAsia="zh-CN"/>
        </w:rPr>
      </w:pPr>
      <w:r>
        <w:rPr>
          <w:rFonts w:hint="eastAsia" w:ascii="仿宋" w:hAnsi="仿宋" w:eastAsia="仿宋"/>
          <w:sz w:val="24"/>
          <w:szCs w:val="24"/>
        </w:rPr>
        <w:t>2.2本采购项目的评审因素和标准见表1</w:t>
      </w:r>
      <w:r>
        <w:rPr>
          <w:rFonts w:hint="eastAsia" w:ascii="仿宋" w:hAnsi="仿宋" w:eastAsia="仿宋"/>
          <w:sz w:val="24"/>
          <w:szCs w:val="24"/>
          <w:lang w:eastAsia="zh-CN"/>
        </w:rPr>
        <w:t>。</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pPr>
        <w:spacing w:line="360" w:lineRule="auto"/>
        <w:ind w:firstLine="480" w:firstLineChars="200"/>
        <w:rPr>
          <w:rFonts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pPr>
        <w:spacing w:line="360" w:lineRule="auto"/>
        <w:ind w:firstLine="480" w:firstLineChars="200"/>
        <w:rPr>
          <w:rFonts w:ascii="仿宋" w:hAnsi="仿宋" w:eastAsia="仿宋"/>
          <w:color w:val="auto"/>
          <w:sz w:val="24"/>
          <w:szCs w:val="24"/>
        </w:rPr>
      </w:pPr>
      <w:r>
        <w:rPr>
          <w:rFonts w:hint="eastAsia" w:ascii="仿宋" w:hAnsi="仿宋" w:eastAsia="仿宋"/>
          <w:color w:val="auto"/>
          <w:sz w:val="24"/>
          <w:szCs w:val="24"/>
        </w:rPr>
        <w:t>3.2最终报价评价。询比小组以最终报价为基础。</w:t>
      </w:r>
    </w:p>
    <w:p>
      <w:pPr>
        <w:spacing w:line="360" w:lineRule="auto"/>
        <w:ind w:firstLine="480" w:firstLineChars="200"/>
        <w:rPr>
          <w:rFonts w:ascii="仿宋" w:hAnsi="仿宋" w:eastAsia="仿宋"/>
          <w:sz w:val="24"/>
          <w:szCs w:val="24"/>
        </w:rPr>
      </w:pPr>
      <w:r>
        <w:rPr>
          <w:rFonts w:hint="eastAsia" w:ascii="仿宋" w:hAnsi="仿宋" w:eastAsia="仿宋"/>
          <w:sz w:val="24"/>
          <w:szCs w:val="24"/>
        </w:rPr>
        <w:t>3.3价格分采用按评审因素和标准表格内评分标准执行。</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w:t>
      </w:r>
      <w:r>
        <w:rPr>
          <w:rFonts w:hint="eastAsia" w:ascii="仿宋" w:hAnsi="仿宋" w:eastAsia="仿宋"/>
          <w:sz w:val="24"/>
          <w:szCs w:val="24"/>
          <w:u w:val="none"/>
        </w:rPr>
        <w:t>供应商项评分因素的得分。</w:t>
      </w:r>
    </w:p>
    <w:p>
      <w:pPr>
        <w:pStyle w:val="15"/>
        <w:spacing w:before="0" w:beforeAutospacing="0" w:after="0" w:line="240" w:lineRule="atLeast"/>
        <w:ind w:left="0" w:leftChars="0" w:firstLine="0"/>
        <w:rPr>
          <w:rFonts w:ascii="仿宋" w:hAnsi="仿宋" w:eastAsia="仿宋"/>
          <w:b/>
          <w:sz w:val="28"/>
          <w:szCs w:val="28"/>
        </w:rPr>
      </w:pPr>
    </w:p>
    <w:p>
      <w:pPr>
        <w:pStyle w:val="15"/>
        <w:spacing w:before="0" w:beforeAutospacing="0" w:after="0" w:line="240" w:lineRule="atLeast"/>
        <w:ind w:left="0" w:leftChars="0" w:firstLine="0"/>
        <w:rPr>
          <w:rFonts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1 评审因素和标准</w:t>
      </w:r>
    </w:p>
    <w:tbl>
      <w:tblPr>
        <w:tblStyle w:val="23"/>
        <w:tblW w:w="980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
      <w:tblGrid>
        <w:gridCol w:w="559"/>
        <w:gridCol w:w="1302"/>
        <w:gridCol w:w="704"/>
        <w:gridCol w:w="7236"/>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Ex>
        <w:trPr>
          <w:tblHeader/>
          <w:jc w:val="center"/>
        </w:trPr>
        <w:tc>
          <w:tcPr>
            <w:tcW w:w="559" w:type="dxa"/>
            <w:tcBorders>
              <w:top w:val="single" w:color="auto" w:sz="4" w:space="0"/>
              <w:left w:val="single" w:color="auto" w:sz="4" w:space="0"/>
            </w:tcBorders>
            <w:vAlign w:val="center"/>
          </w:tcPr>
          <w:p>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序号</w:t>
            </w:r>
          </w:p>
        </w:tc>
        <w:tc>
          <w:tcPr>
            <w:tcW w:w="1302" w:type="dxa"/>
            <w:tcBorders>
              <w:top w:val="single" w:color="auto" w:sz="4" w:space="0"/>
            </w:tcBorders>
            <w:vAlign w:val="center"/>
          </w:tcPr>
          <w:p>
            <w:pPr>
              <w:adjustRightInd w:val="0"/>
              <w:snapToGrid w:val="0"/>
              <w:spacing w:line="276" w:lineRule="auto"/>
              <w:jc w:val="center"/>
              <w:rPr>
                <w:rFonts w:ascii="黑体" w:hAnsi="黑体" w:eastAsia="黑体"/>
                <w:bCs/>
                <w:kern w:val="0"/>
                <w:sz w:val="24"/>
                <w:szCs w:val="20"/>
              </w:rPr>
            </w:pPr>
            <w:r>
              <w:rPr>
                <w:rFonts w:hint="eastAsia" w:ascii="黑体" w:hAnsi="黑体" w:eastAsia="黑体"/>
                <w:bCs/>
                <w:kern w:val="0"/>
                <w:sz w:val="24"/>
                <w:szCs w:val="20"/>
              </w:rPr>
              <w:t>评分因素</w:t>
            </w:r>
          </w:p>
        </w:tc>
        <w:tc>
          <w:tcPr>
            <w:tcW w:w="704" w:type="dxa"/>
            <w:tcBorders>
              <w:top w:val="single" w:color="auto" w:sz="4" w:space="0"/>
            </w:tcBorders>
            <w:vAlign w:val="center"/>
          </w:tcPr>
          <w:p>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分值</w:t>
            </w:r>
          </w:p>
        </w:tc>
        <w:tc>
          <w:tcPr>
            <w:tcW w:w="7236" w:type="dxa"/>
            <w:tcBorders>
              <w:top w:val="single" w:color="auto" w:sz="4" w:space="0"/>
              <w:right w:val="single" w:color="auto" w:sz="4" w:space="0"/>
            </w:tcBorders>
            <w:vAlign w:val="center"/>
          </w:tcPr>
          <w:p>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评分标准</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Ex>
        <w:trPr>
          <w:jc w:val="center"/>
        </w:trPr>
        <w:tc>
          <w:tcPr>
            <w:tcW w:w="559" w:type="dxa"/>
            <w:tcBorders>
              <w:left w:val="single" w:color="auto" w:sz="4" w:space="0"/>
            </w:tcBorders>
            <w:vAlign w:val="center"/>
          </w:tcPr>
          <w:p>
            <w:pPr>
              <w:pStyle w:val="17"/>
              <w:widowControl/>
              <w:spacing w:before="0" w:beforeAutospacing="0" w:after="0" w:afterAutospacing="0"/>
              <w:ind w:left="0" w:leftChars="0" w:right="0"/>
              <w:jc w:val="center"/>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w:t>
            </w:r>
          </w:p>
        </w:tc>
        <w:tc>
          <w:tcPr>
            <w:tcW w:w="1302" w:type="dxa"/>
            <w:vAlign w:val="center"/>
          </w:tcPr>
          <w:p>
            <w:pPr>
              <w:pStyle w:val="17"/>
              <w:widowControl/>
              <w:spacing w:before="0" w:beforeAutospacing="0" w:after="0" w:afterAutospacing="0"/>
              <w:ind w:left="0" w:leftChars="0" w:right="0"/>
              <w:jc w:val="center"/>
              <w:rPr>
                <w:rFonts w:ascii="仿宋" w:hAnsi="仿宋" w:eastAsia="仿宋" w:cs="仿宋"/>
                <w:b w:val="0"/>
                <w:bCs w:val="0"/>
                <w:i w:val="0"/>
                <w:iCs w:val="0"/>
                <w:color w:val="000000"/>
                <w:spacing w:val="0"/>
                <w:w w:val="100"/>
                <w:kern w:val="2"/>
                <w:sz w:val="24"/>
                <w:szCs w:val="24"/>
              </w:rPr>
            </w:pPr>
            <w:r>
              <w:rPr>
                <w:rFonts w:hint="eastAsia" w:ascii="仿宋" w:hAnsi="仿宋" w:eastAsia="仿宋" w:cs="仿宋"/>
                <w:b w:val="0"/>
                <w:bCs w:val="0"/>
                <w:i w:val="0"/>
                <w:iCs w:val="0"/>
                <w:color w:val="000000"/>
                <w:spacing w:val="0"/>
                <w:w w:val="100"/>
                <w:kern w:val="2"/>
                <w:sz w:val="24"/>
                <w:szCs w:val="24"/>
              </w:rPr>
              <w:t>报价</w:t>
            </w:r>
          </w:p>
        </w:tc>
        <w:tc>
          <w:tcPr>
            <w:tcW w:w="704" w:type="dxa"/>
            <w:vAlign w:val="center"/>
          </w:tcPr>
          <w:p>
            <w:pPr>
              <w:jc w:val="center"/>
              <w:rPr>
                <w:rFonts w:hint="default" w:ascii="仿宋" w:hAnsi="仿宋" w:eastAsia="仿宋" w:cs="仿宋"/>
                <w:b w:val="0"/>
                <w:bCs w:val="0"/>
                <w:i w:val="0"/>
                <w:iCs w:val="0"/>
                <w:color w:val="000000"/>
                <w:spacing w:val="0"/>
                <w:w w:val="100"/>
                <w:kern w:val="2"/>
                <w:sz w:val="24"/>
                <w:szCs w:val="24"/>
                <w:lang w:val="en-US" w:eastAsia="zh-CN"/>
              </w:rPr>
            </w:pPr>
            <w:r>
              <w:rPr>
                <w:rFonts w:hint="eastAsia" w:ascii="仿宋" w:hAnsi="仿宋" w:eastAsia="仿宋" w:cs="宋体"/>
                <w:color w:val="000000"/>
                <w:sz w:val="24"/>
                <w:szCs w:val="24"/>
                <w:lang w:val="en-US" w:eastAsia="zh-CN"/>
              </w:rPr>
              <w:t>30</w:t>
            </w:r>
          </w:p>
        </w:tc>
        <w:tc>
          <w:tcPr>
            <w:tcW w:w="7236" w:type="dxa"/>
            <w:tcBorders>
              <w:right w:val="single" w:color="auto" w:sz="4" w:space="0"/>
            </w:tcBorders>
            <w:vAlign w:val="center"/>
          </w:tcPr>
          <w:p>
            <w:pPr>
              <w:pStyle w:val="17"/>
              <w:widowControl/>
              <w:spacing w:before="0" w:beforeAutospacing="0" w:after="0" w:afterAutospacing="0"/>
              <w:ind w:left="0" w:leftChars="0" w:right="0"/>
              <w:jc w:val="left"/>
              <w:rPr>
                <w:rFonts w:hint="default" w:ascii="仿宋" w:hAnsi="仿宋" w:eastAsia="仿宋" w:cs="仿宋"/>
                <w:b w:val="0"/>
                <w:bCs w:val="0"/>
                <w:i w:val="0"/>
                <w:iCs w:val="0"/>
                <w:color w:val="000000"/>
                <w:spacing w:val="0"/>
                <w:w w:val="100"/>
                <w:sz w:val="24"/>
                <w:szCs w:val="24"/>
                <w:lang w:val="en-US" w:eastAsia="zh-CN"/>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Ex>
        <w:trPr>
          <w:jc w:val="center"/>
        </w:trPr>
        <w:tc>
          <w:tcPr>
            <w:tcW w:w="559" w:type="dxa"/>
            <w:tcBorders>
              <w:left w:val="single" w:color="auto" w:sz="4" w:space="0"/>
            </w:tcBorders>
            <w:vAlign w:val="center"/>
          </w:tcPr>
          <w:p>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2</w:t>
            </w:r>
          </w:p>
        </w:tc>
        <w:tc>
          <w:tcPr>
            <w:tcW w:w="1302" w:type="dxa"/>
            <w:vAlign w:val="center"/>
          </w:tcPr>
          <w:p>
            <w:pPr>
              <w:pStyle w:val="17"/>
              <w:widowControl/>
              <w:spacing w:before="0" w:beforeAutospacing="0" w:after="0" w:afterAutospacing="0"/>
              <w:ind w:left="0" w:leftChars="0" w:right="0"/>
              <w:jc w:val="center"/>
              <w:rPr>
                <w:rFonts w:hint="eastAsia" w:ascii="仿宋" w:hAnsi="仿宋" w:eastAsia="仿宋" w:cs="仿宋"/>
                <w:b w:val="0"/>
                <w:bCs w:val="0"/>
                <w:i w:val="0"/>
                <w:iCs w:val="0"/>
                <w:color w:val="000000"/>
                <w:spacing w:val="0"/>
                <w:w w:val="100"/>
                <w:kern w:val="2"/>
                <w:sz w:val="24"/>
                <w:szCs w:val="24"/>
              </w:rPr>
            </w:pPr>
            <w:r>
              <w:rPr>
                <w:rFonts w:hint="eastAsia" w:ascii="仿宋" w:hAnsi="仿宋" w:eastAsia="仿宋" w:cs="仿宋"/>
                <w:b w:val="0"/>
                <w:bCs w:val="0"/>
                <w:i w:val="0"/>
                <w:iCs w:val="0"/>
                <w:color w:val="000000"/>
                <w:spacing w:val="0"/>
                <w:w w:val="100"/>
                <w:kern w:val="2"/>
                <w:sz w:val="24"/>
                <w:szCs w:val="24"/>
              </w:rPr>
              <w:t>服务方案</w:t>
            </w:r>
          </w:p>
        </w:tc>
        <w:tc>
          <w:tcPr>
            <w:tcW w:w="704"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40</w:t>
            </w:r>
          </w:p>
        </w:tc>
        <w:tc>
          <w:tcPr>
            <w:tcW w:w="7236" w:type="dxa"/>
            <w:tcBorders>
              <w:right w:val="single" w:color="auto" w:sz="4" w:space="0"/>
            </w:tcBorders>
            <w:vAlign w:val="center"/>
          </w:tcPr>
          <w:p>
            <w:pPr>
              <w:adjustRightInd w:val="0"/>
              <w:snapToGrid w:val="0"/>
              <w:spacing w:line="276" w:lineRule="auto"/>
              <w:rPr>
                <w:rFonts w:hint="eastAsia" w:ascii="仿宋" w:hAnsi="仿宋" w:eastAsia="仿宋" w:cs="宋体"/>
                <w:sz w:val="24"/>
                <w:szCs w:val="24"/>
              </w:rPr>
            </w:pPr>
            <w:r>
              <w:rPr>
                <w:rFonts w:hint="eastAsia" w:ascii="仿宋" w:hAnsi="仿宋" w:eastAsia="仿宋" w:cs="宋体"/>
                <w:sz w:val="24"/>
                <w:szCs w:val="24"/>
              </w:rPr>
              <w:t>供应商根据本项目实施特点及</w:t>
            </w:r>
            <w:r>
              <w:rPr>
                <w:rFonts w:hint="eastAsia" w:ascii="仿宋" w:hAnsi="仿宋" w:eastAsia="仿宋" w:cs="宋体"/>
                <w:sz w:val="24"/>
                <w:szCs w:val="24"/>
                <w:lang w:val="en-US" w:eastAsia="zh-CN"/>
              </w:rPr>
              <w:t>服务</w:t>
            </w:r>
            <w:r>
              <w:rPr>
                <w:rFonts w:hint="eastAsia" w:ascii="仿宋" w:hAnsi="仿宋" w:eastAsia="仿宋" w:cs="宋体"/>
                <w:sz w:val="24"/>
                <w:szCs w:val="24"/>
              </w:rPr>
              <w:t>要求，结合学院</w:t>
            </w:r>
            <w:r>
              <w:rPr>
                <w:rFonts w:hint="eastAsia" w:ascii="仿宋" w:hAnsi="仿宋" w:eastAsia="仿宋" w:cs="宋体"/>
                <w:sz w:val="24"/>
                <w:szCs w:val="24"/>
                <w:lang w:val="en-US" w:eastAsia="zh-CN"/>
              </w:rPr>
              <w:t>宿舍现有实际</w:t>
            </w:r>
            <w:r>
              <w:rPr>
                <w:rFonts w:hint="eastAsia" w:ascii="仿宋" w:hAnsi="仿宋" w:eastAsia="仿宋" w:cs="宋体"/>
                <w:sz w:val="24"/>
                <w:szCs w:val="24"/>
              </w:rPr>
              <w:t>情况制定实施方案</w:t>
            </w:r>
            <w:r>
              <w:rPr>
                <w:rFonts w:hint="eastAsia" w:ascii="仿宋" w:hAnsi="仿宋" w:eastAsia="仿宋" w:cs="宋体"/>
                <w:sz w:val="24"/>
                <w:szCs w:val="24"/>
                <w:lang w:eastAsia="zh-CN"/>
              </w:rPr>
              <w:t>，</w:t>
            </w:r>
            <w:r>
              <w:rPr>
                <w:rFonts w:hint="eastAsia" w:ascii="仿宋" w:hAnsi="仿宋" w:eastAsia="仿宋" w:cs="宋体"/>
                <w:sz w:val="24"/>
                <w:szCs w:val="24"/>
              </w:rPr>
              <w:t>方案至少</w:t>
            </w:r>
            <w:r>
              <w:rPr>
                <w:rFonts w:hint="eastAsia" w:ascii="仿宋" w:hAnsi="仿宋" w:eastAsia="仿宋" w:cs="宋体"/>
                <w:sz w:val="24"/>
                <w:szCs w:val="24"/>
                <w:lang w:val="en-US" w:eastAsia="zh-CN"/>
              </w:rPr>
              <w:t>应</w:t>
            </w:r>
            <w:r>
              <w:rPr>
                <w:rFonts w:hint="eastAsia" w:ascii="仿宋" w:hAnsi="仿宋" w:eastAsia="仿宋" w:cs="宋体"/>
                <w:sz w:val="24"/>
                <w:szCs w:val="24"/>
              </w:rPr>
              <w:t>包括：①项目理解与现状分析；②</w:t>
            </w:r>
            <w:r>
              <w:rPr>
                <w:rFonts w:hint="eastAsia" w:ascii="仿宋" w:hAnsi="仿宋" w:eastAsia="仿宋" w:cs="宋体"/>
                <w:sz w:val="24"/>
                <w:szCs w:val="24"/>
                <w:lang w:val="en-US" w:eastAsia="zh-CN"/>
              </w:rPr>
              <w:t>清洁</w:t>
            </w:r>
            <w:r>
              <w:rPr>
                <w:rFonts w:hint="eastAsia" w:ascii="仿宋" w:hAnsi="仿宋" w:eastAsia="仿宋" w:cs="宋体"/>
                <w:sz w:val="24"/>
                <w:szCs w:val="24"/>
              </w:rPr>
              <w:t>流程与实施步骤方案</w:t>
            </w:r>
            <w:r>
              <w:rPr>
                <w:rFonts w:hint="eastAsia" w:ascii="仿宋" w:hAnsi="仿宋" w:eastAsia="仿宋" w:cs="宋体"/>
                <w:sz w:val="24"/>
                <w:szCs w:val="24"/>
                <w:lang w:eastAsia="zh-CN"/>
              </w:rPr>
              <w:t>；③</w:t>
            </w:r>
            <w:r>
              <w:rPr>
                <w:rFonts w:hint="eastAsia" w:ascii="仿宋" w:hAnsi="仿宋" w:eastAsia="仿宋" w:cs="宋体"/>
                <w:sz w:val="24"/>
                <w:szCs w:val="24"/>
              </w:rPr>
              <w:t>安全文明</w:t>
            </w:r>
            <w:r>
              <w:rPr>
                <w:rFonts w:hint="eastAsia" w:ascii="仿宋" w:hAnsi="仿宋" w:eastAsia="仿宋" w:cs="宋体"/>
                <w:sz w:val="24"/>
                <w:szCs w:val="24"/>
                <w:lang w:val="en-US" w:eastAsia="zh-CN"/>
              </w:rPr>
              <w:t>清洁</w:t>
            </w:r>
            <w:r>
              <w:rPr>
                <w:rFonts w:hint="eastAsia" w:ascii="仿宋" w:hAnsi="仿宋" w:eastAsia="仿宋" w:cs="宋体"/>
                <w:sz w:val="24"/>
                <w:szCs w:val="24"/>
              </w:rPr>
              <w:t>措施</w:t>
            </w:r>
            <w:r>
              <w:rPr>
                <w:rFonts w:hint="eastAsia" w:ascii="仿宋" w:hAnsi="仿宋" w:eastAsia="仿宋" w:cs="宋体"/>
                <w:sz w:val="24"/>
                <w:szCs w:val="24"/>
                <w:lang w:eastAsia="zh-CN"/>
              </w:rPr>
              <w:t>；④</w:t>
            </w:r>
            <w:r>
              <w:rPr>
                <w:rFonts w:hint="eastAsia" w:ascii="仿宋" w:hAnsi="仿宋" w:eastAsia="仿宋" w:cs="宋体"/>
                <w:sz w:val="24"/>
                <w:szCs w:val="24"/>
              </w:rPr>
              <w:t>质量保证措施</w:t>
            </w:r>
            <w:r>
              <w:rPr>
                <w:rFonts w:hint="eastAsia" w:ascii="仿宋" w:hAnsi="仿宋" w:eastAsia="仿宋" w:cs="宋体"/>
                <w:sz w:val="24"/>
                <w:szCs w:val="24"/>
                <w:lang w:eastAsia="zh-CN"/>
              </w:rPr>
              <w:t>；⑤</w:t>
            </w:r>
            <w:r>
              <w:rPr>
                <w:rFonts w:hint="eastAsia" w:ascii="仿宋" w:hAnsi="仿宋" w:eastAsia="仿宋" w:cs="宋体"/>
                <w:sz w:val="24"/>
                <w:szCs w:val="24"/>
                <w:lang w:val="en-US" w:eastAsia="zh-CN"/>
              </w:rPr>
              <w:t>清洁</w:t>
            </w:r>
            <w:r>
              <w:rPr>
                <w:rFonts w:hint="eastAsia" w:ascii="仿宋" w:hAnsi="仿宋" w:eastAsia="仿宋" w:cs="宋体"/>
                <w:sz w:val="24"/>
                <w:szCs w:val="24"/>
              </w:rPr>
              <w:t>人员配置</w:t>
            </w:r>
            <w:r>
              <w:rPr>
                <w:rFonts w:hint="eastAsia" w:ascii="仿宋" w:hAnsi="仿宋" w:eastAsia="仿宋" w:cs="宋体"/>
                <w:sz w:val="24"/>
                <w:szCs w:val="24"/>
                <w:lang w:eastAsia="zh-CN"/>
              </w:rPr>
              <w:t>、</w:t>
            </w:r>
            <w:r>
              <w:rPr>
                <w:rFonts w:hint="eastAsia" w:ascii="仿宋" w:hAnsi="仿宋" w:eastAsia="仿宋" w:cs="宋体"/>
                <w:sz w:val="24"/>
                <w:szCs w:val="24"/>
              </w:rPr>
              <w:t>售后服务</w:t>
            </w:r>
            <w:r>
              <w:rPr>
                <w:rFonts w:hint="eastAsia" w:ascii="仿宋" w:hAnsi="仿宋" w:eastAsia="仿宋" w:cs="宋体"/>
                <w:sz w:val="24"/>
                <w:szCs w:val="24"/>
                <w:lang w:val="en-US" w:eastAsia="zh-CN"/>
              </w:rPr>
              <w:t>及</w:t>
            </w:r>
            <w:r>
              <w:rPr>
                <w:rFonts w:hint="eastAsia" w:ascii="仿宋" w:hAnsi="仿宋" w:eastAsia="仿宋" w:cs="宋体"/>
                <w:sz w:val="24"/>
                <w:szCs w:val="24"/>
              </w:rPr>
              <w:t>应急预案。</w:t>
            </w:r>
          </w:p>
          <w:p>
            <w:pPr>
              <w:jc w:val="left"/>
              <w:rPr>
                <w:rFonts w:hint="eastAsia" w:ascii="仿宋" w:hAnsi="仿宋" w:eastAsia="仿宋" w:cs="宋体"/>
                <w:sz w:val="24"/>
                <w:szCs w:val="24"/>
              </w:rPr>
            </w:pPr>
            <w:r>
              <w:rPr>
                <w:rFonts w:hint="eastAsia" w:ascii="仿宋" w:hAnsi="仿宋" w:eastAsia="仿宋" w:cs="宋体"/>
                <w:sz w:val="24"/>
                <w:szCs w:val="24"/>
              </w:rPr>
              <w:t>评审小组根据方案的完整性、合理性及操作性等进行评价，以上①~</w:t>
            </w:r>
            <w:r>
              <w:rPr>
                <w:rFonts w:hint="eastAsia" w:ascii="仿宋" w:hAnsi="仿宋" w:eastAsia="仿宋" w:cs="宋体"/>
                <w:sz w:val="24"/>
                <w:szCs w:val="24"/>
                <w:lang w:val="en-US" w:eastAsia="zh-CN"/>
              </w:rPr>
              <w:t>⑤</w:t>
            </w:r>
            <w:r>
              <w:rPr>
                <w:rFonts w:hint="eastAsia" w:ascii="仿宋" w:hAnsi="仿宋" w:eastAsia="仿宋" w:cs="宋体"/>
                <w:sz w:val="24"/>
                <w:szCs w:val="24"/>
              </w:rPr>
              <w:t>条方案内容全面、科学合理的每条得</w:t>
            </w:r>
            <w:r>
              <w:rPr>
                <w:rFonts w:hint="eastAsia" w:ascii="仿宋" w:hAnsi="仿宋" w:eastAsia="仿宋" w:cs="宋体"/>
                <w:sz w:val="24"/>
                <w:szCs w:val="24"/>
                <w:lang w:val="en-US" w:eastAsia="zh-CN"/>
              </w:rPr>
              <w:t>8</w:t>
            </w:r>
            <w:r>
              <w:rPr>
                <w:rFonts w:hint="eastAsia" w:ascii="仿宋" w:hAnsi="仿宋" w:eastAsia="仿宋" w:cs="宋体"/>
                <w:sz w:val="24"/>
                <w:szCs w:val="24"/>
              </w:rPr>
              <w:t>分；方案较完整、能满足基本保障要求的每条得</w:t>
            </w:r>
            <w:r>
              <w:rPr>
                <w:rFonts w:hint="eastAsia" w:ascii="仿宋" w:hAnsi="仿宋" w:eastAsia="仿宋" w:cs="宋体"/>
                <w:sz w:val="24"/>
                <w:szCs w:val="24"/>
                <w:lang w:val="en-US" w:eastAsia="zh-CN"/>
              </w:rPr>
              <w:t>4</w:t>
            </w:r>
            <w:r>
              <w:rPr>
                <w:rFonts w:hint="eastAsia" w:ascii="仿宋" w:hAnsi="仿宋" w:eastAsia="仿宋" w:cs="宋体"/>
                <w:sz w:val="24"/>
                <w:szCs w:val="24"/>
              </w:rPr>
              <w:t>分；方案有缺失、操作性一般的得</w:t>
            </w:r>
            <w:r>
              <w:rPr>
                <w:rFonts w:hint="eastAsia" w:ascii="仿宋" w:hAnsi="仿宋" w:eastAsia="仿宋" w:cs="宋体"/>
                <w:sz w:val="24"/>
                <w:szCs w:val="24"/>
                <w:lang w:val="en-US" w:eastAsia="zh-CN"/>
              </w:rPr>
              <w:t>2</w:t>
            </w:r>
            <w:r>
              <w:rPr>
                <w:rFonts w:hint="eastAsia" w:ascii="仿宋" w:hAnsi="仿宋" w:eastAsia="仿宋" w:cs="宋体"/>
                <w:sz w:val="24"/>
                <w:szCs w:val="24"/>
              </w:rPr>
              <w:t>分；其他不得分。</w:t>
            </w:r>
          </w:p>
          <w:p>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40</w:t>
            </w:r>
            <w:r>
              <w:rPr>
                <w:rFonts w:hint="eastAsia" w:ascii="仿宋" w:hAnsi="仿宋" w:eastAsia="仿宋" w:cs="宋体"/>
                <w:b/>
                <w:bCs/>
                <w:sz w:val="24"/>
                <w:szCs w:val="24"/>
              </w:rPr>
              <w:t>分。</w:t>
            </w:r>
          </w:p>
          <w:p>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【评审依据】：响应文件中提供项目整体实施方案，未提供不得分。</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Ex>
        <w:trPr>
          <w:jc w:val="center"/>
        </w:trPr>
        <w:tc>
          <w:tcPr>
            <w:tcW w:w="559" w:type="dxa"/>
            <w:tcBorders>
              <w:left w:val="single" w:color="auto" w:sz="4" w:space="0"/>
            </w:tcBorders>
            <w:vAlign w:val="center"/>
          </w:tcPr>
          <w:p>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3</w:t>
            </w:r>
          </w:p>
        </w:tc>
        <w:tc>
          <w:tcPr>
            <w:tcW w:w="1302" w:type="dxa"/>
            <w:vAlign w:val="center"/>
          </w:tcPr>
          <w:p>
            <w:pPr>
              <w:pStyle w:val="17"/>
              <w:widowControl/>
              <w:spacing w:before="0" w:beforeAutospacing="0" w:after="0" w:afterAutospacing="0"/>
              <w:ind w:left="0" w:leftChars="0" w:right="0"/>
              <w:jc w:val="center"/>
              <w:rPr>
                <w:rFonts w:hint="eastAsia" w:ascii="仿宋" w:hAnsi="仿宋" w:eastAsia="仿宋" w:cs="仿宋"/>
                <w:b w:val="0"/>
                <w:bCs w:val="0"/>
                <w:i w:val="0"/>
                <w:iCs w:val="0"/>
                <w:color w:val="000000"/>
                <w:spacing w:val="0"/>
                <w:w w:val="100"/>
                <w:kern w:val="2"/>
                <w:sz w:val="24"/>
                <w:szCs w:val="24"/>
              </w:rPr>
            </w:pPr>
            <w:r>
              <w:rPr>
                <w:rFonts w:hint="eastAsia" w:ascii="仿宋" w:hAnsi="仿宋" w:eastAsia="仿宋" w:cs="仿宋"/>
                <w:b w:val="0"/>
                <w:bCs w:val="0"/>
                <w:i w:val="0"/>
                <w:iCs w:val="0"/>
                <w:color w:val="000000"/>
                <w:spacing w:val="0"/>
                <w:w w:val="100"/>
                <w:kern w:val="2"/>
                <w:sz w:val="24"/>
                <w:szCs w:val="24"/>
              </w:rPr>
              <w:t>服务团队能力</w:t>
            </w:r>
          </w:p>
        </w:tc>
        <w:tc>
          <w:tcPr>
            <w:tcW w:w="704" w:type="dxa"/>
            <w:vAlign w:val="center"/>
          </w:tcPr>
          <w:p>
            <w:pPr>
              <w:jc w:val="center"/>
              <w:rPr>
                <w:rFonts w:ascii="宋体" w:hAnsi="宋体"/>
                <w:kern w:val="0"/>
                <w:sz w:val="24"/>
                <w:szCs w:val="20"/>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pPr>
              <w:jc w:val="left"/>
              <w:rPr>
                <w:rFonts w:hint="eastAsia" w:ascii="仿宋" w:hAnsi="仿宋" w:eastAsia="仿宋" w:cs="宋体"/>
                <w:sz w:val="24"/>
                <w:szCs w:val="24"/>
              </w:rPr>
            </w:pPr>
            <w:r>
              <w:rPr>
                <w:rFonts w:hint="eastAsia" w:ascii="仿宋" w:hAnsi="仿宋" w:eastAsia="仿宋" w:cs="宋体"/>
                <w:sz w:val="24"/>
                <w:szCs w:val="24"/>
                <w:lang w:val="en-US" w:eastAsia="zh-CN"/>
              </w:rPr>
              <w:t>（1）配备1名专属现场项目负责人，全程驻场统筹学生宿舍清洁工作，对接校方管理人员，得2分；未配备不得分；</w:t>
            </w:r>
          </w:p>
          <w:p>
            <w:pPr>
              <w:jc w:val="left"/>
              <w:rPr>
                <w:rFonts w:hint="eastAsia" w:ascii="仿宋" w:hAnsi="仿宋" w:eastAsia="仿宋" w:cs="宋体"/>
                <w:sz w:val="24"/>
                <w:szCs w:val="24"/>
              </w:rPr>
            </w:pPr>
            <w:r>
              <w:rPr>
                <w:rFonts w:hint="eastAsia" w:ascii="仿宋" w:hAnsi="仿宋" w:eastAsia="仿宋" w:cs="宋体"/>
                <w:sz w:val="24"/>
                <w:szCs w:val="24"/>
                <w:lang w:val="en-US" w:eastAsia="zh-CN"/>
              </w:rPr>
              <w:t>（2）具备自有固定保洁团队，人员数量≥40人，且能够完全满足本项目全部清洁作业需求的，得4分；自有固定保洁团队人员数量不足40人且高于20人的，得2分;少于20人的,不得分。</w:t>
            </w:r>
          </w:p>
          <w:p>
            <w:pPr>
              <w:widowControl/>
              <w:spacing w:before="0" w:beforeAutospacing="0" w:after="0" w:afterAutospacing="0"/>
              <w:ind w:left="0" w:right="0"/>
              <w:jc w:val="left"/>
              <w:rPr>
                <w:rFonts w:hint="eastAsia" w:ascii="仿宋" w:hAnsi="仿宋" w:eastAsia="仿宋" w:cs="宋体"/>
                <w:kern w:val="2"/>
                <w:sz w:val="24"/>
                <w:szCs w:val="24"/>
              </w:rPr>
            </w:pPr>
            <w:r>
              <w:rPr>
                <w:rFonts w:hint="eastAsia" w:ascii="仿宋" w:hAnsi="仿宋" w:eastAsia="仿宋" w:cs="仿宋"/>
                <w:kern w:val="2"/>
                <w:sz w:val="24"/>
                <w:szCs w:val="24"/>
                <w:lang w:val="en-US" w:eastAsia="zh-CN"/>
              </w:rPr>
              <w:t>（3）所有清洁人员均开展岗前安全培训，并提供培训记录及佐证照片，得2分；缺少材料不得分；</w:t>
            </w:r>
          </w:p>
          <w:p>
            <w:pPr>
              <w:widowControl/>
              <w:spacing w:before="0" w:beforeAutospacing="0" w:after="0" w:afterAutospacing="0"/>
              <w:ind w:left="0" w:right="0"/>
              <w:jc w:val="left"/>
              <w:rPr>
                <w:rFonts w:hint="eastAsia" w:ascii="仿宋" w:hAnsi="仿宋" w:eastAsia="仿宋" w:cs="宋体"/>
                <w:kern w:val="2"/>
                <w:sz w:val="24"/>
                <w:szCs w:val="24"/>
              </w:rPr>
            </w:pPr>
            <w:r>
              <w:rPr>
                <w:rFonts w:hint="eastAsia" w:ascii="仿宋" w:hAnsi="仿宋" w:eastAsia="仿宋" w:cs="仿宋"/>
                <w:kern w:val="2"/>
                <w:sz w:val="24"/>
                <w:szCs w:val="24"/>
                <w:lang w:val="en-US" w:eastAsia="zh-CN"/>
              </w:rPr>
              <w:t>（4）承诺作业人员统一着装，遵守校园门禁、通行及场地管理规定，不动学生私人物品，得2分；缺任意承诺不得分。</w:t>
            </w:r>
          </w:p>
          <w:p>
            <w:pPr>
              <w:jc w:val="left"/>
              <w:rPr>
                <w:rFonts w:hint="eastAsia" w:ascii="仿宋" w:hAnsi="仿宋" w:eastAsia="仿宋" w:cs="宋体"/>
                <w:b/>
                <w:bCs/>
                <w:color w:val="000000"/>
                <w:sz w:val="24"/>
                <w:szCs w:val="24"/>
              </w:rPr>
            </w:pPr>
            <w:r>
              <w:rPr>
                <w:rFonts w:hint="eastAsia" w:ascii="仿宋" w:hAnsi="仿宋" w:eastAsia="仿宋" w:cs="宋体"/>
                <w:b/>
                <w:bCs/>
                <w:color w:val="000000"/>
                <w:sz w:val="24"/>
                <w:szCs w:val="24"/>
              </w:rPr>
              <w:t>本项满分</w:t>
            </w:r>
            <w:r>
              <w:rPr>
                <w:rFonts w:hint="eastAsia" w:ascii="仿宋" w:hAnsi="仿宋" w:eastAsia="仿宋" w:cs="宋体"/>
                <w:b/>
                <w:bCs/>
                <w:color w:val="000000"/>
                <w:sz w:val="24"/>
                <w:szCs w:val="24"/>
                <w:lang w:val="en-US" w:eastAsia="zh-CN"/>
              </w:rPr>
              <w:t>1</w:t>
            </w:r>
            <w:r>
              <w:rPr>
                <w:rFonts w:hint="eastAsia" w:ascii="仿宋" w:hAnsi="仿宋" w:eastAsia="仿宋" w:cs="宋体"/>
                <w:b/>
                <w:bCs/>
                <w:color w:val="000000"/>
                <w:sz w:val="24"/>
                <w:szCs w:val="24"/>
              </w:rPr>
              <w:t>0分。</w:t>
            </w:r>
          </w:p>
          <w:p>
            <w:pPr>
              <w:jc w:val="left"/>
              <w:rPr>
                <w:rFonts w:hint="eastAsia" w:ascii="仿宋" w:hAnsi="仿宋" w:eastAsia="仿宋" w:cs="宋体"/>
                <w:b/>
                <w:bCs/>
                <w:color w:val="000000"/>
                <w:sz w:val="24"/>
                <w:szCs w:val="24"/>
              </w:rPr>
            </w:pPr>
            <w:r>
              <w:rPr>
                <w:rFonts w:hint="eastAsia" w:ascii="仿宋" w:hAnsi="仿宋" w:eastAsia="仿宋" w:cs="宋体"/>
                <w:b/>
                <w:bCs/>
                <w:sz w:val="24"/>
                <w:szCs w:val="24"/>
              </w:rPr>
              <w:t>【评审依据】：</w:t>
            </w:r>
            <w:r>
              <w:rPr>
                <w:rFonts w:hint="eastAsia" w:ascii="仿宋" w:hAnsi="仿宋" w:eastAsia="仿宋" w:cs="宋体"/>
                <w:b/>
                <w:bCs/>
                <w:sz w:val="24"/>
                <w:szCs w:val="24"/>
                <w:lang w:val="en-US" w:eastAsia="zh-CN"/>
              </w:rPr>
              <w:t>供应商须提供完整在岗人员花名册作为佐证材料，花名册需详细列明人员姓名、岗位（保洁专职人员）、入职时间、联系方式等完整信息，加盖投标人公章，明确所列人员均为公司自有固定保洁团队人员，不含临时外包人员、兼职人员，资料不全、信息不实或人员不符合要求的，不予得分。</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Ex>
        <w:trPr>
          <w:jc w:val="center"/>
        </w:trPr>
        <w:tc>
          <w:tcPr>
            <w:tcW w:w="559" w:type="dxa"/>
            <w:tcBorders>
              <w:left w:val="single" w:color="auto" w:sz="4" w:space="0"/>
            </w:tcBorders>
            <w:vAlign w:val="center"/>
          </w:tcPr>
          <w:p>
            <w:pPr>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4</w:t>
            </w:r>
          </w:p>
        </w:tc>
        <w:tc>
          <w:tcPr>
            <w:tcW w:w="1302" w:type="dxa"/>
            <w:vAlign w:val="center"/>
          </w:tcPr>
          <w:p>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履约能力</w:t>
            </w:r>
          </w:p>
        </w:tc>
        <w:tc>
          <w:tcPr>
            <w:tcW w:w="704"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pPr>
              <w:jc w:val="left"/>
              <w:rPr>
                <w:rFonts w:hint="eastAsia" w:ascii="仿宋" w:hAnsi="仿宋" w:eastAsia="仿宋" w:cs="宋体"/>
                <w:sz w:val="24"/>
                <w:szCs w:val="24"/>
                <w:highlight w:val="none"/>
                <w:lang w:eastAsia="zh-CN"/>
              </w:rPr>
            </w:pPr>
            <w:r>
              <w:rPr>
                <w:rFonts w:hint="eastAsia" w:ascii="仿宋" w:hAnsi="仿宋" w:eastAsia="仿宋" w:cs="宋体"/>
                <w:sz w:val="24"/>
                <w:szCs w:val="24"/>
                <w:highlight w:val="none"/>
              </w:rPr>
              <w:t>供应商提供自202</w:t>
            </w:r>
            <w:r>
              <w:rPr>
                <w:rFonts w:hint="eastAsia" w:ascii="仿宋" w:hAnsi="仿宋" w:eastAsia="仿宋" w:cs="宋体"/>
                <w:sz w:val="24"/>
                <w:szCs w:val="24"/>
                <w:highlight w:val="none"/>
                <w:lang w:val="en-US" w:eastAsia="zh-CN"/>
              </w:rPr>
              <w:t>4</w:t>
            </w:r>
            <w:r>
              <w:rPr>
                <w:rFonts w:hint="eastAsia" w:ascii="仿宋" w:hAnsi="仿宋" w:eastAsia="仿宋" w:cs="宋体"/>
                <w:sz w:val="24"/>
                <w:szCs w:val="24"/>
                <w:highlight w:val="none"/>
              </w:rPr>
              <w:t>年</w:t>
            </w:r>
            <w:r>
              <w:rPr>
                <w:rFonts w:hint="eastAsia" w:ascii="仿宋" w:hAnsi="仿宋" w:eastAsia="仿宋" w:cs="宋体"/>
                <w:sz w:val="24"/>
                <w:szCs w:val="24"/>
                <w:highlight w:val="none"/>
                <w:lang w:val="en-US" w:eastAsia="zh-CN"/>
              </w:rPr>
              <w:t>7</w:t>
            </w:r>
            <w:r>
              <w:rPr>
                <w:rFonts w:hint="eastAsia" w:ascii="仿宋" w:hAnsi="仿宋" w:eastAsia="仿宋" w:cs="宋体"/>
                <w:sz w:val="24"/>
                <w:szCs w:val="24"/>
                <w:highlight w:val="none"/>
              </w:rPr>
              <w:t>月至本项目响应文件递交截止时间（以合同签订日期为准）具有</w:t>
            </w:r>
            <w:r>
              <w:rPr>
                <w:rFonts w:hint="eastAsia" w:ascii="仿宋" w:hAnsi="仿宋" w:eastAsia="仿宋" w:cs="宋体"/>
                <w:sz w:val="24"/>
                <w:szCs w:val="24"/>
                <w:highlight w:val="none"/>
                <w:lang w:val="en-US" w:eastAsia="zh-CN"/>
              </w:rPr>
              <w:t>清洁</w:t>
            </w:r>
            <w:r>
              <w:rPr>
                <w:rFonts w:hint="eastAsia" w:ascii="仿宋" w:hAnsi="仿宋" w:eastAsia="仿宋" w:cs="宋体"/>
                <w:sz w:val="24"/>
                <w:szCs w:val="24"/>
                <w:highlight w:val="none"/>
              </w:rPr>
              <w:t>服务项目</w:t>
            </w:r>
            <w:r>
              <w:rPr>
                <w:rFonts w:hint="eastAsia" w:ascii="仿宋" w:hAnsi="仿宋" w:eastAsia="仿宋" w:cs="宋体"/>
                <w:sz w:val="24"/>
                <w:szCs w:val="24"/>
                <w:highlight w:val="none"/>
                <w:lang w:val="en-US" w:eastAsia="zh-CN"/>
              </w:rPr>
              <w:t>实施业绩</w:t>
            </w:r>
            <w:r>
              <w:rPr>
                <w:rFonts w:hint="eastAsia" w:ascii="仿宋" w:hAnsi="仿宋" w:eastAsia="仿宋" w:cs="宋体"/>
                <w:sz w:val="24"/>
                <w:szCs w:val="24"/>
                <w:highlight w:val="none"/>
              </w:rPr>
              <w:t>的,每提供一个加</w:t>
            </w:r>
            <w:r>
              <w:rPr>
                <w:rFonts w:hint="eastAsia" w:ascii="仿宋" w:hAnsi="仿宋" w:eastAsia="仿宋" w:cs="宋体"/>
                <w:sz w:val="24"/>
                <w:szCs w:val="24"/>
                <w:highlight w:val="none"/>
                <w:lang w:val="en-US" w:eastAsia="zh-CN"/>
              </w:rPr>
              <w:t>5</w:t>
            </w:r>
            <w:r>
              <w:rPr>
                <w:rFonts w:hint="eastAsia" w:ascii="仿宋" w:hAnsi="仿宋" w:eastAsia="仿宋" w:cs="宋体"/>
                <w:sz w:val="24"/>
                <w:szCs w:val="24"/>
                <w:highlight w:val="none"/>
              </w:rPr>
              <w:t>分</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lang w:val="en-US" w:eastAsia="zh-CN"/>
              </w:rPr>
              <w:t>最高10分。</w:t>
            </w:r>
          </w:p>
          <w:p>
            <w:pPr>
              <w:jc w:val="left"/>
              <w:rPr>
                <w:rFonts w:hint="eastAsia" w:ascii="仿宋" w:hAnsi="仿宋" w:eastAsia="仿宋" w:cs="宋体"/>
                <w:color w:val="000000"/>
                <w:sz w:val="24"/>
                <w:szCs w:val="24"/>
              </w:rPr>
            </w:pPr>
            <w:r>
              <w:rPr>
                <w:rFonts w:hint="eastAsia" w:ascii="仿宋" w:hAnsi="仿宋" w:eastAsia="仿宋" w:cs="宋体"/>
                <w:b/>
                <w:bCs/>
                <w:color w:val="000000"/>
                <w:sz w:val="24"/>
                <w:szCs w:val="24"/>
              </w:rPr>
              <w:t>本项满分</w:t>
            </w:r>
            <w:r>
              <w:rPr>
                <w:rFonts w:hint="eastAsia" w:ascii="仿宋" w:hAnsi="仿宋" w:eastAsia="仿宋" w:cs="宋体"/>
                <w:b/>
                <w:bCs/>
                <w:color w:val="000000"/>
                <w:sz w:val="24"/>
                <w:szCs w:val="24"/>
                <w:lang w:val="en-US" w:eastAsia="zh-CN"/>
              </w:rPr>
              <w:t>10</w:t>
            </w:r>
            <w:r>
              <w:rPr>
                <w:rFonts w:hint="eastAsia" w:ascii="仿宋" w:hAnsi="仿宋" w:eastAsia="仿宋" w:cs="宋体"/>
                <w:b/>
                <w:bCs/>
                <w:color w:val="000000"/>
                <w:sz w:val="24"/>
                <w:szCs w:val="24"/>
              </w:rPr>
              <w:t>分。</w:t>
            </w:r>
          </w:p>
          <w:p>
            <w:pPr>
              <w:adjustRightInd w:val="0"/>
              <w:snapToGrid w:val="0"/>
              <w:spacing w:line="276" w:lineRule="auto"/>
              <w:rPr>
                <w:rFonts w:ascii="宋体" w:hAnsi="宋体" w:cs="宋体"/>
                <w:kern w:val="0"/>
                <w:sz w:val="24"/>
                <w:szCs w:val="20"/>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r>
              <w:rPr>
                <w:rFonts w:hint="eastAsia" w:ascii="仿宋" w:hAnsi="仿宋" w:eastAsia="仿宋" w:cs="宋体"/>
                <w:b/>
                <w:bCs/>
                <w:color w:val="000000"/>
                <w:sz w:val="24"/>
                <w:szCs w:val="24"/>
              </w:rPr>
              <w:t>同一单位不重复计分。</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Ex>
        <w:trPr>
          <w:jc w:val="center"/>
        </w:trPr>
        <w:tc>
          <w:tcPr>
            <w:tcW w:w="559" w:type="dxa"/>
            <w:tcBorders>
              <w:left w:val="single" w:color="auto" w:sz="4" w:space="0"/>
            </w:tcBorders>
            <w:vAlign w:val="center"/>
          </w:tcPr>
          <w:p>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5</w:t>
            </w:r>
          </w:p>
        </w:tc>
        <w:tc>
          <w:tcPr>
            <w:tcW w:w="1302" w:type="dxa"/>
            <w:vAlign w:val="center"/>
          </w:tcPr>
          <w:p>
            <w:pPr>
              <w:jc w:val="center"/>
              <w:rPr>
                <w:rFonts w:hint="eastAsia" w:ascii="仿宋" w:hAnsi="仿宋" w:eastAsia="仿宋" w:cs="宋体"/>
                <w:sz w:val="24"/>
                <w:szCs w:val="24"/>
              </w:rPr>
            </w:pPr>
            <w:r>
              <w:rPr>
                <w:rFonts w:hint="eastAsia" w:ascii="仿宋" w:hAnsi="仿宋" w:eastAsia="仿宋" w:cs="宋体"/>
                <w:sz w:val="24"/>
                <w:szCs w:val="24"/>
                <w:lang w:val="en-US" w:eastAsia="zh-CN"/>
              </w:rPr>
              <w:t>综合</w:t>
            </w:r>
            <w:r>
              <w:rPr>
                <w:rFonts w:hint="eastAsia" w:ascii="仿宋" w:hAnsi="仿宋" w:eastAsia="仿宋" w:cs="宋体"/>
                <w:sz w:val="24"/>
                <w:szCs w:val="24"/>
              </w:rPr>
              <w:t>实力</w:t>
            </w:r>
          </w:p>
        </w:tc>
        <w:tc>
          <w:tcPr>
            <w:tcW w:w="704"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p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rPr>
              <w:t>供应商提供ISO9001质量管理体系认证证书的</w:t>
            </w:r>
            <w:r>
              <w:rPr>
                <w:rFonts w:hint="eastAsia" w:ascii="仿宋" w:hAnsi="仿宋" w:eastAsia="仿宋" w:cs="宋体"/>
                <w:sz w:val="24"/>
                <w:szCs w:val="24"/>
                <w:highlight w:val="none"/>
                <w:lang w:val="en-US" w:eastAsia="zh-CN"/>
              </w:rPr>
              <w:t>得</w:t>
            </w:r>
            <w:r>
              <w:rPr>
                <w:rFonts w:hint="eastAsia" w:ascii="仿宋" w:hAnsi="仿宋" w:eastAsia="仿宋" w:cs="宋体"/>
                <w:sz w:val="24"/>
                <w:szCs w:val="24"/>
                <w:highlight w:val="none"/>
              </w:rPr>
              <w:t>2分；提供ISO14001环境管理体系认证</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ISO45001职业健康安全管理体系认证</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提供以上证书一项的得</w:t>
            </w:r>
            <w:r>
              <w:rPr>
                <w:rFonts w:hint="eastAsia" w:ascii="仿宋" w:hAnsi="仿宋" w:eastAsia="仿宋" w:cs="宋体"/>
                <w:sz w:val="24"/>
                <w:szCs w:val="24"/>
                <w:highlight w:val="none"/>
                <w:lang w:val="en-US" w:eastAsia="zh-CN"/>
              </w:rPr>
              <w:t>4</w:t>
            </w:r>
            <w:r>
              <w:rPr>
                <w:rFonts w:hint="eastAsia" w:ascii="仿宋" w:hAnsi="仿宋" w:eastAsia="仿宋" w:cs="宋体"/>
                <w:sz w:val="24"/>
                <w:szCs w:val="24"/>
                <w:highlight w:val="none"/>
              </w:rPr>
              <w:t>分</w:t>
            </w:r>
            <w:r>
              <w:rPr>
                <w:rFonts w:hint="eastAsia" w:ascii="仿宋" w:hAnsi="仿宋" w:eastAsia="仿宋" w:cs="宋体"/>
                <w:sz w:val="24"/>
                <w:szCs w:val="24"/>
                <w:highlight w:val="none"/>
                <w:lang w:eastAsia="zh-CN"/>
              </w:rPr>
              <w:t>。</w:t>
            </w:r>
          </w:p>
          <w:p>
            <w:pPr>
              <w:jc w:val="left"/>
              <w:rPr>
                <w:rFonts w:ascii="宋体" w:hAnsi="宋体" w:cs="宋体"/>
                <w:kern w:val="0"/>
                <w:sz w:val="24"/>
                <w:szCs w:val="20"/>
              </w:rPr>
            </w:pPr>
            <w:r>
              <w:rPr>
                <w:rFonts w:hint="eastAsia" w:ascii="仿宋" w:hAnsi="仿宋" w:eastAsia="仿宋" w:cs="宋体"/>
                <w:b/>
                <w:bCs/>
                <w:color w:val="000000"/>
                <w:sz w:val="24"/>
                <w:szCs w:val="24"/>
                <w:highlight w:val="none"/>
                <w:lang w:val="en-US" w:eastAsia="zh-CN"/>
              </w:rPr>
              <w:t>本项满分10分。</w:t>
            </w:r>
          </w:p>
        </w:tc>
      </w:tr>
    </w:tbl>
    <w:p/>
    <w:p/>
    <w:p/>
    <w:p>
      <w:pPr>
        <w:pStyle w:val="10"/>
        <w:rPr>
          <w:rFonts w:ascii="宋体" w:hAnsi="宋体" w:eastAsia="仿宋" w:cs="宋体"/>
          <w:b/>
          <w:color w:val="333333"/>
          <w:kern w:val="0"/>
          <w:sz w:val="36"/>
          <w:szCs w:val="36"/>
        </w:rPr>
      </w:pPr>
    </w:p>
    <w:p>
      <w:pPr>
        <w:pStyle w:val="10"/>
        <w:rPr>
          <w:rFonts w:ascii="宋体" w:hAnsi="宋体" w:eastAsia="仿宋" w:cs="宋体"/>
          <w:b/>
          <w:color w:val="333333"/>
          <w:kern w:val="0"/>
          <w:sz w:val="36"/>
          <w:szCs w:val="36"/>
        </w:rPr>
      </w:pPr>
    </w:p>
    <w:p>
      <w:pPr>
        <w:pStyle w:val="10"/>
        <w:rPr>
          <w:rFonts w:ascii="宋体" w:hAnsi="宋体" w:eastAsia="仿宋" w:cs="宋体"/>
          <w:b/>
          <w:color w:val="333333"/>
          <w:kern w:val="0"/>
          <w:sz w:val="36"/>
          <w:szCs w:val="36"/>
        </w:rPr>
      </w:pPr>
    </w:p>
    <w:p>
      <w:pPr>
        <w:pStyle w:val="10"/>
        <w:rPr>
          <w:rFonts w:ascii="宋体" w:hAnsi="宋体" w:eastAsia="仿宋" w:cs="宋体"/>
          <w:b/>
          <w:color w:val="333333"/>
          <w:kern w:val="0"/>
          <w:sz w:val="36"/>
          <w:szCs w:val="36"/>
        </w:rPr>
      </w:pPr>
    </w:p>
    <w:p>
      <w:pPr>
        <w:pStyle w:val="10"/>
        <w:rPr>
          <w:rFonts w:ascii="宋体" w:hAnsi="宋体" w:eastAsia="仿宋" w:cs="宋体"/>
          <w:b/>
          <w:color w:val="333333"/>
          <w:kern w:val="0"/>
          <w:sz w:val="36"/>
          <w:szCs w:val="36"/>
        </w:rPr>
      </w:pPr>
    </w:p>
    <w:p>
      <w:pPr>
        <w:pStyle w:val="10"/>
        <w:rPr>
          <w:rFonts w:ascii="宋体" w:hAnsi="宋体" w:eastAsia="仿宋" w:cs="宋体"/>
          <w:b/>
          <w:color w:val="333333"/>
          <w:kern w:val="0"/>
          <w:sz w:val="36"/>
          <w:szCs w:val="36"/>
        </w:rPr>
      </w:pPr>
    </w:p>
    <w:p>
      <w:pPr>
        <w:pStyle w:val="10"/>
        <w:rPr>
          <w:rFonts w:ascii="宋体" w:hAnsi="宋体" w:eastAsia="仿宋" w:cs="宋体"/>
          <w:b/>
          <w:color w:val="333333"/>
          <w:kern w:val="0"/>
          <w:sz w:val="36"/>
          <w:szCs w:val="36"/>
        </w:rPr>
      </w:pPr>
    </w:p>
    <w:p>
      <w:pPr>
        <w:pStyle w:val="15"/>
        <w:ind w:left="0" w:leftChars="0" w:firstLine="0"/>
        <w:jc w:val="center"/>
        <w:rPr>
          <w:rFonts w:hint="eastAsia" w:ascii="宋体" w:hAnsi="宋体" w:eastAsia="仿宋" w:cs="宋体"/>
          <w:b/>
          <w:color w:val="333333"/>
          <w:kern w:val="0"/>
          <w:sz w:val="36"/>
          <w:szCs w:val="36"/>
        </w:rPr>
      </w:pPr>
    </w:p>
    <w:p>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pPr>
        <w:pStyle w:val="15"/>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bCs/>
          <w:sz w:val="24"/>
          <w:szCs w:val="24"/>
        </w:rPr>
        <w:t>见</w:t>
      </w:r>
      <w:r>
        <w:rPr>
          <w:rFonts w:hint="eastAsia" w:ascii="仿宋" w:hAnsi="仿宋" w:eastAsia="仿宋"/>
          <w:sz w:val="24"/>
          <w:szCs w:val="24"/>
        </w:rPr>
        <w:t>附件2</w:t>
      </w:r>
    </w:p>
    <w:p/>
    <w:p>
      <w:pPr>
        <w:pStyle w:val="15"/>
        <w:ind w:left="0" w:leftChars="0" w:firstLine="0"/>
        <w:jc w:val="right"/>
        <w:rPr>
          <w:rFonts w:ascii="宋体" w:hAnsi="宋体" w:eastAsia="仿宋" w:cs="宋体"/>
          <w:b/>
          <w:color w:val="333333"/>
          <w:kern w:val="0"/>
          <w:sz w:val="36"/>
          <w:szCs w:val="36"/>
        </w:rPr>
        <w:sectPr>
          <w:headerReference r:id="rId4" w:type="default"/>
          <w:footerReference r:id="rId6" w:type="default"/>
          <w:headerReference r:id="rId5" w:type="even"/>
          <w:footerReference r:id="rId7" w:type="even"/>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pPr>
        <w:pStyle w:val="27"/>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pPr>
        <w:pStyle w:val="27"/>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pPr>
        <w:pStyle w:val="27"/>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pPr>
        <w:pStyle w:val="27"/>
        <w:shd w:val="clear" w:color="auto" w:fill="FFFFFF"/>
        <w:spacing w:before="0" w:beforeAutospacing="0" w:after="0" w:afterAutospacing="0" w:line="360" w:lineRule="auto"/>
        <w:ind w:firstLine="480" w:firstLineChars="200"/>
        <w:rPr>
          <w:rFonts w:ascii="仿宋" w:hAnsi="仿宋" w:eastAsia="仿宋" w:cs="Times New Roman"/>
          <w:color w:val="auto"/>
          <w:kern w:val="2"/>
        </w:rPr>
      </w:pPr>
      <w:r>
        <w:rPr>
          <w:rFonts w:hint="eastAsia" w:ascii="仿宋" w:hAnsi="仿宋" w:eastAsia="仿宋" w:cs="Times New Roman"/>
          <w:color w:val="auto"/>
          <w:kern w:val="2"/>
        </w:rPr>
        <w:t>4、报价不得超过采购预算价格，否则为无效投标。</w:t>
      </w:r>
    </w:p>
    <w:p>
      <w:pPr>
        <w:pStyle w:val="11"/>
        <w:adjustRightInd w:val="0"/>
        <w:snapToGrid w:val="0"/>
        <w:spacing w:line="360" w:lineRule="auto"/>
        <w:rPr>
          <w:rFonts w:ascii="仿宋_GB2312" w:hAnsi="宋体" w:eastAsia="仿宋_GB2312"/>
          <w:b/>
        </w:rPr>
      </w:pPr>
    </w:p>
    <w:p>
      <w:pPr>
        <w:pStyle w:val="11"/>
        <w:adjustRightInd w:val="0"/>
        <w:snapToGrid w:val="0"/>
        <w:spacing w:line="360" w:lineRule="auto"/>
        <w:rPr>
          <w:rFonts w:ascii="仿宋_GB2312" w:hAnsi="宋体" w:eastAsia="仿宋_GB2312"/>
          <w:b/>
        </w:rPr>
      </w:pPr>
    </w:p>
    <w:p>
      <w:pPr>
        <w:pStyle w:val="11"/>
        <w:adjustRightInd w:val="0"/>
        <w:snapToGrid w:val="0"/>
        <w:spacing w:line="360" w:lineRule="auto"/>
        <w:rPr>
          <w:rFonts w:ascii="仿宋_GB2312" w:hAnsi="宋体" w:eastAsia="仿宋_GB2312"/>
          <w:b/>
        </w:rPr>
      </w:pPr>
    </w:p>
    <w:p>
      <w:pPr>
        <w:pStyle w:val="11"/>
        <w:adjustRightInd w:val="0"/>
        <w:snapToGrid w:val="0"/>
        <w:spacing w:line="360" w:lineRule="auto"/>
        <w:rPr>
          <w:rFonts w:ascii="仿宋_GB2312" w:hAnsi="宋体" w:eastAsia="仿宋_GB2312"/>
          <w:b/>
        </w:rPr>
      </w:pPr>
    </w:p>
    <w:p>
      <w:pPr>
        <w:pStyle w:val="11"/>
        <w:adjustRightInd w:val="0"/>
        <w:snapToGrid w:val="0"/>
        <w:spacing w:line="360" w:lineRule="auto"/>
        <w:rPr>
          <w:rFonts w:ascii="仿宋" w:hAnsi="仿宋" w:eastAsia="仿宋"/>
          <w:b/>
          <w:sz w:val="24"/>
          <w:szCs w:val="24"/>
        </w:rPr>
        <w:sectPr>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pStyle w:val="11"/>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pPr>
        <w:adjustRightInd w:val="0"/>
        <w:snapToGrid w:val="0"/>
        <w:spacing w:line="360" w:lineRule="auto"/>
        <w:rPr>
          <w:rFonts w:ascii="仿宋_GB2312" w:hAnsi="宋体" w:eastAsia="仿宋_GB2312"/>
          <w:sz w:val="24"/>
          <w:szCs w:val="24"/>
        </w:rPr>
      </w:pPr>
    </w:p>
    <w:p>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pPr>
        <w:pStyle w:val="11"/>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pPr>
        <w:adjustRightInd w:val="0"/>
        <w:snapToGrid w:val="0"/>
        <w:spacing w:line="360" w:lineRule="auto"/>
        <w:ind w:right="24"/>
        <w:rPr>
          <w:rFonts w:ascii="仿宋" w:hAnsi="仿宋" w:eastAsia="仿宋"/>
          <w:bCs/>
          <w:sz w:val="24"/>
          <w:szCs w:val="24"/>
        </w:rPr>
      </w:pPr>
    </w:p>
    <w:p>
      <w:pPr>
        <w:adjustRightInd w:val="0"/>
        <w:snapToGrid w:val="0"/>
        <w:spacing w:line="360" w:lineRule="auto"/>
        <w:ind w:right="24"/>
        <w:rPr>
          <w:rFonts w:ascii="仿宋" w:hAnsi="仿宋" w:eastAsia="仿宋"/>
          <w:bCs/>
          <w:sz w:val="24"/>
          <w:szCs w:val="24"/>
        </w:rPr>
      </w:pPr>
    </w:p>
    <w:p>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pPr>
        <w:pStyle w:val="11"/>
        <w:adjustRightInd w:val="0"/>
        <w:snapToGrid w:val="0"/>
        <w:spacing w:line="360" w:lineRule="auto"/>
        <w:rPr>
          <w:rFonts w:ascii="仿宋" w:hAnsi="仿宋" w:eastAsia="仿宋"/>
          <w:sz w:val="24"/>
          <w:szCs w:val="24"/>
        </w:rPr>
      </w:pPr>
    </w:p>
    <w:p>
      <w:pPr>
        <w:pStyle w:val="11"/>
        <w:adjustRightInd w:val="0"/>
        <w:snapToGrid w:val="0"/>
        <w:spacing w:line="360" w:lineRule="auto"/>
        <w:rPr>
          <w:rFonts w:ascii="仿宋" w:hAnsi="仿宋" w:eastAsia="仿宋"/>
          <w:sz w:val="24"/>
          <w:szCs w:val="24"/>
        </w:rPr>
      </w:pPr>
    </w:p>
    <w:p>
      <w:pPr>
        <w:pStyle w:val="11"/>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adjustRightInd w:val="0"/>
        <w:snapToGrid w:val="0"/>
        <w:spacing w:line="360" w:lineRule="auto"/>
        <w:ind w:right="24"/>
        <w:rPr>
          <w:rFonts w:ascii="仿宋" w:hAnsi="仿宋" w:eastAsia="仿宋"/>
          <w:bCs/>
          <w:sz w:val="24"/>
        </w:rPr>
      </w:pPr>
    </w:p>
    <w:p>
      <w:pPr>
        <w:adjustRightInd w:val="0"/>
        <w:snapToGrid w:val="0"/>
        <w:spacing w:line="360" w:lineRule="auto"/>
        <w:ind w:right="24"/>
        <w:rPr>
          <w:rFonts w:ascii="仿宋_GB2312" w:hAnsi="华文中宋" w:eastAsia="仿宋_GB2312"/>
          <w:bCs/>
          <w:sz w:val="24"/>
        </w:rPr>
      </w:pPr>
    </w:p>
    <w:p>
      <w:pPr>
        <w:adjustRightInd w:val="0"/>
        <w:snapToGrid w:val="0"/>
        <w:spacing w:line="360" w:lineRule="auto"/>
        <w:ind w:right="24"/>
        <w:rPr>
          <w:rFonts w:ascii="仿宋_GB2312" w:hAnsi="华文中宋" w:eastAsia="仿宋_GB2312"/>
          <w:bCs/>
          <w:sz w:val="24"/>
        </w:rPr>
      </w:pPr>
    </w:p>
    <w:p>
      <w:pPr>
        <w:adjustRightInd w:val="0"/>
        <w:snapToGrid w:val="0"/>
        <w:spacing w:line="360" w:lineRule="auto"/>
        <w:ind w:right="24"/>
        <w:rPr>
          <w:szCs w:val="21"/>
        </w:rPr>
      </w:pPr>
    </w:p>
    <w:p>
      <w:pPr>
        <w:adjustRightInd w:val="0"/>
        <w:snapToGrid w:val="0"/>
        <w:spacing w:line="360" w:lineRule="auto"/>
        <w:ind w:right="24"/>
        <w:rPr>
          <w:rFonts w:ascii="仿宋" w:hAnsi="仿宋" w:eastAsia="仿宋"/>
          <w:bCs/>
          <w:sz w:val="24"/>
          <w:szCs w:val="24"/>
        </w:rPr>
        <w:sectPr>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法定代表人身份证明(法定代表人参加询比)</w:t>
      </w:r>
    </w:p>
    <w:p>
      <w:pPr>
        <w:snapToGrid w:val="0"/>
        <w:spacing w:line="480" w:lineRule="auto"/>
        <w:rPr>
          <w:rFonts w:ascii="仿宋" w:hAnsi="仿宋" w:eastAsia="仿宋"/>
          <w:sz w:val="24"/>
          <w:szCs w:val="24"/>
        </w:rPr>
      </w:pPr>
    </w:p>
    <w:p>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pPr>
        <w:snapToGrid w:val="0"/>
        <w:spacing w:line="480" w:lineRule="auto"/>
        <w:rPr>
          <w:rFonts w:ascii="仿宋" w:hAnsi="仿宋" w:eastAsia="仿宋"/>
          <w:sz w:val="24"/>
          <w:szCs w:val="24"/>
        </w:rPr>
      </w:pPr>
    </w:p>
    <w:p>
      <w:pPr>
        <w:snapToGrid w:val="0"/>
        <w:rPr>
          <w:rFonts w:ascii="仿宋" w:hAnsi="仿宋" w:eastAsia="仿宋"/>
          <w:sz w:val="24"/>
          <w:szCs w:val="24"/>
        </w:rPr>
      </w:pPr>
    </w:p>
    <w:p>
      <w:pPr>
        <w:snapToGrid w:val="0"/>
        <w:rPr>
          <w:rFonts w:ascii="仿宋" w:hAnsi="仿宋" w:eastAsia="仿宋"/>
          <w:sz w:val="24"/>
          <w:szCs w:val="24"/>
        </w:rPr>
      </w:pPr>
    </w:p>
    <w:p>
      <w:pPr>
        <w:snapToGrid w:val="0"/>
        <w:rPr>
          <w:rFonts w:ascii="仿宋" w:hAnsi="仿宋" w:eastAsia="仿宋"/>
          <w:sz w:val="24"/>
          <w:szCs w:val="24"/>
        </w:rPr>
      </w:pPr>
    </w:p>
    <w:p>
      <w:pPr>
        <w:snapToGrid w:val="0"/>
        <w:rPr>
          <w:rFonts w:ascii="仿宋" w:hAnsi="仿宋" w:eastAsia="仿宋"/>
          <w:sz w:val="24"/>
          <w:szCs w:val="24"/>
        </w:rPr>
      </w:pPr>
    </w:p>
    <w:p>
      <w:pPr>
        <w:adjustRightInd w:val="0"/>
        <w:snapToGrid w:val="0"/>
        <w:spacing w:line="360" w:lineRule="auto"/>
        <w:rPr>
          <w:rFonts w:ascii="仿宋" w:hAnsi="仿宋" w:eastAsia="仿宋"/>
          <w:sz w:val="24"/>
          <w:szCs w:val="24"/>
        </w:rPr>
      </w:pPr>
    </w:p>
    <w:p>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pPr>
        <w:adjustRightInd w:val="0"/>
        <w:snapToGrid w:val="0"/>
        <w:spacing w:before="156" w:beforeLines="50" w:line="360" w:lineRule="auto"/>
        <w:rPr>
          <w:rFonts w:ascii="仿宋_GB2312" w:hAnsi="宋体" w:eastAsia="仿宋_GB2312"/>
          <w:sz w:val="24"/>
          <w:szCs w:val="24"/>
        </w:rPr>
      </w:pPr>
    </w:p>
    <w:p>
      <w:pPr>
        <w:adjustRightInd w:val="0"/>
        <w:snapToGrid w:val="0"/>
        <w:spacing w:before="156" w:beforeLines="50" w:line="360" w:lineRule="auto"/>
        <w:rPr>
          <w:rFonts w:ascii="仿宋_GB2312" w:hAnsi="宋体" w:eastAsia="仿宋_GB2312"/>
          <w:sz w:val="24"/>
          <w:szCs w:val="24"/>
        </w:rPr>
      </w:pPr>
    </w:p>
    <w:p>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w:t>
      </w:r>
    </w:p>
    <w:p>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法定代表人授权书(委托代理人参加询比)</w:t>
      </w:r>
    </w:p>
    <w:p>
      <w:pPr>
        <w:adjustRightInd w:val="0"/>
        <w:snapToGrid w:val="0"/>
        <w:spacing w:line="360" w:lineRule="auto"/>
        <w:jc w:val="center"/>
        <w:rPr>
          <w:rFonts w:ascii="仿宋" w:hAnsi="仿宋" w:eastAsia="仿宋"/>
          <w:b/>
          <w:sz w:val="24"/>
          <w:szCs w:val="24"/>
        </w:rPr>
      </w:pPr>
    </w:p>
    <w:p>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spacing w:line="360" w:lineRule="exact"/>
        <w:rPr>
          <w:rFonts w:ascii="仿宋_GB2312" w:eastAsia="仿宋_GB2312"/>
          <w:b/>
          <w:sz w:val="24"/>
          <w:szCs w:val="24"/>
        </w:rPr>
      </w:pPr>
    </w:p>
    <w:p>
      <w:pPr>
        <w:spacing w:line="360" w:lineRule="exact"/>
        <w:rPr>
          <w:rFonts w:ascii="仿宋_GB2312" w:eastAsia="仿宋_GB2312"/>
          <w:b/>
          <w:sz w:val="24"/>
          <w:szCs w:val="24"/>
        </w:rPr>
      </w:pPr>
    </w:p>
    <w:p>
      <w:pPr>
        <w:pStyle w:val="15"/>
      </w:pPr>
    </w:p>
    <w:p/>
    <w:p/>
    <w:p>
      <w:pPr>
        <w:pStyle w:val="15"/>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pPr>
        <w:jc w:val="center"/>
        <w:rPr>
          <w:rFonts w:ascii="仿宋" w:hAnsi="仿宋" w:eastAsia="仿宋"/>
          <w:b/>
          <w:sz w:val="32"/>
          <w:szCs w:val="32"/>
        </w:rPr>
      </w:pPr>
      <w:r>
        <w:rPr>
          <w:rFonts w:ascii="仿宋" w:hAnsi="仿宋" w:eastAsia="仿宋"/>
          <w:b/>
          <w:sz w:val="32"/>
          <w:szCs w:val="32"/>
        </w:rPr>
        <w:t>报价函</w:t>
      </w:r>
    </w:p>
    <w:p>
      <w:pPr>
        <w:rPr>
          <w:rFonts w:ascii="仿宋" w:hAnsi="仿宋" w:eastAsia="仿宋"/>
          <w:sz w:val="24"/>
          <w:szCs w:val="24"/>
        </w:rPr>
      </w:pPr>
      <w:r>
        <w:rPr>
          <w:rFonts w:hint="eastAsia" w:ascii="仿宋" w:hAnsi="仿宋" w:eastAsia="仿宋"/>
          <w:sz w:val="24"/>
          <w:szCs w:val="24"/>
        </w:rPr>
        <w:t xml:space="preserve">                               </w:t>
      </w:r>
    </w:p>
    <w:p>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湖南铁道职业技术学院：</w:t>
      </w:r>
    </w:p>
    <w:p>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pPr>
        <w:pStyle w:val="15"/>
        <w:rPr>
          <w:rFonts w:ascii="仿宋" w:hAnsi="仿宋" w:eastAsia="仿宋"/>
        </w:rPr>
      </w:pPr>
    </w:p>
    <w:p>
      <w:pPr>
        <w:pStyle w:val="15"/>
        <w:ind w:left="0" w:leftChars="0" w:firstLine="0"/>
        <w:rPr>
          <w:rFonts w:ascii="仿宋" w:hAnsi="仿宋" w:eastAsia="仿宋"/>
        </w:rPr>
      </w:pPr>
    </w:p>
    <w:p>
      <w:pPr>
        <w:spacing w:line="360" w:lineRule="auto"/>
        <w:ind w:firstLine="640"/>
        <w:jc w:val="left"/>
        <w:rPr>
          <w:rFonts w:ascii="仿宋" w:hAnsi="仿宋" w:eastAsia="仿宋"/>
          <w:sz w:val="24"/>
          <w:szCs w:val="24"/>
        </w:rPr>
      </w:pPr>
    </w:p>
    <w:p>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pPr>
        <w:rPr>
          <w:rFonts w:ascii="仿宋" w:hAnsi="仿宋" w:eastAsia="仿宋"/>
          <w:sz w:val="24"/>
          <w:szCs w:val="24"/>
        </w:rPr>
      </w:pPr>
    </w:p>
    <w:p>
      <w:pPr>
        <w:rPr>
          <w:rFonts w:hint="eastAsia" w:ascii="仿宋" w:hAnsi="仿宋" w:eastAsia="仿宋"/>
          <w:sz w:val="24"/>
          <w:szCs w:val="24"/>
          <w:lang w:val="en-US" w:eastAsia="zh-CN"/>
        </w:rPr>
      </w:pPr>
    </w:p>
    <w:sectPr>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华文中宋">
    <w:altName w:val="宋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0000000000000000000"/>
    <w:charset w:val="86"/>
    <w:family w:val="auto"/>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4"/>
      <w:jc w:val="center"/>
    </w:pPr>
    <w:r>
      <w:fldChar w:fldCharType="begin"/>
    </w:r>
    <w:r>
      <w:instrText xml:space="preserve">PAGE   \* MERGEFORMAT</w:instrText>
    </w:r>
    <w:r>
      <w:fldChar w:fldCharType="separate"/>
    </w:r>
    <w:r>
      <w:rPr>
        <w:lang w:val="zh-CN"/>
      </w:rPr>
      <w:t>2</w:t>
    </w:r>
    <w:r>
      <w:fldChar w:fldCharType="end"/>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4"/>
      <w:framePr w:wrap="around" w:vAnchor="text" w:hAnchor="margin" w:xAlign="center" w:y="1"/>
      <w:rPr>
        <w:rStyle w:val="21"/>
      </w:rPr>
    </w:pPr>
    <w:r>
      <w:fldChar w:fldCharType="begin"/>
    </w:r>
    <w:r>
      <w:rPr>
        <w:rStyle w:val="21"/>
      </w:rPr>
      <w:instrText xml:space="preserve">PAGE  </w:instrText>
    </w:r>
    <w:r>
      <w:fldChar w:fldCharType="end"/>
    </w:r>
  </w:p>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6"/>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852377581">
    <w:nsid w:val="6E6909ED"/>
    <w:multiLevelType w:val="singleLevel"/>
    <w:tmpl w:val="6E6909ED"/>
    <w:lvl w:ilvl="0" w:tentative="1">
      <w:start w:val="7"/>
      <w:numFmt w:val="chineseCounting"/>
      <w:suff w:val="nothing"/>
      <w:lvlText w:val="%1、"/>
      <w:lvlJc w:val="left"/>
      <w:rPr>
        <w:rFonts w:hint="eastAsia"/>
      </w:rPr>
    </w:lvl>
  </w:abstractNum>
  <w:abstractNum w:abstractNumId="3218128980">
    <w:nsid w:val="BFD0C054"/>
    <w:multiLevelType w:val="singleLevel"/>
    <w:tmpl w:val="BFD0C054"/>
    <w:lvl w:ilvl="0" w:tentative="1">
      <w:start w:val="3"/>
      <w:numFmt w:val="chineseCounting"/>
      <w:suff w:val="nothing"/>
      <w:lvlText w:val="%1、"/>
      <w:lvlJc w:val="left"/>
      <w:rPr>
        <w:rFonts w:hint="eastAsia"/>
      </w:rPr>
    </w:lvl>
  </w:abstractNum>
  <w:num w:numId="1">
    <w:abstractNumId w:val="3218128980"/>
  </w:num>
  <w:num w:numId="2">
    <w:abstractNumId w:val="1852377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A92BEF"/>
    <w:rsid w:val="00010F62"/>
    <w:rsid w:val="00027C15"/>
    <w:rsid w:val="0003124B"/>
    <w:rsid w:val="000327D6"/>
    <w:rsid w:val="00035CE3"/>
    <w:rsid w:val="000406C4"/>
    <w:rsid w:val="0005354A"/>
    <w:rsid w:val="0005370F"/>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47701"/>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81BF0"/>
    <w:rsid w:val="003906B4"/>
    <w:rsid w:val="003A53A1"/>
    <w:rsid w:val="003A55E6"/>
    <w:rsid w:val="003A750D"/>
    <w:rsid w:val="003B40C1"/>
    <w:rsid w:val="003B6199"/>
    <w:rsid w:val="003C233C"/>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827"/>
    <w:rsid w:val="00585E27"/>
    <w:rsid w:val="0059459F"/>
    <w:rsid w:val="005A062C"/>
    <w:rsid w:val="005B2278"/>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B3962"/>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92299"/>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5419"/>
    <w:rsid w:val="00A37C1E"/>
    <w:rsid w:val="00A37EF9"/>
    <w:rsid w:val="00A456C6"/>
    <w:rsid w:val="00A46021"/>
    <w:rsid w:val="00A52380"/>
    <w:rsid w:val="00A641FB"/>
    <w:rsid w:val="00A67616"/>
    <w:rsid w:val="00A77FC1"/>
    <w:rsid w:val="00A839BA"/>
    <w:rsid w:val="00A84A35"/>
    <w:rsid w:val="00A914CA"/>
    <w:rsid w:val="00A92BEF"/>
    <w:rsid w:val="00A978E5"/>
    <w:rsid w:val="00AC07FC"/>
    <w:rsid w:val="00AE7076"/>
    <w:rsid w:val="00AF5819"/>
    <w:rsid w:val="00B17C1E"/>
    <w:rsid w:val="00B3136E"/>
    <w:rsid w:val="00B464FC"/>
    <w:rsid w:val="00B46954"/>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0252"/>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3348F"/>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817"/>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E10A5"/>
    <w:rsid w:val="00EF50F4"/>
    <w:rsid w:val="00EF52ED"/>
    <w:rsid w:val="00F07FB6"/>
    <w:rsid w:val="00F129A6"/>
    <w:rsid w:val="00F133F3"/>
    <w:rsid w:val="00F15528"/>
    <w:rsid w:val="00F26174"/>
    <w:rsid w:val="00F26EA9"/>
    <w:rsid w:val="00F55AA7"/>
    <w:rsid w:val="00F60A40"/>
    <w:rsid w:val="00F673D3"/>
    <w:rsid w:val="00F71B67"/>
    <w:rsid w:val="00F72BBE"/>
    <w:rsid w:val="00F75F46"/>
    <w:rsid w:val="00F86AB7"/>
    <w:rsid w:val="00FA4BEB"/>
    <w:rsid w:val="00FC011A"/>
    <w:rsid w:val="00FC4EB7"/>
    <w:rsid w:val="00FD19D9"/>
    <w:rsid w:val="00FE0327"/>
    <w:rsid w:val="00FE4AAE"/>
    <w:rsid w:val="00FE55F5"/>
    <w:rsid w:val="00FF6106"/>
    <w:rsid w:val="015B6B52"/>
    <w:rsid w:val="016A347B"/>
    <w:rsid w:val="017442FA"/>
    <w:rsid w:val="01964270"/>
    <w:rsid w:val="0215299B"/>
    <w:rsid w:val="035148F2"/>
    <w:rsid w:val="039E1BC9"/>
    <w:rsid w:val="03CF1907"/>
    <w:rsid w:val="044E0E32"/>
    <w:rsid w:val="049F7912"/>
    <w:rsid w:val="05341562"/>
    <w:rsid w:val="05757A7F"/>
    <w:rsid w:val="05997E8B"/>
    <w:rsid w:val="05AC2E48"/>
    <w:rsid w:val="05F60B74"/>
    <w:rsid w:val="066D3445"/>
    <w:rsid w:val="06FB475B"/>
    <w:rsid w:val="08964B56"/>
    <w:rsid w:val="08C2594B"/>
    <w:rsid w:val="08C83CB5"/>
    <w:rsid w:val="097D7547"/>
    <w:rsid w:val="09902C2B"/>
    <w:rsid w:val="0A236C51"/>
    <w:rsid w:val="0A275576"/>
    <w:rsid w:val="0A7C5A8B"/>
    <w:rsid w:val="0A9926DB"/>
    <w:rsid w:val="0AB80AE2"/>
    <w:rsid w:val="0B3837F1"/>
    <w:rsid w:val="0B6E3B68"/>
    <w:rsid w:val="0C2306BE"/>
    <w:rsid w:val="0C3721EC"/>
    <w:rsid w:val="0CEC11E8"/>
    <w:rsid w:val="0CFD51A3"/>
    <w:rsid w:val="0D7A240F"/>
    <w:rsid w:val="0D973665"/>
    <w:rsid w:val="0DBF4B4E"/>
    <w:rsid w:val="0DCE08EE"/>
    <w:rsid w:val="0FB06655"/>
    <w:rsid w:val="0FFF5DDF"/>
    <w:rsid w:val="101C3B92"/>
    <w:rsid w:val="10912321"/>
    <w:rsid w:val="10C81F6C"/>
    <w:rsid w:val="113F417A"/>
    <w:rsid w:val="11BE5B42"/>
    <w:rsid w:val="11BF397F"/>
    <w:rsid w:val="1288550F"/>
    <w:rsid w:val="137F4B64"/>
    <w:rsid w:val="1398601C"/>
    <w:rsid w:val="13A26E3E"/>
    <w:rsid w:val="13AE369B"/>
    <w:rsid w:val="13C63FD0"/>
    <w:rsid w:val="144F1BCA"/>
    <w:rsid w:val="148F300C"/>
    <w:rsid w:val="14EC13B4"/>
    <w:rsid w:val="14FD6A90"/>
    <w:rsid w:val="15455939"/>
    <w:rsid w:val="156F4385"/>
    <w:rsid w:val="159D11E4"/>
    <w:rsid w:val="15B12877"/>
    <w:rsid w:val="15C94DE8"/>
    <w:rsid w:val="15D95635"/>
    <w:rsid w:val="15F66C34"/>
    <w:rsid w:val="16816FD1"/>
    <w:rsid w:val="16AE750E"/>
    <w:rsid w:val="16D36F75"/>
    <w:rsid w:val="16F54D62"/>
    <w:rsid w:val="16FC64CC"/>
    <w:rsid w:val="172E31C9"/>
    <w:rsid w:val="173F405B"/>
    <w:rsid w:val="173F78FB"/>
    <w:rsid w:val="17C3509D"/>
    <w:rsid w:val="17CD04A0"/>
    <w:rsid w:val="18215B80"/>
    <w:rsid w:val="18226012"/>
    <w:rsid w:val="18B0196A"/>
    <w:rsid w:val="19A5109C"/>
    <w:rsid w:val="19E54DD6"/>
    <w:rsid w:val="1A07140F"/>
    <w:rsid w:val="1A5D49D0"/>
    <w:rsid w:val="1A7D2861"/>
    <w:rsid w:val="1B451A26"/>
    <w:rsid w:val="1B7B0234"/>
    <w:rsid w:val="1BB90E2F"/>
    <w:rsid w:val="1C8F365C"/>
    <w:rsid w:val="1D444728"/>
    <w:rsid w:val="1E4F7829"/>
    <w:rsid w:val="1EA23DFC"/>
    <w:rsid w:val="1F654BA2"/>
    <w:rsid w:val="1F9951FF"/>
    <w:rsid w:val="201D3E7D"/>
    <w:rsid w:val="202D76F6"/>
    <w:rsid w:val="20746BB2"/>
    <w:rsid w:val="21590E85"/>
    <w:rsid w:val="21A344FF"/>
    <w:rsid w:val="21E64000"/>
    <w:rsid w:val="220A3984"/>
    <w:rsid w:val="222F70F0"/>
    <w:rsid w:val="22854647"/>
    <w:rsid w:val="22BA1900"/>
    <w:rsid w:val="22CE3412"/>
    <w:rsid w:val="22DD18A7"/>
    <w:rsid w:val="22E45C6F"/>
    <w:rsid w:val="22FB1D2D"/>
    <w:rsid w:val="2396003A"/>
    <w:rsid w:val="23C70504"/>
    <w:rsid w:val="23E9602A"/>
    <w:rsid w:val="242B03F0"/>
    <w:rsid w:val="24F13006"/>
    <w:rsid w:val="251175E6"/>
    <w:rsid w:val="26E533CB"/>
    <w:rsid w:val="27235D59"/>
    <w:rsid w:val="27403FD7"/>
    <w:rsid w:val="274168BF"/>
    <w:rsid w:val="27767BD4"/>
    <w:rsid w:val="28245882"/>
    <w:rsid w:val="295D104C"/>
    <w:rsid w:val="29712D49"/>
    <w:rsid w:val="29A806F8"/>
    <w:rsid w:val="29B665AC"/>
    <w:rsid w:val="29D15596"/>
    <w:rsid w:val="2A3873C3"/>
    <w:rsid w:val="2A6754CA"/>
    <w:rsid w:val="2A7725E1"/>
    <w:rsid w:val="2B473D61"/>
    <w:rsid w:val="2CB01DDA"/>
    <w:rsid w:val="2CD05F77"/>
    <w:rsid w:val="2D3617F0"/>
    <w:rsid w:val="2D460049"/>
    <w:rsid w:val="2E884DBD"/>
    <w:rsid w:val="2EAA1BA9"/>
    <w:rsid w:val="301306B6"/>
    <w:rsid w:val="30C4153F"/>
    <w:rsid w:val="31523460"/>
    <w:rsid w:val="3163566D"/>
    <w:rsid w:val="31962059"/>
    <w:rsid w:val="31D8203D"/>
    <w:rsid w:val="31FA2FC3"/>
    <w:rsid w:val="32137E54"/>
    <w:rsid w:val="3248523C"/>
    <w:rsid w:val="329655CE"/>
    <w:rsid w:val="32C65BB0"/>
    <w:rsid w:val="32E44B82"/>
    <w:rsid w:val="330F7979"/>
    <w:rsid w:val="3355548A"/>
    <w:rsid w:val="34777F6D"/>
    <w:rsid w:val="34DA79F4"/>
    <w:rsid w:val="35064C8D"/>
    <w:rsid w:val="3520062C"/>
    <w:rsid w:val="353327D7"/>
    <w:rsid w:val="35A3072E"/>
    <w:rsid w:val="35BA60CE"/>
    <w:rsid w:val="37182D17"/>
    <w:rsid w:val="379320DC"/>
    <w:rsid w:val="37D22C05"/>
    <w:rsid w:val="37F146D7"/>
    <w:rsid w:val="38467F0B"/>
    <w:rsid w:val="38A93B0F"/>
    <w:rsid w:val="38B2436A"/>
    <w:rsid w:val="38CA49CD"/>
    <w:rsid w:val="38D86941"/>
    <w:rsid w:val="38E43CCB"/>
    <w:rsid w:val="38E946AA"/>
    <w:rsid w:val="3932140D"/>
    <w:rsid w:val="39D54C2E"/>
    <w:rsid w:val="3A731769"/>
    <w:rsid w:val="3AC053A4"/>
    <w:rsid w:val="3B04588E"/>
    <w:rsid w:val="3B3140E6"/>
    <w:rsid w:val="3B8763FC"/>
    <w:rsid w:val="3C0E61D6"/>
    <w:rsid w:val="3D912B45"/>
    <w:rsid w:val="3DC92B7D"/>
    <w:rsid w:val="3E135601"/>
    <w:rsid w:val="3E7013C9"/>
    <w:rsid w:val="3F2D1069"/>
    <w:rsid w:val="3F3D59ED"/>
    <w:rsid w:val="401A5433"/>
    <w:rsid w:val="404D79B1"/>
    <w:rsid w:val="406F4599"/>
    <w:rsid w:val="40CF23D7"/>
    <w:rsid w:val="40E045E4"/>
    <w:rsid w:val="411058C0"/>
    <w:rsid w:val="413277CA"/>
    <w:rsid w:val="41A31919"/>
    <w:rsid w:val="41C06FA3"/>
    <w:rsid w:val="41C23074"/>
    <w:rsid w:val="42507548"/>
    <w:rsid w:val="42C972FA"/>
    <w:rsid w:val="4416031D"/>
    <w:rsid w:val="457F75CA"/>
    <w:rsid w:val="46AE2A8F"/>
    <w:rsid w:val="46EE61C9"/>
    <w:rsid w:val="471A6376"/>
    <w:rsid w:val="48125136"/>
    <w:rsid w:val="489D4440"/>
    <w:rsid w:val="48C13C65"/>
    <w:rsid w:val="495E1E55"/>
    <w:rsid w:val="4A171FDF"/>
    <w:rsid w:val="4A6C57DD"/>
    <w:rsid w:val="4A842484"/>
    <w:rsid w:val="4ACE4B79"/>
    <w:rsid w:val="4ADA413D"/>
    <w:rsid w:val="4BD71EEF"/>
    <w:rsid w:val="4C3160C2"/>
    <w:rsid w:val="4C811ECE"/>
    <w:rsid w:val="4C8E75EA"/>
    <w:rsid w:val="4CD64AED"/>
    <w:rsid w:val="4CF0277A"/>
    <w:rsid w:val="4DEA6AA2"/>
    <w:rsid w:val="4DF74D1B"/>
    <w:rsid w:val="505E5526"/>
    <w:rsid w:val="50C025FA"/>
    <w:rsid w:val="514227A4"/>
    <w:rsid w:val="51CA3B38"/>
    <w:rsid w:val="52397FF8"/>
    <w:rsid w:val="52EA7BC9"/>
    <w:rsid w:val="53425821"/>
    <w:rsid w:val="53C76390"/>
    <w:rsid w:val="543D7D43"/>
    <w:rsid w:val="54413194"/>
    <w:rsid w:val="5507618C"/>
    <w:rsid w:val="554E608A"/>
    <w:rsid w:val="55564523"/>
    <w:rsid w:val="56031FB4"/>
    <w:rsid w:val="56D36709"/>
    <w:rsid w:val="56EB5013"/>
    <w:rsid w:val="579B08DA"/>
    <w:rsid w:val="57A557E8"/>
    <w:rsid w:val="57DD4F82"/>
    <w:rsid w:val="57E37FE4"/>
    <w:rsid w:val="580E15DF"/>
    <w:rsid w:val="590A135C"/>
    <w:rsid w:val="59337A15"/>
    <w:rsid w:val="59675FAB"/>
    <w:rsid w:val="59B10F00"/>
    <w:rsid w:val="5A865DA5"/>
    <w:rsid w:val="5B3B1FAA"/>
    <w:rsid w:val="5BA54234"/>
    <w:rsid w:val="5BBE40B7"/>
    <w:rsid w:val="5BEE021E"/>
    <w:rsid w:val="5BF22FC6"/>
    <w:rsid w:val="5C4F4F2B"/>
    <w:rsid w:val="5C567DFB"/>
    <w:rsid w:val="5CF8252C"/>
    <w:rsid w:val="5D0631CD"/>
    <w:rsid w:val="5D215911"/>
    <w:rsid w:val="5D4D2BAA"/>
    <w:rsid w:val="5DBF70F0"/>
    <w:rsid w:val="5DF23B2E"/>
    <w:rsid w:val="5E7C394C"/>
    <w:rsid w:val="5EDE3FEA"/>
    <w:rsid w:val="5F1D035A"/>
    <w:rsid w:val="5F4578E7"/>
    <w:rsid w:val="5F4E26F5"/>
    <w:rsid w:val="5FE32F01"/>
    <w:rsid w:val="5FF14FCA"/>
    <w:rsid w:val="60511ABB"/>
    <w:rsid w:val="611336F9"/>
    <w:rsid w:val="616A6C0C"/>
    <w:rsid w:val="62173015"/>
    <w:rsid w:val="6228716A"/>
    <w:rsid w:val="62652744"/>
    <w:rsid w:val="635D7A54"/>
    <w:rsid w:val="6371012B"/>
    <w:rsid w:val="63A20CFF"/>
    <w:rsid w:val="63D50645"/>
    <w:rsid w:val="63F83144"/>
    <w:rsid w:val="64834438"/>
    <w:rsid w:val="6557657C"/>
    <w:rsid w:val="6664360E"/>
    <w:rsid w:val="66DC6D4D"/>
    <w:rsid w:val="66ED741F"/>
    <w:rsid w:val="67CF57C1"/>
    <w:rsid w:val="68B735CD"/>
    <w:rsid w:val="69103BD6"/>
    <w:rsid w:val="6A400653"/>
    <w:rsid w:val="6A7F45BF"/>
    <w:rsid w:val="6B5A68F5"/>
    <w:rsid w:val="6B8E00BA"/>
    <w:rsid w:val="6BBF5D79"/>
    <w:rsid w:val="6BC9041D"/>
    <w:rsid w:val="6C057242"/>
    <w:rsid w:val="6C5970B1"/>
    <w:rsid w:val="6DAB7F02"/>
    <w:rsid w:val="6DF532BE"/>
    <w:rsid w:val="6F845305"/>
    <w:rsid w:val="70666005"/>
    <w:rsid w:val="706C3052"/>
    <w:rsid w:val="709F271D"/>
    <w:rsid w:val="719E17CE"/>
    <w:rsid w:val="71CD20B4"/>
    <w:rsid w:val="71F3507D"/>
    <w:rsid w:val="720C1E11"/>
    <w:rsid w:val="724D766B"/>
    <w:rsid w:val="72567DE8"/>
    <w:rsid w:val="72A605B2"/>
    <w:rsid w:val="72B12C11"/>
    <w:rsid w:val="72B33057"/>
    <w:rsid w:val="72C16AF2"/>
    <w:rsid w:val="72FA6ED8"/>
    <w:rsid w:val="733E778D"/>
    <w:rsid w:val="73A76E7D"/>
    <w:rsid w:val="741B2C62"/>
    <w:rsid w:val="74A23383"/>
    <w:rsid w:val="751E1916"/>
    <w:rsid w:val="75730384"/>
    <w:rsid w:val="76404C02"/>
    <w:rsid w:val="77CF673A"/>
    <w:rsid w:val="78401AE9"/>
    <w:rsid w:val="78A56F1A"/>
    <w:rsid w:val="792E6379"/>
    <w:rsid w:val="79332CB1"/>
    <w:rsid w:val="7ABB07C9"/>
    <w:rsid w:val="7B4E5EDA"/>
    <w:rsid w:val="7BEB3862"/>
    <w:rsid w:val="7C597C24"/>
    <w:rsid w:val="7C7B7C1A"/>
    <w:rsid w:val="7C945CA8"/>
    <w:rsid w:val="7CAB4CAE"/>
    <w:rsid w:val="7D210FAE"/>
    <w:rsid w:val="7D475B2D"/>
    <w:rsid w:val="7D9E2DD0"/>
    <w:rsid w:val="7DE95B7F"/>
    <w:rsid w:val="7DF64DA9"/>
    <w:rsid w:val="7E151C77"/>
    <w:rsid w:val="7ED60629"/>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9"/>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42"/>
    <w:unhideWhenUsed/>
    <w:qFormat/>
    <w:uiPriority w:val="9"/>
    <w:pPr>
      <w:keepNext/>
      <w:keepLines/>
      <w:spacing w:before="260" w:after="260" w:line="416" w:lineRule="auto"/>
      <w:outlineLvl w:val="1"/>
    </w:pPr>
    <w:rPr>
      <w:rFonts w:ascii="Cambria" w:hAnsi="Cambria" w:eastAsia="宋体" w:cs="黑体"/>
      <w:b/>
      <w:bCs/>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5">
    <w:name w:val="heading 6"/>
    <w:basedOn w:val="1"/>
    <w:next w:val="1"/>
    <w:link w:val="43"/>
    <w:unhideWhenUsed/>
    <w:qFormat/>
    <w:uiPriority w:val="9"/>
    <w:pPr>
      <w:keepNext/>
      <w:keepLines/>
      <w:spacing w:before="240" w:after="64" w:line="320" w:lineRule="auto"/>
      <w:outlineLvl w:val="5"/>
    </w:pPr>
    <w:rPr>
      <w:rFonts w:ascii="Cambria" w:hAnsi="Cambria" w:eastAsia="宋体" w:cs="黑体"/>
      <w:b/>
      <w:bCs/>
      <w:sz w:val="24"/>
      <w:szCs w:val="24"/>
    </w:rPr>
  </w:style>
  <w:style w:type="character" w:default="1" w:styleId="19">
    <w:name w:val="Default Paragraph Font"/>
    <w:unhideWhenUsed/>
    <w:qFormat/>
    <w:uiPriority w:val="1"/>
  </w:style>
  <w:style w:type="table" w:default="1" w:styleId="22">
    <w:name w:val="Normal Table"/>
    <w:unhideWhenUsed/>
    <w:qFormat/>
    <w:uiPriority w:val="99"/>
    <w:pPr>
      <w:widowControl/>
      <w:spacing w:before="0" w:beforeAutospacing="0" w:after="0" w:afterAutospacing="0"/>
      <w:ind w:left="0" w:right="0"/>
    </w:pPr>
    <w:rPr>
      <w:rFonts w:hint="default" w:ascii="Times New Roman" w:hAnsi="Times New Roman" w:cs="Times New Roman"/>
      <w:sz w:val="20"/>
      <w:szCs w:val="20"/>
    </w:rPr>
    <w:tblPr>
      <w:tblStyle w:val="22"/>
      <w:tblLayout w:type="fixed"/>
      <w:tblCellMar>
        <w:top w:w="0" w:type="dxa"/>
        <w:left w:w="108" w:type="dxa"/>
        <w:bottom w:w="0" w:type="dxa"/>
        <w:right w:w="108" w:type="dxa"/>
      </w:tblCellMar>
    </w:tblPr>
  </w:style>
  <w:style w:type="paragraph" w:styleId="6">
    <w:name w:val="Normal Indent"/>
    <w:basedOn w:val="1"/>
    <w:next w:val="7"/>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Body Text Indent"/>
    <w:basedOn w:val="1"/>
    <w:next w:val="8"/>
    <w:unhideWhenUsed/>
    <w:qFormat/>
    <w:uiPriority w:val="99"/>
    <w:pPr>
      <w:spacing w:after="120"/>
      <w:ind w:left="420" w:leftChars="200"/>
    </w:pPr>
  </w:style>
  <w:style w:type="paragraph" w:styleId="8">
    <w:name w:val="Body Text Indent 2"/>
    <w:basedOn w:val="1"/>
    <w:link w:val="45"/>
    <w:qFormat/>
    <w:uiPriority w:val="99"/>
    <w:pPr>
      <w:spacing w:after="120" w:line="480" w:lineRule="auto"/>
      <w:ind w:left="420" w:leftChars="200"/>
    </w:pPr>
    <w:rPr>
      <w:kern w:val="0"/>
      <w:sz w:val="24"/>
    </w:rPr>
  </w:style>
  <w:style w:type="paragraph" w:styleId="9">
    <w:name w:val="Document Map"/>
    <w:basedOn w:val="1"/>
    <w:link w:val="37"/>
    <w:unhideWhenUsed/>
    <w:qFormat/>
    <w:uiPriority w:val="99"/>
    <w:rPr>
      <w:rFonts w:ascii="宋体"/>
      <w:sz w:val="18"/>
      <w:szCs w:val="18"/>
    </w:rPr>
  </w:style>
  <w:style w:type="paragraph" w:styleId="10">
    <w:name w:val="Body Text"/>
    <w:basedOn w:val="1"/>
    <w:link w:val="44"/>
    <w:qFormat/>
    <w:uiPriority w:val="0"/>
    <w:pPr>
      <w:spacing w:after="120"/>
    </w:pPr>
    <w:rPr>
      <w:rFonts w:ascii="Times New Roman" w:hAnsi="Times New Roman"/>
      <w:szCs w:val="24"/>
    </w:rPr>
  </w:style>
  <w:style w:type="paragraph" w:styleId="11">
    <w:name w:val="Plain Text"/>
    <w:basedOn w:val="1"/>
    <w:link w:val="40"/>
    <w:qFormat/>
    <w:uiPriority w:val="0"/>
    <w:rPr>
      <w:rFonts w:ascii="宋体" w:hAnsi="Courier New"/>
      <w:kern w:val="0"/>
      <w:szCs w:val="20"/>
    </w:rPr>
  </w:style>
  <w:style w:type="paragraph" w:styleId="12">
    <w:name w:val="Date"/>
    <w:basedOn w:val="1"/>
    <w:next w:val="1"/>
    <w:link w:val="38"/>
    <w:unhideWhenUsed/>
    <w:qFormat/>
    <w:uiPriority w:val="99"/>
    <w:pPr>
      <w:ind w:left="100" w:leftChars="2500"/>
    </w:pPr>
  </w:style>
  <w:style w:type="paragraph" w:styleId="13">
    <w:name w:val="Balloon Text"/>
    <w:basedOn w:val="1"/>
    <w:link w:val="46"/>
    <w:unhideWhenUsed/>
    <w:qFormat/>
    <w:uiPriority w:val="99"/>
    <w:rPr>
      <w:sz w:val="18"/>
      <w:szCs w:val="18"/>
    </w:rPr>
  </w:style>
  <w:style w:type="paragraph" w:styleId="14">
    <w:name w:val="footer"/>
    <w:basedOn w:val="1"/>
    <w:link w:val="36"/>
    <w:unhideWhenUsed/>
    <w:qFormat/>
    <w:uiPriority w:val="99"/>
    <w:pPr>
      <w:tabs>
        <w:tab w:val="center" w:pos="4153"/>
        <w:tab w:val="right" w:pos="8306"/>
      </w:tabs>
      <w:snapToGrid w:val="0"/>
      <w:jc w:val="left"/>
    </w:pPr>
    <w:rPr>
      <w:sz w:val="18"/>
      <w:szCs w:val="18"/>
    </w:rPr>
  </w:style>
  <w:style w:type="paragraph" w:styleId="15">
    <w:name w:val="Body Text First Indent 2"/>
    <w:basedOn w:val="7"/>
    <w:next w:val="1"/>
    <w:unhideWhenUsed/>
    <w:qFormat/>
    <w:uiPriority w:val="99"/>
    <w:pPr>
      <w:spacing w:before="100" w:beforeAutospacing="1"/>
      <w:ind w:firstLine="420"/>
    </w:pPr>
    <w:rPr>
      <w:szCs w:val="21"/>
    </w:rPr>
  </w:style>
  <w:style w:type="paragraph" w:styleId="16">
    <w:name w:val="header"/>
    <w:basedOn w:val="1"/>
    <w:link w:val="35"/>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Normal (Web)"/>
    <w:basedOn w:val="1"/>
    <w:unhideWhenUsed/>
    <w:qFormat/>
    <w:uiPriority w:val="99"/>
    <w:pPr>
      <w:spacing w:beforeAutospacing="1" w:afterAutospacing="1"/>
      <w:jc w:val="left"/>
    </w:pPr>
    <w:rPr>
      <w:kern w:val="0"/>
      <w:sz w:val="24"/>
    </w:rPr>
  </w:style>
  <w:style w:type="paragraph" w:styleId="18">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character" w:styleId="20">
    <w:name w:val="Strong"/>
    <w:basedOn w:val="19"/>
    <w:qFormat/>
    <w:uiPriority w:val="0"/>
    <w:rPr>
      <w:b/>
    </w:rPr>
  </w:style>
  <w:style w:type="character" w:styleId="21">
    <w:name w:val="page number"/>
    <w:basedOn w:val="19"/>
    <w:qFormat/>
    <w:uiPriority w:val="0"/>
    <w:rPr/>
  </w:style>
  <w:style w:type="table" w:styleId="23">
    <w:name w:val="Table Grid"/>
    <w:basedOn w:val="22"/>
    <w:unhideWhenUsed/>
    <w:qFormat/>
    <w:uiPriority w:val="59"/>
    <w:pPr/>
    <w:tblPr>
      <w:tblStyle w:val="2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customStyle="1" w:styleId="26">
    <w:name w:val="Table Paragraph"/>
    <w:basedOn w:val="1"/>
    <w:qFormat/>
    <w:uiPriority w:val="1"/>
  </w:style>
  <w:style w:type="paragraph" w:customStyle="1" w:styleId="27">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8">
    <w:name w:val="Char1 Char Char Char Char Char Char Char"/>
    <w:basedOn w:val="1"/>
    <w:qFormat/>
    <w:uiPriority w:val="0"/>
    <w:rPr>
      <w:rFonts w:ascii="Tahoma" w:hAnsi="Tahoma"/>
      <w:sz w:val="24"/>
      <w:szCs w:val="20"/>
    </w:rPr>
  </w:style>
  <w:style w:type="paragraph" w:customStyle="1" w:styleId="29">
    <w:name w:val="List Paragraph"/>
    <w:basedOn w:val="1"/>
    <w:qFormat/>
    <w:uiPriority w:val="99"/>
    <w:pPr>
      <w:ind w:firstLine="420" w:firstLineChars="200"/>
    </w:pPr>
    <w:rPr>
      <w:rFonts w:ascii="Times New Roman" w:hAnsi="Times New Roman"/>
      <w:szCs w:val="24"/>
    </w:rPr>
  </w:style>
  <w:style w:type="paragraph" w:customStyle="1" w:styleId="30">
    <w:name w:val="样式 宋体1"/>
    <w:basedOn w:val="1"/>
    <w:qFormat/>
    <w:uiPriority w:val="0"/>
    <w:pPr>
      <w:ind w:firstLine="420" w:firstLineChars="200"/>
      <w:jc w:val="left"/>
    </w:pPr>
    <w:rPr>
      <w:rFonts w:ascii="宋体" w:hAnsi="宋体" w:eastAsia="等线" w:cs="宋体"/>
      <w:szCs w:val="20"/>
    </w:rPr>
  </w:style>
  <w:style w:type="paragraph" w:customStyle="1" w:styleId="31">
    <w:name w:val="Normal_1"/>
    <w:qFormat/>
    <w:uiPriority w:val="0"/>
    <w:rPr>
      <w:rFonts w:ascii="Calibri" w:hAnsi="Calibri" w:eastAsia="宋体" w:cs="Times New Roman"/>
      <w:sz w:val="24"/>
      <w:szCs w:val="24"/>
      <w:lang w:val="en-US" w:eastAsia="zh-CN" w:bidi="ar-SA"/>
    </w:rPr>
  </w:style>
  <w:style w:type="paragraph" w:customStyle="1" w:styleId="32">
    <w:name w:val="01 文件标题"/>
    <w:basedOn w:val="1"/>
    <w:next w:val="1"/>
    <w:qFormat/>
    <w:uiPriority w:val="0"/>
    <w:pPr>
      <w:spacing w:line="560" w:lineRule="exact"/>
      <w:jc w:val="center"/>
    </w:pPr>
    <w:rPr>
      <w:rFonts w:ascii="方正小标宋简体" w:eastAsia="方正小标宋简体"/>
      <w:sz w:val="44"/>
    </w:rPr>
  </w:style>
  <w:style w:type="paragraph" w:customStyle="1" w:styleId="3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34">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35">
    <w:name w:val="页眉 Char"/>
    <w:basedOn w:val="19"/>
    <w:link w:val="16"/>
    <w:qFormat/>
    <w:uiPriority w:val="0"/>
    <w:rPr>
      <w:rFonts w:ascii="Calibri" w:hAnsi="Calibri" w:eastAsia="宋体" w:cs="Times New Roman"/>
      <w:sz w:val="18"/>
      <w:szCs w:val="18"/>
    </w:rPr>
  </w:style>
  <w:style w:type="character" w:customStyle="1" w:styleId="36">
    <w:name w:val="页脚 Char"/>
    <w:basedOn w:val="19"/>
    <w:link w:val="14"/>
    <w:qFormat/>
    <w:uiPriority w:val="99"/>
    <w:rPr>
      <w:rFonts w:ascii="Calibri" w:hAnsi="Calibri" w:eastAsia="宋体" w:cs="Times New Roman"/>
      <w:sz w:val="18"/>
      <w:szCs w:val="18"/>
    </w:rPr>
  </w:style>
  <w:style w:type="character" w:customStyle="1" w:styleId="37">
    <w:name w:val="文档结构图 Char"/>
    <w:basedOn w:val="19"/>
    <w:link w:val="9"/>
    <w:semiHidden/>
    <w:qFormat/>
    <w:uiPriority w:val="99"/>
    <w:rPr>
      <w:rFonts w:ascii="宋体" w:hAnsi="Calibri" w:eastAsia="宋体" w:cs="Times New Roman"/>
      <w:sz w:val="18"/>
      <w:szCs w:val="18"/>
    </w:rPr>
  </w:style>
  <w:style w:type="character" w:customStyle="1" w:styleId="38">
    <w:name w:val="日期 Char"/>
    <w:basedOn w:val="19"/>
    <w:link w:val="12"/>
    <w:semiHidden/>
    <w:qFormat/>
    <w:uiPriority w:val="99"/>
    <w:rPr>
      <w:rFonts w:ascii="Calibri" w:hAnsi="Calibri" w:eastAsia="宋体" w:cs="Times New Roman"/>
    </w:rPr>
  </w:style>
  <w:style w:type="character" w:customStyle="1" w:styleId="39">
    <w:name w:val="标题 1 Char"/>
    <w:basedOn w:val="19"/>
    <w:link w:val="2"/>
    <w:qFormat/>
    <w:uiPriority w:val="0"/>
    <w:rPr>
      <w:rFonts w:ascii="Cambria" w:hAnsi="Cambria" w:eastAsia="华文中宋" w:cs="Times New Roman"/>
      <w:b/>
      <w:bCs/>
      <w:sz w:val="44"/>
      <w:szCs w:val="28"/>
    </w:rPr>
  </w:style>
  <w:style w:type="character" w:customStyle="1" w:styleId="40">
    <w:name w:val="纯文本 Char1"/>
    <w:link w:val="11"/>
    <w:qFormat/>
    <w:locked/>
    <w:uiPriority w:val="0"/>
    <w:rPr>
      <w:rFonts w:ascii="宋体" w:hAnsi="Courier New"/>
      <w:sz w:val="21"/>
    </w:rPr>
  </w:style>
  <w:style w:type="character" w:customStyle="1" w:styleId="41">
    <w:name w:val="纯文本 Char"/>
    <w:basedOn w:val="19"/>
    <w:semiHidden/>
    <w:qFormat/>
    <w:uiPriority w:val="99"/>
    <w:rPr>
      <w:rFonts w:ascii="宋体" w:hAnsi="Courier New" w:cs="Courier New"/>
      <w:kern w:val="2"/>
      <w:sz w:val="21"/>
      <w:szCs w:val="21"/>
    </w:rPr>
  </w:style>
  <w:style w:type="character" w:customStyle="1" w:styleId="42">
    <w:name w:val="标题 2 Char"/>
    <w:basedOn w:val="19"/>
    <w:link w:val="3"/>
    <w:semiHidden/>
    <w:qFormat/>
    <w:uiPriority w:val="9"/>
    <w:rPr>
      <w:rFonts w:ascii="Cambria" w:hAnsi="Cambria" w:eastAsia="宋体" w:cs="黑体"/>
      <w:b/>
      <w:bCs/>
      <w:kern w:val="2"/>
      <w:sz w:val="32"/>
      <w:szCs w:val="32"/>
    </w:rPr>
  </w:style>
  <w:style w:type="character" w:customStyle="1" w:styleId="43">
    <w:name w:val="标题 6 Char"/>
    <w:basedOn w:val="19"/>
    <w:link w:val="5"/>
    <w:qFormat/>
    <w:uiPriority w:val="9"/>
    <w:rPr>
      <w:rFonts w:ascii="Cambria" w:hAnsi="Cambria" w:eastAsia="宋体" w:cs="黑体"/>
      <w:b/>
      <w:bCs/>
      <w:kern w:val="2"/>
      <w:sz w:val="24"/>
      <w:szCs w:val="24"/>
    </w:rPr>
  </w:style>
  <w:style w:type="character" w:customStyle="1" w:styleId="44">
    <w:name w:val="正文文本 Char"/>
    <w:basedOn w:val="19"/>
    <w:link w:val="10"/>
    <w:qFormat/>
    <w:uiPriority w:val="0"/>
    <w:rPr>
      <w:kern w:val="2"/>
      <w:sz w:val="21"/>
      <w:szCs w:val="24"/>
    </w:rPr>
  </w:style>
  <w:style w:type="character" w:customStyle="1" w:styleId="45">
    <w:name w:val="正文文本缩进 2 Char"/>
    <w:link w:val="8"/>
    <w:qFormat/>
    <w:uiPriority w:val="99"/>
    <w:rPr>
      <w:rFonts w:ascii="Calibri" w:hAnsi="Calibri"/>
      <w:sz w:val="24"/>
      <w:szCs w:val="22"/>
    </w:rPr>
  </w:style>
  <w:style w:type="character" w:customStyle="1" w:styleId="46">
    <w:name w:val="批注框文本 Char"/>
    <w:basedOn w:val="19"/>
    <w:link w:val="13"/>
    <w:semiHidden/>
    <w:qFormat/>
    <w:uiPriority w:val="99"/>
    <w:rPr>
      <w:rFonts w:ascii="Calibri" w:hAnsi="Calibri"/>
      <w:kern w:val="2"/>
      <w:sz w:val="18"/>
      <w:szCs w:val="18"/>
    </w:rPr>
  </w:style>
  <w:style w:type="character" w:customStyle="1" w:styleId="47">
    <w:name w:val="15"/>
    <w:basedOn w:val="19"/>
    <w:uiPriority w:val="0"/>
    <w:rPr>
      <w:rFonts w:hint="default" w:ascii="Times New Roman" w:hAnsi="Times New Roman" w:cs="Times New Roman"/>
    </w:rPr>
  </w:style>
  <w:style w:type="character" w:customStyle="1" w:styleId="48">
    <w:name w:val="10"/>
    <w:basedOn w:val="19"/>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0" Type="http://schemas.openxmlformats.org/officeDocument/2006/relationships/numbering" Target="numbering.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QBPC</Company>
  <Pages>14</Pages>
  <Words>5200</Words>
  <Characters>5347</Characters>
  <Lines>41</Lines>
  <Paragraphs>11</Paragraphs>
  <ScaleCrop>false</ScaleCrop>
  <LinksUpToDate>false</LinksUpToDate>
  <CharactersWithSpaces>0</CharactersWithSpaces>
  <Application>WPS Office_9.1.0.5041_{F1E327BC-269C-435d-A152-05C5408002CA}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2025-12-12T03:00:00Z</dcterms:created>
  <dc:creator>xb21cn</dc:creator>
  <cp:lastModifiedBy>admin</cp:lastModifiedBy>
  <cp:lastPrinted>2020-08-24T02:17:00Z</cp:lastPrinted>
  <dcterms:modified xsi:type="dcterms:W3CDTF">2026-08-03T14:48:30Z</dcterms:modified>
  <dc:title>询 比 采 购 文 件</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2052-9.1.0.5041</vt:lpwstr>
  </property>
  <property fmtid="{D5CDD505-2E9C-101B-9397-08002B2CF9AE}" pid="3" name="ICV">
    <vt:lpwstr>7194E49DE8184FFA8AA1CA91EE675233_13</vt:lpwstr>
  </property>
  <property fmtid="{D5CDD505-2E9C-101B-9397-08002B2CF9AE}" pid="4" name="KSOTemplateDocerSaveRecord">
    <vt:lpwstr>eyJoZGlkIjoiNjExNjA1MzY4NDcxNDhlNGIwYWUzMzQ5YTk5ZTk5ZTUiLCJ1c2VySWQiOiI0OTQ3NjU2MzMifQ==</vt:lpwstr>
  </property>
</Properties>
</file>