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sz w:val="84"/>
          <w:szCs w:val="84"/>
        </w:rPr>
      </w:pPr>
    </w:p>
    <w:p w14:paraId="01FFE299">
      <w:pPr>
        <w:pStyle w:val="10"/>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0"/>
        <w:adjustRightInd w:val="0"/>
        <w:snapToGrid w:val="0"/>
        <w:spacing w:line="360" w:lineRule="auto"/>
        <w:ind w:left="846" w:leftChars="403" w:firstLine="157" w:firstLineChars="49"/>
        <w:rPr>
          <w:rFonts w:hint="eastAsia" w:ascii="黑体" w:hAnsi="黑体" w:eastAsia="黑体"/>
          <w:b/>
          <w:sz w:val="32"/>
          <w:szCs w:val="32"/>
        </w:rPr>
      </w:pPr>
    </w:p>
    <w:p w14:paraId="1D8F80E4">
      <w:pPr>
        <w:pStyle w:val="10"/>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10"/>
        <w:adjustRightInd w:val="0"/>
        <w:snapToGrid w:val="0"/>
        <w:spacing w:line="360" w:lineRule="auto"/>
        <w:ind w:left="846" w:leftChars="403" w:firstLine="157" w:firstLineChars="49"/>
        <w:rPr>
          <w:rFonts w:hint="eastAsia" w:ascii="黑体" w:hAnsi="黑体" w:eastAsia="黑体"/>
          <w:b/>
          <w:sz w:val="32"/>
          <w:szCs w:val="32"/>
        </w:rPr>
      </w:pPr>
    </w:p>
    <w:p w14:paraId="6505A8CE">
      <w:pPr>
        <w:pStyle w:val="10"/>
        <w:adjustRightInd w:val="0"/>
        <w:snapToGrid w:val="0"/>
        <w:spacing w:line="360" w:lineRule="auto"/>
        <w:ind w:left="846" w:leftChars="403" w:firstLine="157" w:firstLineChars="49"/>
        <w:rPr>
          <w:rFonts w:hint="eastAsia" w:ascii="黑体" w:hAnsi="黑体" w:eastAsia="黑体"/>
          <w:b/>
          <w:sz w:val="32"/>
          <w:szCs w:val="32"/>
        </w:rPr>
      </w:pPr>
    </w:p>
    <w:p w14:paraId="1DD4CC30">
      <w:pPr>
        <w:pStyle w:val="10"/>
        <w:adjustRightInd w:val="0"/>
        <w:snapToGrid w:val="0"/>
        <w:spacing w:line="360" w:lineRule="auto"/>
        <w:ind w:left="846" w:leftChars="403" w:firstLine="157" w:firstLineChars="49"/>
        <w:rPr>
          <w:rFonts w:hint="eastAsia" w:ascii="黑体" w:hAnsi="黑体" w:eastAsia="黑体"/>
          <w:b/>
          <w:sz w:val="32"/>
          <w:szCs w:val="32"/>
        </w:rPr>
      </w:pPr>
    </w:p>
    <w:p w14:paraId="6E018500">
      <w:pPr>
        <w:pStyle w:val="39"/>
        <w:jc w:val="both"/>
        <w:rPr>
          <w:rFonts w:hint="eastAsia" w:ascii="黑体" w:hAnsi="黑体" w:eastAsia="黑体"/>
          <w:kern w:val="0"/>
          <w:sz w:val="32"/>
          <w:szCs w:val="32"/>
        </w:rPr>
      </w:pPr>
      <w:r>
        <w:rPr>
          <w:rFonts w:ascii="黑体" w:hAnsi="黑体" w:eastAsia="黑体"/>
          <w:sz w:val="32"/>
          <w:szCs w:val="32"/>
        </w:rPr>
        <w:t>采购项目名称：</w:t>
      </w:r>
      <w:bookmarkStart w:id="9" w:name="_GoBack"/>
      <w:r>
        <w:rPr>
          <w:rFonts w:hint="eastAsia" w:ascii="黑体" w:hAnsi="黑体" w:eastAsia="黑体"/>
          <w:kern w:val="0"/>
          <w:sz w:val="32"/>
          <w:szCs w:val="32"/>
        </w:rPr>
        <w:t>云龙西校区迎宾大道校门环境改造</w:t>
      </w:r>
      <w:r>
        <w:rPr>
          <w:rFonts w:hint="eastAsia" w:ascii="黑体" w:hAnsi="黑体" w:eastAsia="黑体"/>
          <w:kern w:val="0"/>
          <w:sz w:val="32"/>
          <w:szCs w:val="32"/>
          <w:lang w:val="en-US" w:eastAsia="zh-CN"/>
        </w:rPr>
        <w:t>桩基</w:t>
      </w:r>
      <w:r>
        <w:rPr>
          <w:rFonts w:hint="eastAsia" w:ascii="黑体" w:hAnsi="黑体" w:eastAsia="黑体"/>
          <w:kern w:val="0"/>
          <w:sz w:val="32"/>
          <w:szCs w:val="32"/>
        </w:rPr>
        <w:t>工程</w:t>
      </w:r>
      <w:bookmarkEnd w:id="9"/>
    </w:p>
    <w:p w14:paraId="3286CA34">
      <w:pPr>
        <w:pStyle w:val="10"/>
        <w:adjustRightInd w:val="0"/>
        <w:snapToGrid w:val="0"/>
        <w:spacing w:before="156" w:beforeLines="50" w:after="156" w:afterLines="50"/>
        <w:ind w:left="2559" w:leftChars="152" w:hanging="2240" w:hangingChars="700"/>
        <w:rPr>
          <w:rFonts w:hint="eastAsia" w:ascii="黑体" w:hAnsi="黑体" w:eastAsia="黑体"/>
          <w:sz w:val="32"/>
          <w:szCs w:val="32"/>
        </w:rPr>
      </w:pPr>
    </w:p>
    <w:p w14:paraId="6B5B6E03">
      <w:pPr>
        <w:pStyle w:val="10"/>
        <w:adjustRightInd w:val="0"/>
        <w:snapToGrid w:val="0"/>
        <w:spacing w:before="156" w:beforeLines="50" w:after="156" w:afterLines="50" w:line="360" w:lineRule="auto"/>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0"/>
        <w:adjustRightInd w:val="0"/>
        <w:snapToGrid w:val="0"/>
        <w:spacing w:line="440" w:lineRule="exact"/>
        <w:jc w:val="center"/>
        <w:rPr>
          <w:rFonts w:hint="eastAsia" w:ascii="黑体" w:hAnsi="黑体" w:eastAsia="黑体"/>
          <w:b/>
          <w:sz w:val="32"/>
        </w:rPr>
      </w:pPr>
    </w:p>
    <w:p w14:paraId="12277452">
      <w:pPr>
        <w:pStyle w:val="10"/>
        <w:adjustRightInd w:val="0"/>
        <w:snapToGrid w:val="0"/>
        <w:spacing w:line="440" w:lineRule="exact"/>
        <w:jc w:val="center"/>
        <w:rPr>
          <w:rFonts w:hint="eastAsia" w:ascii="黑体" w:hAnsi="黑体" w:eastAsia="黑体"/>
          <w:b/>
          <w:sz w:val="32"/>
        </w:rPr>
      </w:pPr>
    </w:p>
    <w:p w14:paraId="263E19F8">
      <w:pPr>
        <w:pStyle w:val="10"/>
        <w:adjustRightInd w:val="0"/>
        <w:snapToGrid w:val="0"/>
        <w:spacing w:line="440" w:lineRule="exact"/>
        <w:jc w:val="center"/>
        <w:rPr>
          <w:rFonts w:hint="eastAsia" w:ascii="黑体" w:hAnsi="黑体" w:eastAsia="黑体"/>
          <w:b/>
          <w:sz w:val="32"/>
        </w:rPr>
      </w:pPr>
    </w:p>
    <w:p w14:paraId="00E611DA">
      <w:pPr>
        <w:pStyle w:val="10"/>
        <w:adjustRightInd w:val="0"/>
        <w:snapToGrid w:val="0"/>
        <w:spacing w:line="440" w:lineRule="exact"/>
        <w:jc w:val="center"/>
        <w:rPr>
          <w:rFonts w:hint="eastAsia" w:ascii="黑体" w:hAnsi="黑体" w:eastAsia="黑体"/>
          <w:b/>
          <w:sz w:val="32"/>
        </w:rPr>
      </w:pPr>
    </w:p>
    <w:p w14:paraId="5BD02E6F">
      <w:pPr>
        <w:pStyle w:val="10"/>
        <w:adjustRightInd w:val="0"/>
        <w:snapToGrid w:val="0"/>
        <w:spacing w:line="440" w:lineRule="exact"/>
        <w:jc w:val="center"/>
        <w:rPr>
          <w:rFonts w:hint="eastAsia" w:ascii="黑体" w:hAnsi="黑体" w:eastAsia="黑体"/>
          <w:b/>
          <w:sz w:val="32"/>
        </w:rPr>
      </w:pPr>
    </w:p>
    <w:p w14:paraId="51D3F09C">
      <w:pPr>
        <w:pStyle w:val="10"/>
        <w:adjustRightInd w:val="0"/>
        <w:snapToGrid w:val="0"/>
        <w:spacing w:line="440" w:lineRule="exact"/>
        <w:jc w:val="center"/>
        <w:rPr>
          <w:rFonts w:hint="eastAsia" w:ascii="黑体" w:hAnsi="黑体" w:eastAsia="黑体"/>
          <w:b/>
          <w:sz w:val="32"/>
        </w:rPr>
      </w:pPr>
    </w:p>
    <w:p w14:paraId="33437265">
      <w:pPr>
        <w:pStyle w:val="10"/>
        <w:adjustRightInd w:val="0"/>
        <w:snapToGrid w:val="0"/>
        <w:spacing w:line="440" w:lineRule="exact"/>
        <w:jc w:val="center"/>
        <w:rPr>
          <w:rFonts w:hint="eastAsia" w:ascii="黑体" w:hAnsi="黑体" w:eastAsia="黑体"/>
          <w:b/>
          <w:sz w:val="32"/>
        </w:rPr>
      </w:pPr>
    </w:p>
    <w:p w14:paraId="646F9A24">
      <w:pPr>
        <w:pStyle w:val="10"/>
        <w:adjustRightInd w:val="0"/>
        <w:snapToGrid w:val="0"/>
        <w:spacing w:line="440" w:lineRule="exact"/>
        <w:jc w:val="center"/>
        <w:rPr>
          <w:rFonts w:hint="eastAsia" w:ascii="黑体" w:hAnsi="黑体" w:eastAsia="黑体"/>
          <w:b/>
          <w:sz w:val="32"/>
        </w:rPr>
      </w:pPr>
    </w:p>
    <w:p w14:paraId="3BDBB089">
      <w:pPr>
        <w:pStyle w:val="10"/>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w:t>
      </w:r>
      <w:r>
        <w:rPr>
          <w:rFonts w:hint="eastAsia" w:ascii="黑体" w:hAnsi="黑体" w:eastAsia="黑体"/>
          <w:sz w:val="32"/>
          <w:szCs w:val="32"/>
          <w:lang w:val="en-US" w:eastAsia="zh-CN"/>
        </w:rPr>
        <w:t>六</w:t>
      </w:r>
      <w:r>
        <w:rPr>
          <w:rFonts w:ascii="黑体" w:hAnsi="黑体" w:eastAsia="黑体"/>
          <w:sz w:val="32"/>
          <w:szCs w:val="32"/>
        </w:rPr>
        <w:t>年</w:t>
      </w:r>
      <w:r>
        <w:rPr>
          <w:rFonts w:hint="eastAsia" w:ascii="黑体" w:hAnsi="黑体" w:eastAsia="黑体"/>
          <w:sz w:val="32"/>
          <w:szCs w:val="32"/>
          <w:lang w:val="en-US" w:eastAsia="zh-CN"/>
        </w:rPr>
        <w:t>四</w:t>
      </w:r>
      <w:r>
        <w:rPr>
          <w:rFonts w:ascii="黑体" w:hAnsi="黑体" w:eastAsia="黑体"/>
          <w:sz w:val="32"/>
          <w:szCs w:val="32"/>
        </w:rPr>
        <w:t>月</w:t>
      </w:r>
    </w:p>
    <w:p w14:paraId="3FD890A2">
      <w:pPr>
        <w:pStyle w:val="15"/>
      </w:pPr>
    </w:p>
    <w:p w14:paraId="40E4DFFA">
      <w:pPr>
        <w:pStyle w:val="15"/>
        <w:rPr>
          <w:szCs w:val="22"/>
        </w:rPr>
      </w:pPr>
    </w:p>
    <w:p w14:paraId="097EFB0B">
      <w:pPr>
        <w:jc w:val="center"/>
        <w:outlineLvl w:val="0"/>
        <w:rPr>
          <w:rFonts w:hint="eastAsia" w:ascii="黑体" w:hAnsi="黑体" w:eastAsia="黑体"/>
          <w:b/>
          <w:sz w:val="36"/>
          <w:szCs w:val="36"/>
        </w:rPr>
      </w:pPr>
      <w:r>
        <w:rPr>
          <w:rFonts w:hint="eastAsia" w:ascii="黑体" w:hAnsi="黑体" w:eastAsia="黑体"/>
          <w:b/>
          <w:sz w:val="36"/>
          <w:szCs w:val="36"/>
        </w:rPr>
        <w:t>湖南铁道职业技术学院</w:t>
      </w:r>
    </w:p>
    <w:p w14:paraId="6EAB8857">
      <w:pPr>
        <w:jc w:val="center"/>
        <w:outlineLvl w:val="0"/>
        <w:rPr>
          <w:rFonts w:hint="eastAsia" w:ascii="黑体" w:hAnsi="黑体" w:eastAsia="黑体" w:cs="宋体"/>
          <w:b/>
          <w:bCs/>
          <w:color w:val="000000"/>
          <w:spacing w:val="-20"/>
          <w:kern w:val="36"/>
          <w:sz w:val="36"/>
          <w:szCs w:val="36"/>
        </w:rPr>
      </w:pPr>
      <w:r>
        <w:rPr>
          <w:rFonts w:hint="eastAsia" w:ascii="黑体" w:hAnsi="黑体" w:eastAsia="黑体"/>
          <w:b/>
          <w:sz w:val="36"/>
          <w:szCs w:val="36"/>
        </w:rPr>
        <w:t>云龙西校区迎宾大道校门环境改造</w:t>
      </w:r>
      <w:r>
        <w:rPr>
          <w:rFonts w:hint="eastAsia" w:ascii="黑体" w:hAnsi="黑体" w:eastAsia="黑体"/>
          <w:b/>
          <w:sz w:val="36"/>
          <w:szCs w:val="36"/>
          <w:lang w:val="en-US" w:eastAsia="zh-CN"/>
        </w:rPr>
        <w:t>桩基</w:t>
      </w:r>
      <w:r>
        <w:rPr>
          <w:rFonts w:hint="eastAsia" w:ascii="黑体" w:hAnsi="黑体" w:eastAsia="黑体"/>
          <w:b/>
          <w:sz w:val="36"/>
          <w:szCs w:val="36"/>
        </w:rPr>
        <w:t>工程项目</w:t>
      </w:r>
      <w:r>
        <w:rPr>
          <w:rFonts w:hint="eastAsia" w:ascii="黑体" w:hAnsi="黑体" w:eastAsia="黑体"/>
          <w:b/>
          <w:sz w:val="36"/>
          <w:szCs w:val="36"/>
          <w:lang w:val="en-US" w:eastAsia="zh-CN"/>
        </w:rPr>
        <w:t xml:space="preserve">  询</w:t>
      </w:r>
      <w:r>
        <w:rPr>
          <w:rFonts w:hint="eastAsia" w:ascii="黑体" w:hAnsi="黑体" w:eastAsia="黑体"/>
          <w:b/>
          <w:sz w:val="36"/>
          <w:szCs w:val="36"/>
        </w:rPr>
        <w:t>比</w:t>
      </w:r>
      <w:r>
        <w:rPr>
          <w:rFonts w:ascii="黑体" w:hAnsi="黑体" w:eastAsia="黑体" w:cs="宋体"/>
          <w:b/>
          <w:bCs/>
          <w:color w:val="000000"/>
          <w:spacing w:val="-20"/>
          <w:kern w:val="36"/>
          <w:sz w:val="36"/>
          <w:szCs w:val="36"/>
        </w:rPr>
        <w:t>采购</w:t>
      </w:r>
      <w:r>
        <w:rPr>
          <w:rFonts w:hint="eastAsia" w:ascii="黑体" w:hAnsi="黑体" w:eastAsia="黑体" w:cs="宋体"/>
          <w:b/>
          <w:bCs/>
          <w:color w:val="000000"/>
          <w:spacing w:val="-20"/>
          <w:kern w:val="36"/>
          <w:sz w:val="36"/>
          <w:szCs w:val="36"/>
        </w:rPr>
        <w:t>公告</w:t>
      </w:r>
    </w:p>
    <w:p w14:paraId="0FA957A0">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湖南铁道职业技术学</w:t>
      </w:r>
      <w:r>
        <w:rPr>
          <w:rFonts w:ascii="仿宋" w:hAnsi="仿宋" w:eastAsia="仿宋"/>
          <w:sz w:val="24"/>
          <w:szCs w:val="24"/>
          <w:u w:val="none"/>
        </w:rPr>
        <w:t>院</w:t>
      </w:r>
      <w:r>
        <w:rPr>
          <w:rFonts w:hint="eastAsia" w:ascii="仿宋" w:hAnsi="仿宋" w:eastAsia="仿宋"/>
          <w:sz w:val="24"/>
          <w:szCs w:val="24"/>
          <w:u w:val="none"/>
        </w:rPr>
        <w:t>云龙西校区迎宾大道校门环境改造</w:t>
      </w:r>
      <w:r>
        <w:rPr>
          <w:rFonts w:hint="eastAsia" w:ascii="仿宋" w:hAnsi="仿宋" w:eastAsia="仿宋"/>
          <w:sz w:val="24"/>
          <w:szCs w:val="24"/>
          <w:u w:val="none"/>
          <w:lang w:val="en-US" w:eastAsia="zh-CN"/>
        </w:rPr>
        <w:t>桩基</w:t>
      </w:r>
      <w:r>
        <w:rPr>
          <w:rFonts w:hint="eastAsia" w:ascii="仿宋" w:hAnsi="仿宋" w:eastAsia="仿宋"/>
          <w:sz w:val="24"/>
          <w:szCs w:val="24"/>
          <w:u w:val="none"/>
        </w:rPr>
        <w:t>工程项</w:t>
      </w:r>
      <w:r>
        <w:rPr>
          <w:rFonts w:hint="eastAsia" w:ascii="仿宋" w:hAnsi="仿宋" w:eastAsia="仿宋"/>
          <w:sz w:val="24"/>
          <w:szCs w:val="24"/>
        </w:rPr>
        <w:t>目需进行采购，现采用发布公告方式，邀请符合资格条件的供应商参与采购活动。</w:t>
      </w:r>
    </w:p>
    <w:p w14:paraId="474761BB">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31662_WPSOffice_Level2"/>
      <w:bookmarkStart w:id="1" w:name="_Toc4659"/>
      <w:bookmarkStart w:id="2" w:name="_Toc3564"/>
      <w:bookmarkStart w:id="3" w:name="_Toc17794_WPSOffice_Level2"/>
      <w:bookmarkStart w:id="4" w:name="_Toc26475"/>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4EF1E5F4">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1.项目名称：</w:t>
      </w:r>
      <w:r>
        <w:rPr>
          <w:rFonts w:hint="eastAsia" w:ascii="仿宋" w:hAnsi="仿宋" w:eastAsia="仿宋"/>
          <w:sz w:val="24"/>
          <w:szCs w:val="24"/>
          <w:u w:val="none"/>
        </w:rPr>
        <w:t>云龙西校区迎宾大道校门环境改造</w:t>
      </w:r>
      <w:r>
        <w:rPr>
          <w:rFonts w:hint="eastAsia" w:ascii="仿宋" w:hAnsi="仿宋" w:eastAsia="仿宋"/>
          <w:sz w:val="24"/>
          <w:szCs w:val="24"/>
          <w:u w:val="none"/>
          <w:lang w:val="en-US" w:eastAsia="zh-CN"/>
        </w:rPr>
        <w:t>桩基</w:t>
      </w:r>
      <w:r>
        <w:rPr>
          <w:rFonts w:hint="eastAsia" w:ascii="仿宋" w:hAnsi="仿宋" w:eastAsia="仿宋"/>
          <w:sz w:val="24"/>
          <w:szCs w:val="24"/>
          <w:u w:val="none"/>
        </w:rPr>
        <w:t>工程项目</w:t>
      </w:r>
    </w:p>
    <w:p w14:paraId="44784280">
      <w:pPr>
        <w:pStyle w:val="15"/>
        <w:snapToGrid w:val="0"/>
        <w:spacing w:before="0" w:beforeAutospacing="0" w:after="0" w:line="360" w:lineRule="auto"/>
        <w:ind w:left="0" w:leftChars="0" w:firstLine="480" w:firstLineChars="200"/>
        <w:jc w:val="left"/>
        <w:rPr>
          <w:rFonts w:hint="default" w:ascii="仿宋" w:hAnsi="仿宋" w:eastAsia="仿宋" w:cs="Times New Roman"/>
          <w:sz w:val="24"/>
          <w:szCs w:val="24"/>
          <w:lang w:val="en-US" w:eastAsia="zh-CN"/>
        </w:rPr>
      </w:pPr>
      <w:r>
        <w:rPr>
          <w:rFonts w:hint="eastAsia" w:ascii="仿宋" w:hAnsi="仿宋" w:eastAsia="仿宋"/>
          <w:sz w:val="24"/>
          <w:szCs w:val="24"/>
        </w:rPr>
        <w:t xml:space="preserve">2.项目概况: </w:t>
      </w:r>
      <w:r>
        <w:rPr>
          <w:rFonts w:hint="eastAsia" w:ascii="仿宋" w:hAnsi="仿宋" w:eastAsia="仿宋"/>
          <w:sz w:val="24"/>
          <w:szCs w:val="24"/>
          <w:lang w:val="en-US" w:eastAsia="zh-CN"/>
        </w:rPr>
        <w:t>对云龙西校区迎宾大道校门</w:t>
      </w:r>
      <w:r>
        <w:rPr>
          <w:rFonts w:hint="eastAsia" w:ascii="仿宋" w:hAnsi="仿宋" w:eastAsia="仿宋" w:cs="Times New Roman"/>
          <w:sz w:val="24"/>
          <w:szCs w:val="24"/>
          <w:lang w:val="en-US" w:eastAsia="zh-CN"/>
        </w:rPr>
        <w:t>围墙的基础需进行加固。</w:t>
      </w:r>
    </w:p>
    <w:p w14:paraId="5BF0E805">
      <w:pPr>
        <w:pStyle w:val="15"/>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rPr>
        <w:t>3.服务内容：</w:t>
      </w:r>
      <w:r>
        <w:rPr>
          <w:rFonts w:hint="eastAsia" w:ascii="仿宋" w:hAnsi="仿宋" w:eastAsia="仿宋"/>
          <w:sz w:val="24"/>
          <w:szCs w:val="24"/>
          <w:u w:val="none"/>
          <w:lang w:val="en-US" w:eastAsia="zh-CN"/>
        </w:rPr>
        <w:t>对云龙西区迎宾大道围墙的基础进行松木桩加固</w:t>
      </w:r>
      <w:r>
        <w:rPr>
          <w:rFonts w:hint="eastAsia" w:ascii="仿宋" w:hAnsi="仿宋" w:eastAsia="仿宋"/>
          <w:sz w:val="24"/>
          <w:szCs w:val="24"/>
          <w:u w:val="none"/>
        </w:rPr>
        <w:t>，具体内容详见采购文件（见附件）。</w:t>
      </w:r>
    </w:p>
    <w:p w14:paraId="71947C1A">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4</w:t>
      </w:r>
      <w:r>
        <w:rPr>
          <w:rFonts w:hint="eastAsia" w:ascii="仿宋" w:hAnsi="仿宋" w:eastAsia="仿宋"/>
          <w:sz w:val="24"/>
          <w:szCs w:val="24"/>
        </w:rPr>
        <w:t>.采购预算：</w:t>
      </w:r>
      <w:r>
        <w:rPr>
          <w:rFonts w:hint="eastAsia" w:ascii="仿宋" w:hAnsi="仿宋" w:eastAsia="仿宋"/>
          <w:sz w:val="24"/>
          <w:szCs w:val="24"/>
          <w:u w:val="none"/>
        </w:rPr>
        <w:t>38899.4</w:t>
      </w:r>
      <w:r>
        <w:rPr>
          <w:rFonts w:ascii="仿宋" w:hAnsi="仿宋" w:eastAsia="仿宋"/>
          <w:sz w:val="24"/>
          <w:szCs w:val="24"/>
          <w:u w:val="none"/>
        </w:rPr>
        <w:t>元</w:t>
      </w:r>
    </w:p>
    <w:p w14:paraId="453272DD">
      <w:pPr>
        <w:pStyle w:val="15"/>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62ECA4F5">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24CC3B8F">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14:paraId="58A3351A">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14:paraId="069569FD">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14:paraId="060D3645">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14:paraId="77978083">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14:paraId="3AB4EB51">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（6）法律、行政法规规定的其他条件。</w:t>
      </w:r>
    </w:p>
    <w:p w14:paraId="072F082D">
      <w:pPr>
        <w:pStyle w:val="15"/>
        <w:snapToGrid w:val="0"/>
        <w:spacing w:before="0" w:beforeAutospacing="0" w:after="0" w:line="360" w:lineRule="auto"/>
        <w:ind w:left="0" w:leftChars="0" w:firstLine="480" w:firstLineChars="200"/>
        <w:jc w:val="left"/>
        <w:rPr>
          <w:rFonts w:hint="default" w:ascii="仿宋" w:hAnsi="仿宋" w:eastAsia="仿宋"/>
          <w:sz w:val="24"/>
          <w:szCs w:val="24"/>
          <w:lang w:val="en-US" w:eastAsia="zh-CN"/>
        </w:rPr>
      </w:pPr>
      <w:r>
        <w:rPr>
          <w:rFonts w:hint="eastAsia" w:ascii="仿宋" w:hAnsi="仿宋" w:eastAsia="仿宋"/>
          <w:sz w:val="24"/>
          <w:szCs w:val="24"/>
        </w:rPr>
        <w:t>2、特定资格条件：</w:t>
      </w:r>
      <w:r>
        <w:rPr>
          <w:rFonts w:hint="eastAsia" w:ascii="仿宋" w:hAnsi="仿宋" w:eastAsia="仿宋" w:cs="仿宋"/>
          <w:bCs/>
          <w:color w:val="auto"/>
          <w:sz w:val="24"/>
          <w:u w:val="none"/>
          <w:lang w:val="en-US" w:eastAsia="zh-CN"/>
        </w:rPr>
        <w:t>供应商必须是房屋建筑施工企业</w:t>
      </w:r>
    </w:p>
    <w:p w14:paraId="4B673CBE">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3、不接受联合体投标</w:t>
      </w:r>
    </w:p>
    <w:p w14:paraId="773A98C1">
      <w:pPr>
        <w:pStyle w:val="15"/>
        <w:snapToGrid w:val="0"/>
        <w:spacing w:before="0" w:beforeAutospacing="0" w:after="0" w:line="360" w:lineRule="auto"/>
        <w:ind w:left="0" w:leftChars="0" w:firstLine="482" w:firstLineChars="200"/>
        <w:jc w:val="left"/>
        <w:rPr>
          <w:rFonts w:hint="eastAsia" w:ascii="仿宋" w:hAnsi="仿宋" w:eastAsia="仿宋"/>
          <w:b/>
          <w:bCs/>
          <w:sz w:val="24"/>
          <w:szCs w:val="24"/>
        </w:rPr>
      </w:pPr>
      <w:bookmarkStart w:id="5" w:name="_Toc58335831"/>
      <w:r>
        <w:rPr>
          <w:rFonts w:hint="eastAsia" w:ascii="仿宋" w:hAnsi="仿宋" w:eastAsia="仿宋"/>
          <w:b/>
          <w:bCs/>
          <w:sz w:val="24"/>
          <w:szCs w:val="24"/>
        </w:rPr>
        <w:t>三、响应文件提交的截止时间、开启时间及地点</w:t>
      </w:r>
      <w:bookmarkEnd w:id="5"/>
    </w:p>
    <w:p w14:paraId="054E6273">
      <w:pPr>
        <w:pStyle w:val="15"/>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rPr>
        <w:t>1．首次响应文件的提交截止时</w:t>
      </w:r>
      <w:r>
        <w:rPr>
          <w:rFonts w:hint="eastAsia" w:ascii="仿宋" w:hAnsi="仿宋" w:eastAsia="仿宋"/>
          <w:sz w:val="24"/>
          <w:szCs w:val="24"/>
          <w:u w:val="none"/>
        </w:rPr>
        <w:t>间：202</w:t>
      </w:r>
      <w:r>
        <w:rPr>
          <w:rFonts w:hint="eastAsia" w:ascii="仿宋" w:hAnsi="仿宋" w:eastAsia="仿宋"/>
          <w:sz w:val="24"/>
          <w:szCs w:val="24"/>
          <w:u w:val="none"/>
          <w:lang w:val="en-US" w:eastAsia="zh-CN"/>
        </w:rPr>
        <w:t>6</w:t>
      </w:r>
      <w:r>
        <w:rPr>
          <w:rFonts w:hint="eastAsia" w:ascii="仿宋" w:hAnsi="仿宋" w:eastAsia="仿宋"/>
          <w:sz w:val="24"/>
          <w:szCs w:val="24"/>
          <w:u w:val="none"/>
        </w:rPr>
        <w:t>年</w:t>
      </w:r>
      <w:r>
        <w:rPr>
          <w:rFonts w:hint="eastAsia" w:ascii="仿宋" w:hAnsi="仿宋" w:eastAsia="仿宋"/>
          <w:sz w:val="24"/>
          <w:szCs w:val="24"/>
          <w:u w:val="none"/>
          <w:lang w:val="en-US" w:eastAsia="zh-CN"/>
        </w:rPr>
        <w:t>4</w:t>
      </w:r>
      <w:r>
        <w:rPr>
          <w:rFonts w:hint="eastAsia" w:ascii="仿宋" w:hAnsi="仿宋" w:eastAsia="仿宋"/>
          <w:sz w:val="24"/>
          <w:szCs w:val="24"/>
          <w:u w:val="none"/>
        </w:rPr>
        <w:t>月</w:t>
      </w:r>
      <w:r>
        <w:rPr>
          <w:rFonts w:hint="eastAsia" w:ascii="仿宋" w:hAnsi="仿宋" w:eastAsia="仿宋"/>
          <w:sz w:val="24"/>
          <w:szCs w:val="24"/>
          <w:u w:val="none"/>
          <w:lang w:val="en-US" w:eastAsia="zh-CN"/>
        </w:rPr>
        <w:t>17</w:t>
      </w:r>
      <w:r>
        <w:rPr>
          <w:rFonts w:hint="eastAsia" w:ascii="仿宋" w:hAnsi="仿宋" w:eastAsia="仿宋"/>
          <w:sz w:val="24"/>
          <w:szCs w:val="24"/>
          <w:u w:val="none"/>
        </w:rPr>
        <w:t>日</w:t>
      </w:r>
      <w:r>
        <w:rPr>
          <w:rFonts w:hint="eastAsia" w:ascii="仿宋" w:hAnsi="仿宋" w:eastAsia="仿宋"/>
          <w:sz w:val="24"/>
          <w:szCs w:val="24"/>
          <w:u w:val="none"/>
          <w:lang w:val="en-US" w:eastAsia="zh-CN"/>
        </w:rPr>
        <w:t>9</w:t>
      </w:r>
      <w:r>
        <w:rPr>
          <w:rFonts w:hint="eastAsia" w:ascii="仿宋" w:hAnsi="仿宋" w:eastAsia="仿宋"/>
          <w:sz w:val="24"/>
          <w:szCs w:val="24"/>
          <w:u w:val="none"/>
        </w:rPr>
        <w:t>时</w:t>
      </w:r>
    </w:p>
    <w:p w14:paraId="5FCFB0A5">
      <w:pPr>
        <w:pStyle w:val="15"/>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u w:val="none"/>
        </w:rPr>
        <w:t>2．首次响应文件的开启时间：202</w:t>
      </w:r>
      <w:r>
        <w:rPr>
          <w:rFonts w:hint="eastAsia" w:ascii="仿宋" w:hAnsi="仿宋" w:eastAsia="仿宋"/>
          <w:sz w:val="24"/>
          <w:szCs w:val="24"/>
          <w:u w:val="none"/>
          <w:lang w:val="en-US" w:eastAsia="zh-CN"/>
        </w:rPr>
        <w:t>6</w:t>
      </w:r>
      <w:r>
        <w:rPr>
          <w:rFonts w:hint="eastAsia" w:ascii="仿宋" w:hAnsi="仿宋" w:eastAsia="仿宋"/>
          <w:sz w:val="24"/>
          <w:szCs w:val="24"/>
          <w:u w:val="none"/>
        </w:rPr>
        <w:t>年</w:t>
      </w:r>
      <w:r>
        <w:rPr>
          <w:rFonts w:hint="eastAsia" w:ascii="仿宋" w:hAnsi="仿宋" w:eastAsia="仿宋"/>
          <w:sz w:val="24"/>
          <w:szCs w:val="24"/>
          <w:u w:val="none"/>
          <w:lang w:val="en-US" w:eastAsia="zh-CN"/>
        </w:rPr>
        <w:t>4</w:t>
      </w:r>
      <w:r>
        <w:rPr>
          <w:rFonts w:hint="eastAsia" w:ascii="仿宋" w:hAnsi="仿宋" w:eastAsia="仿宋"/>
          <w:sz w:val="24"/>
          <w:szCs w:val="24"/>
          <w:u w:val="none"/>
        </w:rPr>
        <w:t>月</w:t>
      </w:r>
      <w:r>
        <w:rPr>
          <w:rFonts w:hint="eastAsia" w:ascii="仿宋" w:hAnsi="仿宋" w:eastAsia="仿宋"/>
          <w:sz w:val="24"/>
          <w:szCs w:val="24"/>
          <w:u w:val="none"/>
          <w:lang w:val="en-US" w:eastAsia="zh-CN"/>
        </w:rPr>
        <w:t>17</w:t>
      </w:r>
      <w:r>
        <w:rPr>
          <w:rFonts w:hint="eastAsia" w:ascii="仿宋" w:hAnsi="仿宋" w:eastAsia="仿宋"/>
          <w:sz w:val="24"/>
          <w:szCs w:val="24"/>
          <w:u w:val="none"/>
        </w:rPr>
        <w:t>日</w:t>
      </w:r>
      <w:r>
        <w:rPr>
          <w:rFonts w:hint="eastAsia" w:ascii="仿宋" w:hAnsi="仿宋" w:eastAsia="仿宋"/>
          <w:sz w:val="24"/>
          <w:szCs w:val="24"/>
          <w:u w:val="none"/>
          <w:lang w:val="en-US" w:eastAsia="zh-CN"/>
        </w:rPr>
        <w:t>9</w:t>
      </w:r>
      <w:r>
        <w:rPr>
          <w:rFonts w:hint="eastAsia" w:ascii="仿宋" w:hAnsi="仿宋" w:eastAsia="仿宋"/>
          <w:sz w:val="24"/>
          <w:szCs w:val="24"/>
          <w:u w:val="none"/>
        </w:rPr>
        <w:t>时</w:t>
      </w:r>
    </w:p>
    <w:p w14:paraId="63DB6ACB">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3．首次响应文件的开启地点：湖南铁道职业技术学院</w:t>
      </w:r>
    </w:p>
    <w:p w14:paraId="35D4FC64">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p>
    <w:p w14:paraId="20F5FB5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0C946E80">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0487828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39A62B23">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1．采购项目</w:t>
      </w:r>
    </w:p>
    <w:p w14:paraId="3FA64961">
      <w:pPr>
        <w:snapToGrid w:val="0"/>
        <w:spacing w:line="360" w:lineRule="auto"/>
        <w:ind w:firstLine="480" w:firstLineChars="200"/>
        <w:jc w:val="left"/>
        <w:rPr>
          <w:rFonts w:hint="eastAsia" w:ascii="仿宋" w:hAnsi="仿宋" w:eastAsia="仿宋" w:cstheme="minorEastAsia"/>
          <w:sz w:val="24"/>
          <w:szCs w:val="24"/>
          <w:u w:val="single"/>
          <w:lang w:eastAsia="zh-CN"/>
        </w:rPr>
      </w:pPr>
      <w:r>
        <w:rPr>
          <w:rFonts w:hint="eastAsia" w:ascii="仿宋" w:hAnsi="仿宋" w:eastAsia="仿宋" w:cstheme="minorEastAsia"/>
          <w:sz w:val="24"/>
          <w:szCs w:val="24"/>
        </w:rPr>
        <w:t>联系人姓名：</w:t>
      </w:r>
      <w:r>
        <w:rPr>
          <w:rFonts w:hint="eastAsia" w:ascii="仿宋" w:hAnsi="仿宋" w:eastAsia="仿宋" w:cstheme="minorEastAsia"/>
          <w:sz w:val="24"/>
          <w:szCs w:val="24"/>
          <w:u w:val="none"/>
          <w:lang w:val="en-US" w:eastAsia="zh-CN"/>
        </w:rPr>
        <w:t>杨老师</w:t>
      </w:r>
    </w:p>
    <w:p w14:paraId="3B375338">
      <w:pPr>
        <w:snapToGrid w:val="0"/>
        <w:spacing w:line="360" w:lineRule="auto"/>
        <w:ind w:firstLine="480" w:firstLineChars="200"/>
        <w:jc w:val="left"/>
        <w:rPr>
          <w:rFonts w:hint="eastAsia" w:ascii="仿宋" w:hAnsi="仿宋" w:eastAsia="仿宋" w:cstheme="minorEastAsia"/>
          <w:sz w:val="24"/>
          <w:szCs w:val="24"/>
          <w:u w:val="none"/>
        </w:rPr>
      </w:pPr>
      <w:r>
        <w:rPr>
          <w:rFonts w:hint="eastAsia" w:ascii="仿宋" w:hAnsi="仿宋" w:eastAsia="仿宋" w:cstheme="minorEastAsia"/>
          <w:sz w:val="24"/>
          <w:szCs w:val="24"/>
        </w:rPr>
        <w:t>电 话：</w:t>
      </w:r>
      <w:r>
        <w:rPr>
          <w:rFonts w:hint="eastAsia" w:ascii="仿宋" w:hAnsi="仿宋" w:eastAsia="仿宋" w:cstheme="minorEastAsia"/>
          <w:sz w:val="24"/>
          <w:szCs w:val="24"/>
          <w:lang w:val="en-US" w:eastAsia="zh-CN"/>
        </w:rPr>
        <w:t>22783928</w:t>
      </w:r>
      <w:r>
        <w:rPr>
          <w:rFonts w:hint="eastAsia" w:ascii="仿宋" w:hAnsi="仿宋" w:eastAsia="仿宋" w:cstheme="minorEastAsia"/>
          <w:sz w:val="24"/>
          <w:szCs w:val="24"/>
          <w:u w:val="none"/>
        </w:rPr>
        <w:t xml:space="preserve">    </w:t>
      </w:r>
    </w:p>
    <w:p w14:paraId="77569E6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572EC4D3">
      <w:pPr>
        <w:ind w:firstLine="480" w:firstLineChars="200"/>
        <w:rPr>
          <w:rFonts w:hint="default" w:ascii="仿宋" w:hAnsi="仿宋" w:eastAsia="仿宋" w:cstheme="minorEastAsia"/>
          <w:sz w:val="24"/>
          <w:szCs w:val="24"/>
          <w:lang w:val="en-US" w:eastAsia="zh-CN"/>
        </w:rPr>
      </w:pPr>
      <w:r>
        <w:rPr>
          <w:rFonts w:hint="eastAsia" w:ascii="仿宋" w:hAnsi="仿宋" w:eastAsia="仿宋" w:cstheme="minorEastAsia"/>
          <w:sz w:val="24"/>
          <w:szCs w:val="24"/>
        </w:rPr>
        <w:t>地 址：</w:t>
      </w:r>
      <w:r>
        <w:rPr>
          <w:rFonts w:hint="eastAsia" w:ascii="仿宋" w:hAnsi="仿宋" w:eastAsia="仿宋" w:cstheme="minorEastAsia"/>
          <w:sz w:val="24"/>
          <w:szCs w:val="24"/>
          <w:lang w:val="en-US" w:eastAsia="zh-CN"/>
        </w:rPr>
        <w:t>株洲市石峰区智慧路1号</w:t>
      </w:r>
    </w:p>
    <w:p w14:paraId="22F3A15E">
      <w:pPr>
        <w:pStyle w:val="15"/>
      </w:pPr>
    </w:p>
    <w:p w14:paraId="42402AF4"/>
    <w:p w14:paraId="06CBF053">
      <w:pPr>
        <w:pStyle w:val="15"/>
      </w:pPr>
    </w:p>
    <w:p w14:paraId="0617B9A7"/>
    <w:p w14:paraId="4FFDF357">
      <w:pPr>
        <w:pStyle w:val="15"/>
      </w:pPr>
    </w:p>
    <w:p w14:paraId="5EE97DA2">
      <w:pPr>
        <w:pStyle w:val="15"/>
        <w:ind w:left="0" w:leftChars="0" w:firstLine="0"/>
        <w:rPr>
          <w:szCs w:val="22"/>
        </w:rPr>
      </w:pPr>
    </w:p>
    <w:p w14:paraId="102C28AC"/>
    <w:p w14:paraId="167C6777">
      <w:pPr>
        <w:pStyle w:val="7"/>
        <w:rPr>
          <w:szCs w:val="22"/>
        </w:rPr>
      </w:pPr>
    </w:p>
    <w:p w14:paraId="43A9A7CF"/>
    <w:p w14:paraId="13F8E109">
      <w:pPr>
        <w:pStyle w:val="7"/>
        <w:rPr>
          <w:szCs w:val="22"/>
        </w:rPr>
      </w:pPr>
    </w:p>
    <w:p w14:paraId="5EC8A2E1"/>
    <w:p w14:paraId="34F8B3C7">
      <w:pPr>
        <w:pStyle w:val="7"/>
        <w:rPr>
          <w:szCs w:val="22"/>
        </w:rPr>
      </w:pPr>
    </w:p>
    <w:p w14:paraId="2A3004E7"/>
    <w:p w14:paraId="333CFB95"/>
    <w:p w14:paraId="7B46CF16">
      <w:pPr>
        <w:pStyle w:val="15"/>
      </w:pPr>
    </w:p>
    <w:p w14:paraId="4726678E"/>
    <w:p w14:paraId="5DDB6D3B"/>
    <w:p w14:paraId="2F8CDF42">
      <w:pPr>
        <w:rPr>
          <w:rFonts w:hint="eastAsia"/>
        </w:rPr>
      </w:pPr>
    </w:p>
    <w:p w14:paraId="360ECAAB"/>
    <w:p w14:paraId="611302C1">
      <w:pPr>
        <w:pStyle w:val="15"/>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8292FCB">
      <w:pPr>
        <w:adjustRightInd w:val="0"/>
        <w:snapToGrid w:val="0"/>
        <w:spacing w:line="360" w:lineRule="auto"/>
        <w:ind w:firstLine="480" w:firstLine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1．项目名称：</w:t>
      </w:r>
      <w:r>
        <w:rPr>
          <w:rFonts w:hint="eastAsia" w:ascii="仿宋" w:hAnsi="仿宋" w:eastAsia="仿宋"/>
          <w:sz w:val="24"/>
          <w:szCs w:val="24"/>
          <w:u w:val="none"/>
        </w:rPr>
        <w:t>云龙西校区迎宾大道校门环境改造</w:t>
      </w:r>
      <w:r>
        <w:rPr>
          <w:rFonts w:hint="eastAsia" w:ascii="仿宋" w:hAnsi="仿宋" w:eastAsia="仿宋"/>
          <w:sz w:val="24"/>
          <w:szCs w:val="24"/>
          <w:u w:val="none"/>
          <w:lang w:val="en-US" w:eastAsia="zh-CN"/>
        </w:rPr>
        <w:t>桩基</w:t>
      </w:r>
      <w:r>
        <w:rPr>
          <w:rFonts w:hint="eastAsia" w:ascii="仿宋" w:hAnsi="仿宋" w:eastAsia="仿宋"/>
          <w:sz w:val="24"/>
          <w:szCs w:val="24"/>
          <w:u w:val="none"/>
        </w:rPr>
        <w:t>工程</w:t>
      </w:r>
      <w:r>
        <w:rPr>
          <w:rFonts w:hint="eastAsia" w:ascii="仿宋" w:hAnsi="仿宋" w:eastAsia="仿宋" w:cs="仿宋"/>
          <w:color w:val="333333"/>
          <w:kern w:val="0"/>
          <w:sz w:val="24"/>
          <w:szCs w:val="24"/>
          <w:u w:val="none"/>
        </w:rPr>
        <w:t>项目</w:t>
      </w:r>
    </w:p>
    <w:p w14:paraId="5A3630E4">
      <w:pPr>
        <w:pStyle w:val="40"/>
        <w:adjustRightInd w:val="0"/>
        <w:snapToGrid w:val="0"/>
        <w:spacing w:line="360" w:lineRule="auto"/>
        <w:ind w:firstLine="480"/>
        <w:rPr>
          <w:rFonts w:hint="eastAsia" w:ascii="仿宋" w:hAnsi="仿宋" w:eastAsia="仿宋" w:cs="仿宋"/>
          <w:color w:val="333333"/>
          <w:kern w:val="0"/>
          <w:sz w:val="24"/>
          <w:szCs w:val="24"/>
          <w:u w:val="none"/>
        </w:rPr>
      </w:pPr>
      <w:r>
        <w:rPr>
          <w:rFonts w:hint="eastAsia" w:ascii="仿宋" w:hAnsi="仿宋" w:eastAsia="仿宋" w:cs="仿宋"/>
          <w:color w:val="333333"/>
          <w:kern w:val="0"/>
          <w:sz w:val="24"/>
          <w:szCs w:val="24"/>
        </w:rPr>
        <w:t>2．服务期限：</w:t>
      </w:r>
      <w:r>
        <w:rPr>
          <w:rFonts w:hint="eastAsia" w:ascii="仿宋" w:hAnsi="仿宋" w:eastAsia="仿宋" w:cs="仿宋"/>
          <w:color w:val="auto"/>
          <w:kern w:val="0"/>
          <w:sz w:val="24"/>
          <w:szCs w:val="24"/>
          <w:u w:val="none"/>
          <w:lang w:val="en-US" w:eastAsia="zh-CN"/>
        </w:rPr>
        <w:t>施工工期为日历天15天，</w:t>
      </w:r>
      <w:r>
        <w:rPr>
          <w:rFonts w:hint="eastAsia" w:ascii="仿宋" w:hAnsi="仿宋" w:eastAsia="仿宋" w:cs="仿宋"/>
          <w:color w:val="333333"/>
          <w:kern w:val="0"/>
          <w:sz w:val="24"/>
          <w:szCs w:val="24"/>
          <w:u w:val="none"/>
          <w:lang w:val="en-US" w:eastAsia="zh-CN"/>
        </w:rPr>
        <w:t>具体日期以合同签订为准。</w:t>
      </w:r>
    </w:p>
    <w:p w14:paraId="60F1158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二、服务内容及要求</w:t>
      </w:r>
    </w:p>
    <w:p w14:paraId="03577C77">
      <w:pPr>
        <w:pStyle w:val="40"/>
        <w:spacing w:line="520" w:lineRule="exact"/>
        <w:ind w:firstLine="480"/>
        <w:rPr>
          <w:rFonts w:hint="eastAsia" w:ascii="仿宋" w:hAnsi="仿宋" w:eastAsia="仿宋" w:cs="仿宋"/>
          <w:color w:val="333333"/>
          <w:kern w:val="0"/>
          <w:sz w:val="24"/>
          <w:szCs w:val="24"/>
          <w:u w:val="none"/>
        </w:rPr>
      </w:pPr>
      <w:r>
        <w:rPr>
          <w:rFonts w:hint="eastAsia" w:ascii="仿宋" w:hAnsi="仿宋" w:eastAsia="仿宋"/>
          <w:sz w:val="24"/>
          <w:szCs w:val="24"/>
          <w:u w:val="none"/>
          <w:lang w:val="en-US" w:eastAsia="zh-CN"/>
        </w:rPr>
        <w:t>对云龙西区迎宾大道围墙的基础进行松木桩加固</w:t>
      </w:r>
      <w:r>
        <w:rPr>
          <w:rFonts w:hint="eastAsia" w:ascii="仿宋" w:hAnsi="仿宋" w:eastAsia="仿宋" w:cs="Times New Roman"/>
          <w:kern w:val="2"/>
          <w:sz w:val="24"/>
          <w:szCs w:val="24"/>
          <w:u w:val="none"/>
          <w:lang w:val="en-US" w:eastAsia="zh-CN" w:bidi="ar-SA"/>
        </w:rPr>
        <w:t>；</w:t>
      </w:r>
      <w:r>
        <w:rPr>
          <w:rFonts w:hint="eastAsia" w:ascii="仿宋" w:hAnsi="仿宋" w:eastAsia="仿宋"/>
          <w:sz w:val="24"/>
          <w:szCs w:val="24"/>
        </w:rPr>
        <w:t>具体内容详见采购文件。</w:t>
      </w:r>
    </w:p>
    <w:p w14:paraId="33E3825F">
      <w:pPr>
        <w:adjustRightInd w:val="0"/>
        <w:snapToGrid w:val="0"/>
        <w:spacing w:line="360" w:lineRule="auto"/>
        <w:ind w:firstLine="482" w:firstLineChars="200"/>
        <w:rPr>
          <w:rFonts w:hint="eastAsia" w:ascii="仿宋" w:hAnsi="仿宋" w:eastAsia="仿宋" w:cstheme="minorEastAsia"/>
          <w:b/>
          <w:sz w:val="24"/>
          <w:szCs w:val="24"/>
        </w:rPr>
      </w:pPr>
      <w:r>
        <w:rPr>
          <w:rFonts w:hint="eastAsia" w:ascii="仿宋" w:hAnsi="仿宋" w:eastAsia="仿宋" w:cstheme="minorEastAsia"/>
          <w:b/>
          <w:sz w:val="24"/>
          <w:szCs w:val="24"/>
        </w:rPr>
        <w:t>三、服务质量要求：</w:t>
      </w:r>
    </w:p>
    <w:p w14:paraId="1FE05D1D">
      <w:pPr>
        <w:adjustRightInd w:val="0"/>
        <w:snapToGrid w:val="0"/>
        <w:spacing w:line="360" w:lineRule="auto"/>
        <w:ind w:firstLine="480" w:firstLineChars="200"/>
        <w:rPr>
          <w:rFonts w:hint="eastAsia" w:ascii="仿宋" w:hAnsi="仿宋" w:eastAsia="仿宋" w:cs="仿宋"/>
          <w:bCs/>
          <w:kern w:val="0"/>
          <w:sz w:val="24"/>
        </w:rPr>
      </w:pPr>
      <w:r>
        <w:rPr>
          <w:rFonts w:hint="eastAsia" w:ascii="仿宋" w:hAnsi="仿宋" w:eastAsia="仿宋" w:cs="仿宋"/>
          <w:bCs/>
          <w:kern w:val="0"/>
          <w:sz w:val="24"/>
        </w:rPr>
        <w:t>质量标准：符合《工程施工质量验收规范》要求验收合格</w:t>
      </w:r>
    </w:p>
    <w:p w14:paraId="2CC3DBBE">
      <w:pPr>
        <w:adjustRightInd w:val="0"/>
        <w:snapToGrid w:val="0"/>
        <w:spacing w:line="360" w:lineRule="auto"/>
        <w:ind w:firstLine="480" w:firstLineChars="200"/>
        <w:rPr>
          <w:rFonts w:hint="eastAsia" w:ascii="仿宋" w:hAnsi="仿宋" w:eastAsia="仿宋" w:cstheme="minorEastAsia"/>
          <w:b/>
          <w:sz w:val="24"/>
          <w:szCs w:val="24"/>
        </w:rPr>
      </w:pPr>
      <w:r>
        <w:rPr>
          <w:rFonts w:hint="eastAsia" w:ascii="仿宋" w:hAnsi="仿宋" w:eastAsia="仿宋" w:cs="仿宋"/>
          <w:bCs/>
          <w:kern w:val="0"/>
          <w:sz w:val="24"/>
        </w:rPr>
        <w:t>技术规范:本项目应严格按照现行最新的施工验收规范进行施工。</w:t>
      </w:r>
    </w:p>
    <w:p w14:paraId="5B6D17D6">
      <w:pPr>
        <w:numPr>
          <w:ilvl w:val="0"/>
          <w:numId w:val="1"/>
        </w:numPr>
        <w:adjustRightInd w:val="0"/>
        <w:snapToGrid w:val="0"/>
        <w:spacing w:line="360" w:lineRule="auto"/>
        <w:ind w:firstLine="482" w:firstLineChars="200"/>
        <w:rPr>
          <w:rFonts w:hint="eastAsia" w:ascii="仿宋" w:hAnsi="仿宋" w:eastAsia="仿宋" w:cstheme="minorEastAsia"/>
          <w:b/>
          <w:sz w:val="24"/>
          <w:szCs w:val="24"/>
        </w:rPr>
      </w:pPr>
      <w:r>
        <w:rPr>
          <w:rFonts w:hint="eastAsia" w:ascii="仿宋" w:hAnsi="仿宋" w:eastAsia="仿宋" w:cstheme="minorEastAsia"/>
          <w:b/>
          <w:sz w:val="24"/>
          <w:szCs w:val="24"/>
        </w:rPr>
        <w:t>服务质量检查考核标准和方法：</w:t>
      </w:r>
    </w:p>
    <w:p w14:paraId="51A11A5D">
      <w:pPr>
        <w:numPr>
          <w:ilvl w:val="0"/>
          <w:numId w:val="0"/>
        </w:numPr>
        <w:adjustRightInd w:val="0"/>
        <w:snapToGrid w:val="0"/>
        <w:spacing w:line="360" w:lineRule="auto"/>
        <w:ind w:firstLine="480" w:firstLineChars="200"/>
        <w:rPr>
          <w:rFonts w:hint="eastAsia" w:ascii="仿宋" w:hAnsi="仿宋" w:eastAsia="仿宋" w:cstheme="minorEastAsia"/>
          <w:b/>
          <w:sz w:val="24"/>
          <w:szCs w:val="24"/>
        </w:rPr>
      </w:pPr>
      <w:r>
        <w:rPr>
          <w:rFonts w:hint="eastAsia" w:ascii="仿宋" w:hAnsi="仿宋" w:eastAsia="仿宋" w:cstheme="minorEastAsia"/>
          <w:b w:val="0"/>
          <w:bCs/>
          <w:sz w:val="24"/>
          <w:szCs w:val="24"/>
          <w:lang w:val="en-US" w:eastAsia="zh-CN"/>
        </w:rPr>
        <w:t>质保期1年；</w:t>
      </w:r>
      <w:r>
        <w:rPr>
          <w:rFonts w:hint="eastAsia" w:ascii="仿宋" w:hAnsi="仿宋" w:eastAsia="仿宋" w:cs="仿宋"/>
          <w:bCs/>
          <w:kern w:val="0"/>
          <w:sz w:val="24"/>
        </w:rPr>
        <w:t>质保期内出现任何质量问题（人为破坏或自然灾害等不可抗力除外），由成交单位负责全免费（免全部工时费、材料费、管理费、财务费等等）更换或维修。</w:t>
      </w:r>
    </w:p>
    <w:p w14:paraId="07B64B92">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26FDA341">
      <w:pPr>
        <w:pStyle w:val="40"/>
        <w:spacing w:line="520" w:lineRule="exact"/>
        <w:ind w:firstLine="480"/>
        <w:rPr>
          <w:rFonts w:hint="eastAsia" w:ascii="仿宋" w:hAnsi="仿宋" w:eastAsia="仿宋" w:cs="仿宋"/>
          <w:bCs/>
          <w:kern w:val="0"/>
          <w:sz w:val="24"/>
          <w:szCs w:val="22"/>
          <w:lang w:val="en-US" w:eastAsia="zh-CN" w:bidi="ar-SA"/>
        </w:rPr>
      </w:pPr>
      <w:r>
        <w:rPr>
          <w:rFonts w:hint="eastAsia" w:ascii="仿宋" w:hAnsi="仿宋" w:eastAsia="仿宋" w:cs="仿宋"/>
          <w:bCs/>
          <w:kern w:val="0"/>
          <w:sz w:val="24"/>
          <w:szCs w:val="22"/>
          <w:lang w:val="en-US" w:eastAsia="zh-CN" w:bidi="ar-SA"/>
        </w:rPr>
        <w:t>本项目招标上限价为38899.49元，报价为一次性报价。</w:t>
      </w:r>
    </w:p>
    <w:p w14:paraId="020FD84B">
      <w:pPr>
        <w:numPr>
          <w:ilvl w:val="0"/>
          <w:numId w:val="0"/>
        </w:numPr>
        <w:adjustRightInd w:val="0"/>
        <w:snapToGrid w:val="0"/>
        <w:spacing w:line="360" w:lineRule="auto"/>
        <w:ind w:firstLine="480" w:firstLineChars="200"/>
        <w:rPr>
          <w:rFonts w:hint="eastAsia" w:ascii="仿宋" w:hAnsi="仿宋" w:eastAsia="仿宋" w:cs="仿宋"/>
          <w:bCs/>
          <w:kern w:val="0"/>
          <w:sz w:val="24"/>
        </w:rPr>
      </w:pPr>
      <w:r>
        <w:rPr>
          <w:rFonts w:hint="eastAsia" w:ascii="仿宋" w:hAnsi="仿宋" w:eastAsia="仿宋" w:cs="仿宋"/>
          <w:bCs/>
          <w:kern w:val="0"/>
          <w:sz w:val="24"/>
        </w:rPr>
        <w:t>投标人的投标报价应是完成招标项目范围及工期的全部。投标人可以</w:t>
      </w:r>
      <w:r>
        <w:rPr>
          <w:rFonts w:hint="eastAsia" w:ascii="仿宋" w:hAnsi="仿宋" w:eastAsia="仿宋" w:cs="仿宋"/>
          <w:bCs/>
          <w:kern w:val="0"/>
          <w:sz w:val="24"/>
          <w:lang w:val="en-US" w:eastAsia="zh-CN"/>
        </w:rPr>
        <w:t>根据项目情况自行</w:t>
      </w:r>
      <w:r>
        <w:rPr>
          <w:rFonts w:hint="eastAsia" w:ascii="仿宋" w:hAnsi="仿宋" w:eastAsia="仿宋" w:cs="仿宋"/>
          <w:bCs/>
          <w:kern w:val="0"/>
          <w:sz w:val="24"/>
        </w:rPr>
        <w:t>对项目现场进行勘察，勘查内容主要为：充分了解工地位置、测量实际工程量、现场情况、道路、储存空间、装卸限制、交叉施工及任何其他足以影响承包价的情况，任何因忽视或误解工地情况而导致的索赔或工期延长申请将不被批准。中标人签订合同过程中，不得以不完全了解现场情况为由，提出任何形式的增加费用或索赔要求。投标人踏勘现场所发生的一切费用和责任概由投标人自负。</w:t>
      </w:r>
    </w:p>
    <w:p w14:paraId="0D0CBB2A">
      <w:pPr>
        <w:pStyle w:val="40"/>
        <w:spacing w:line="520" w:lineRule="exact"/>
        <w:ind w:firstLine="480"/>
        <w:rPr>
          <w:rFonts w:hint="eastAsia" w:ascii="仿宋" w:hAnsi="仿宋" w:eastAsia="仿宋" w:cs="仿宋"/>
          <w:color w:val="333333"/>
          <w:kern w:val="0"/>
          <w:sz w:val="24"/>
          <w:szCs w:val="24"/>
        </w:rPr>
      </w:pPr>
    </w:p>
    <w:p w14:paraId="2D3BB43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5A474189">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本合同为</w:t>
      </w:r>
      <w:r>
        <w:rPr>
          <w:rFonts w:hint="eastAsia" w:ascii="仿宋" w:hAnsi="仿宋" w:eastAsia="仿宋" w:cs="仿宋"/>
          <w:color w:val="333333"/>
          <w:kern w:val="0"/>
          <w:sz w:val="24"/>
          <w:szCs w:val="24"/>
          <w:lang w:val="en-US" w:eastAsia="zh-CN"/>
        </w:rPr>
        <w:t>固定综合单价合同</w:t>
      </w:r>
      <w:r>
        <w:rPr>
          <w:rFonts w:hint="eastAsia" w:ascii="仿宋" w:hAnsi="仿宋" w:eastAsia="仿宋" w:cs="仿宋"/>
          <w:color w:val="333333"/>
          <w:kern w:val="0"/>
          <w:sz w:val="24"/>
          <w:szCs w:val="24"/>
        </w:rPr>
        <w:t>，</w:t>
      </w:r>
      <w:r>
        <w:rPr>
          <w:rFonts w:hint="eastAsia" w:ascii="仿宋" w:hAnsi="仿宋" w:eastAsia="仿宋" w:cs="仿宋"/>
          <w:color w:val="333333"/>
          <w:kern w:val="0"/>
          <w:sz w:val="24"/>
          <w:szCs w:val="24"/>
          <w:lang w:val="en-US" w:eastAsia="zh-CN"/>
        </w:rPr>
        <w:t>最终需</w:t>
      </w:r>
      <w:r>
        <w:rPr>
          <w:rFonts w:hint="eastAsia" w:ascii="仿宋" w:hAnsi="仿宋" w:eastAsia="仿宋" w:cs="仿宋"/>
          <w:color w:val="333333"/>
          <w:kern w:val="0"/>
          <w:sz w:val="24"/>
          <w:szCs w:val="24"/>
        </w:rPr>
        <w:t>成交供应商收到成交通知后，应在一周内签订合同。</w:t>
      </w:r>
    </w:p>
    <w:p w14:paraId="05F8263E">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投标人的投标报价应是完成招标项目范围及工期的全部。投标人应对项目现场进行勘察，勘查内容主要为：充分了解工地位置、测量实际工程量、现场情况、道路、储存空间、装卸限制、交叉施工及任何其他足以影响承包价的情况，任何因忽视或误解工地情况而导致的索赔或工期延长申请将不被批准。中标人签订合同过程中，不得以不完全了解现场情况为由，提出任何形式的增加费用或索赔要求。投标人踏勘现场所发生的一切费用和责任概由投标人自负。</w:t>
      </w:r>
    </w:p>
    <w:p w14:paraId="58568365">
      <w:pPr>
        <w:pStyle w:val="40"/>
        <w:spacing w:line="520" w:lineRule="exact"/>
        <w:ind w:firstLine="480"/>
        <w:rPr>
          <w:rFonts w:hint="eastAsia" w:ascii="仿宋" w:hAnsi="仿宋" w:eastAsia="仿宋" w:cs="仿宋"/>
          <w:color w:val="333333"/>
          <w:kern w:val="0"/>
          <w:sz w:val="24"/>
          <w:szCs w:val="24"/>
        </w:rPr>
      </w:pPr>
    </w:p>
    <w:p w14:paraId="60CEE356">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七、付款方式</w:t>
      </w:r>
    </w:p>
    <w:p w14:paraId="192DAFA4">
      <w:pPr>
        <w:spacing w:line="360" w:lineRule="auto"/>
        <w:ind w:firstLine="480" w:firstLineChars="200"/>
        <w:rPr>
          <w:rFonts w:hint="eastAsia" w:ascii="仿宋" w:hAnsi="仿宋" w:eastAsia="仿宋" w:cs="仿宋"/>
          <w:b w:val="0"/>
          <w:bCs/>
          <w:kern w:val="0"/>
          <w:sz w:val="24"/>
        </w:rPr>
      </w:pPr>
      <w:r>
        <w:rPr>
          <w:rFonts w:hint="eastAsia" w:ascii="仿宋" w:hAnsi="仿宋" w:eastAsia="仿宋" w:cs="仿宋"/>
          <w:b w:val="0"/>
          <w:bCs/>
          <w:kern w:val="0"/>
          <w:sz w:val="24"/>
        </w:rPr>
        <w:t>合同签订后，项目完成经甲方验收合格</w:t>
      </w:r>
      <w:r>
        <w:rPr>
          <w:rFonts w:hint="eastAsia" w:ascii="仿宋" w:hAnsi="仿宋" w:eastAsia="仿宋" w:cs="仿宋"/>
          <w:b w:val="0"/>
          <w:bCs/>
          <w:kern w:val="0"/>
          <w:sz w:val="24"/>
          <w:lang w:eastAsia="zh-CN"/>
        </w:rPr>
        <w:t>；</w:t>
      </w:r>
      <w:r>
        <w:rPr>
          <w:rFonts w:hint="eastAsia" w:ascii="仿宋" w:hAnsi="仿宋" w:eastAsia="仿宋" w:cs="仿宋"/>
          <w:b w:val="0"/>
          <w:bCs/>
          <w:kern w:val="0"/>
          <w:sz w:val="24"/>
          <w:lang w:val="en-US" w:eastAsia="zh-CN"/>
        </w:rPr>
        <w:t>乙方提交项目结算资料经学校审计处审计之后，甲方根据结算审定金额办理付款，</w:t>
      </w:r>
      <w:r>
        <w:rPr>
          <w:rFonts w:hint="eastAsia" w:ascii="仿宋" w:hAnsi="仿宋" w:eastAsia="仿宋" w:cs="仿宋"/>
          <w:b w:val="0"/>
          <w:bCs/>
          <w:kern w:val="0"/>
          <w:sz w:val="24"/>
        </w:rPr>
        <w:t>具体以签订的合同为准。</w:t>
      </w:r>
    </w:p>
    <w:p w14:paraId="40F53FED">
      <w:pPr>
        <w:spacing w:line="360" w:lineRule="auto"/>
        <w:ind w:firstLine="480" w:firstLineChars="200"/>
        <w:rPr>
          <w:rFonts w:hint="eastAsia" w:ascii="仿宋" w:hAnsi="仿宋" w:eastAsia="仿宋" w:cs="仿宋"/>
          <w:b w:val="0"/>
          <w:bCs/>
          <w:kern w:val="0"/>
          <w:sz w:val="24"/>
        </w:rPr>
      </w:pPr>
      <w:r>
        <w:rPr>
          <w:rFonts w:hint="eastAsia" w:ascii="仿宋" w:hAnsi="仿宋" w:eastAsia="仿宋" w:cs="仿宋"/>
          <w:b w:val="0"/>
          <w:bCs/>
          <w:kern w:val="0"/>
          <w:sz w:val="24"/>
        </w:rPr>
        <w:t xml:space="preserve">1. 支付方式：湖南铁道职业技术学院（通过国库集中支付） </w:t>
      </w:r>
    </w:p>
    <w:p w14:paraId="4FD7313A">
      <w:pPr>
        <w:spacing w:line="360" w:lineRule="auto"/>
        <w:ind w:firstLine="480" w:firstLineChars="200"/>
        <w:rPr>
          <w:rFonts w:ascii="仿宋" w:hAnsi="仿宋" w:eastAsia="仿宋" w:cs="仿宋"/>
          <w:kern w:val="0"/>
          <w:sz w:val="24"/>
        </w:rPr>
      </w:pPr>
      <w:r>
        <w:rPr>
          <w:rFonts w:hint="eastAsia" w:ascii="仿宋" w:hAnsi="仿宋" w:eastAsia="仿宋" w:cs="仿宋"/>
          <w:b w:val="0"/>
          <w:bCs/>
          <w:kern w:val="0"/>
          <w:sz w:val="24"/>
        </w:rPr>
        <w:t>2. 付款方式：乙方公对公打款支付甲方总价的3%，作为质保金，甲方收到后支付工程总价。保质期满后，如无质量问题，甲方无息退回乙方质保金。</w:t>
      </w:r>
    </w:p>
    <w:p w14:paraId="0191A80D">
      <w:pPr>
        <w:rPr>
          <w:rFonts w:hint="eastAsia"/>
        </w:rPr>
      </w:pPr>
    </w:p>
    <w:p w14:paraId="24B03374">
      <w:pPr>
        <w:rPr>
          <w:rFonts w:hint="eastAsia"/>
        </w:rPr>
      </w:pPr>
    </w:p>
    <w:p w14:paraId="223FEA38">
      <w:pPr>
        <w:pStyle w:val="15"/>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2EF6FFB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3177D42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14:paraId="25A0430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74E22D22">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62FFDF9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3F3E0DE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14:paraId="26FD6BFF">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6842793B">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3.4评审时，询比小组各成员应当独立对每个供应商的响应文件进行评价、评分，然后汇总每个供应商项评分因素的得分。</w:t>
      </w:r>
    </w:p>
    <w:p w14:paraId="2A57729E">
      <w:pPr>
        <w:pStyle w:val="15"/>
        <w:ind w:left="0" w:leftChars="0" w:firstLine="0"/>
      </w:pPr>
    </w:p>
    <w:p w14:paraId="056FE710">
      <w:pPr>
        <w:pStyle w:val="15"/>
        <w:spacing w:before="0" w:beforeAutospacing="0" w:after="0" w:line="240" w:lineRule="atLeast"/>
        <w:ind w:left="0" w:leftChars="0" w:firstLine="0"/>
        <w:rPr>
          <w:rFonts w:hint="eastAsia"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17"/>
        <w:tblW w:w="9527"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28" w:type="dxa"/>
          <w:left w:w="108" w:type="dxa"/>
          <w:bottom w:w="28" w:type="dxa"/>
          <w:right w:w="108" w:type="dxa"/>
        </w:tblCellMar>
      </w:tblPr>
      <w:tblGrid>
        <w:gridCol w:w="456"/>
        <w:gridCol w:w="813"/>
        <w:gridCol w:w="704"/>
        <w:gridCol w:w="704"/>
        <w:gridCol w:w="6850"/>
      </w:tblGrid>
      <w:tr w14:paraId="608006F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tblHeader/>
          <w:jc w:val="center"/>
        </w:trPr>
        <w:tc>
          <w:tcPr>
            <w:tcW w:w="456" w:type="dxa"/>
            <w:tcBorders>
              <w:top w:val="single" w:color="auto" w:sz="4" w:space="0"/>
              <w:left w:val="single" w:color="auto" w:sz="4" w:space="0"/>
            </w:tcBorders>
            <w:vAlign w:val="center"/>
          </w:tcPr>
          <w:p w14:paraId="3FB5E375">
            <w:pPr>
              <w:widowControl w:val="0"/>
              <w:adjustRightInd w:val="0"/>
              <w:snapToGrid w:val="0"/>
              <w:spacing w:line="276" w:lineRule="auto"/>
              <w:jc w:val="center"/>
              <w:rPr>
                <w:rFonts w:hint="eastAsia" w:ascii="黑体" w:hAnsi="黑体" w:eastAsia="黑体" w:cs="Times New Roman"/>
                <w:bCs/>
                <w:kern w:val="0"/>
                <w:sz w:val="24"/>
                <w:szCs w:val="24"/>
                <w14:ligatures w14:val="none"/>
              </w:rPr>
            </w:pPr>
            <w:r>
              <w:rPr>
                <w:rFonts w:hint="eastAsia" w:ascii="黑体" w:hAnsi="黑体" w:eastAsia="黑体" w:cs="Times New Roman"/>
                <w:bCs/>
                <w:kern w:val="0"/>
                <w:sz w:val="24"/>
                <w:szCs w:val="24"/>
                <w14:ligatures w14:val="none"/>
              </w:rPr>
              <w:t>序号</w:t>
            </w:r>
          </w:p>
        </w:tc>
        <w:tc>
          <w:tcPr>
            <w:tcW w:w="813" w:type="dxa"/>
            <w:tcBorders>
              <w:top w:val="single" w:color="auto" w:sz="4" w:space="0"/>
            </w:tcBorders>
            <w:vAlign w:val="center"/>
          </w:tcPr>
          <w:p w14:paraId="0E912CC7">
            <w:pPr>
              <w:widowControl w:val="0"/>
              <w:adjustRightInd w:val="0"/>
              <w:snapToGrid w:val="0"/>
              <w:spacing w:line="276" w:lineRule="auto"/>
              <w:jc w:val="center"/>
              <w:rPr>
                <w:rFonts w:hint="eastAsia" w:ascii="黑体" w:hAnsi="黑体" w:eastAsia="黑体" w:cs="Times New Roman"/>
                <w:bCs/>
                <w:kern w:val="0"/>
                <w:sz w:val="24"/>
                <w:szCs w:val="24"/>
                <w14:ligatures w14:val="none"/>
              </w:rPr>
            </w:pPr>
            <w:r>
              <w:rPr>
                <w:rFonts w:hint="eastAsia" w:ascii="黑体" w:hAnsi="黑体" w:eastAsia="黑体" w:cs="Times New Roman"/>
                <w:bCs/>
                <w:kern w:val="0"/>
                <w:sz w:val="24"/>
                <w:szCs w:val="24"/>
                <w14:ligatures w14:val="none"/>
              </w:rPr>
              <w:t>评审因素</w:t>
            </w:r>
          </w:p>
        </w:tc>
        <w:tc>
          <w:tcPr>
            <w:tcW w:w="704" w:type="dxa"/>
            <w:tcBorders>
              <w:top w:val="single" w:color="auto" w:sz="4" w:space="0"/>
            </w:tcBorders>
            <w:vAlign w:val="center"/>
          </w:tcPr>
          <w:p w14:paraId="53289C6E">
            <w:pPr>
              <w:widowControl w:val="0"/>
              <w:adjustRightInd w:val="0"/>
              <w:snapToGrid w:val="0"/>
              <w:spacing w:line="276" w:lineRule="auto"/>
              <w:jc w:val="center"/>
              <w:rPr>
                <w:rFonts w:hint="eastAsia" w:ascii="黑体" w:hAnsi="黑体" w:eastAsia="黑体" w:cs="Times New Roman"/>
                <w:bCs/>
                <w:kern w:val="0"/>
                <w:sz w:val="24"/>
                <w:szCs w:val="20"/>
                <w14:ligatures w14:val="none"/>
              </w:rPr>
            </w:pPr>
            <w:r>
              <w:rPr>
                <w:rFonts w:hint="eastAsia" w:ascii="黑体" w:hAnsi="黑体" w:eastAsia="黑体" w:cs="Times New Roman"/>
                <w:bCs/>
                <w:kern w:val="0"/>
                <w:sz w:val="24"/>
                <w:szCs w:val="20"/>
                <w14:ligatures w14:val="none"/>
              </w:rPr>
              <w:t>评分因素</w:t>
            </w:r>
          </w:p>
        </w:tc>
        <w:tc>
          <w:tcPr>
            <w:tcW w:w="704" w:type="dxa"/>
            <w:tcBorders>
              <w:top w:val="single" w:color="auto" w:sz="4" w:space="0"/>
            </w:tcBorders>
            <w:vAlign w:val="center"/>
          </w:tcPr>
          <w:p w14:paraId="3FD14CD8">
            <w:pPr>
              <w:widowControl w:val="0"/>
              <w:adjustRightInd w:val="0"/>
              <w:snapToGrid w:val="0"/>
              <w:spacing w:line="276" w:lineRule="auto"/>
              <w:jc w:val="center"/>
              <w:rPr>
                <w:rFonts w:hint="eastAsia" w:ascii="黑体" w:hAnsi="黑体" w:eastAsia="黑体" w:cs="Times New Roman"/>
                <w:bCs/>
                <w:kern w:val="0"/>
                <w:sz w:val="24"/>
                <w:szCs w:val="24"/>
                <w14:ligatures w14:val="none"/>
              </w:rPr>
            </w:pPr>
            <w:r>
              <w:rPr>
                <w:rFonts w:hint="eastAsia" w:ascii="黑体" w:hAnsi="黑体" w:eastAsia="黑体" w:cs="Times New Roman"/>
                <w:bCs/>
                <w:kern w:val="0"/>
                <w:sz w:val="24"/>
                <w:szCs w:val="24"/>
                <w14:ligatures w14:val="none"/>
              </w:rPr>
              <w:t>分值</w:t>
            </w:r>
          </w:p>
        </w:tc>
        <w:tc>
          <w:tcPr>
            <w:tcW w:w="6850" w:type="dxa"/>
            <w:tcBorders>
              <w:top w:val="single" w:color="auto" w:sz="4" w:space="0"/>
              <w:right w:val="single" w:color="auto" w:sz="4" w:space="0"/>
            </w:tcBorders>
            <w:vAlign w:val="center"/>
          </w:tcPr>
          <w:p w14:paraId="46E875D5">
            <w:pPr>
              <w:widowControl w:val="0"/>
              <w:adjustRightInd w:val="0"/>
              <w:snapToGrid w:val="0"/>
              <w:spacing w:line="276" w:lineRule="auto"/>
              <w:jc w:val="center"/>
              <w:rPr>
                <w:rFonts w:hint="eastAsia" w:ascii="黑体" w:hAnsi="黑体" w:eastAsia="黑体" w:cs="Times New Roman"/>
                <w:bCs/>
                <w:kern w:val="0"/>
                <w:sz w:val="24"/>
                <w:szCs w:val="24"/>
                <w14:ligatures w14:val="none"/>
              </w:rPr>
            </w:pPr>
            <w:r>
              <w:rPr>
                <w:rFonts w:hint="eastAsia" w:ascii="黑体" w:hAnsi="黑体" w:eastAsia="黑体" w:cs="Times New Roman"/>
                <w:bCs/>
                <w:kern w:val="0"/>
                <w:sz w:val="24"/>
                <w:szCs w:val="24"/>
                <w14:ligatures w14:val="none"/>
              </w:rPr>
              <w:t>评分标准</w:t>
            </w:r>
          </w:p>
        </w:tc>
      </w:tr>
      <w:tr w14:paraId="2C946A6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456" w:type="dxa"/>
            <w:tcBorders>
              <w:left w:val="single" w:color="auto" w:sz="4" w:space="0"/>
            </w:tcBorders>
            <w:vAlign w:val="center"/>
          </w:tcPr>
          <w:p w14:paraId="54F0E9E0">
            <w:pPr>
              <w:jc w:val="center"/>
              <w:rPr>
                <w:rFonts w:hint="eastAsia" w:ascii="仿宋" w:hAnsi="仿宋" w:eastAsia="仿宋" w:cs="Times New Roman"/>
                <w:kern w:val="0"/>
                <w:sz w:val="24"/>
                <w:szCs w:val="24"/>
              </w:rPr>
            </w:pPr>
            <w:r>
              <w:rPr>
                <w:rFonts w:hint="eastAsia" w:ascii="仿宋" w:hAnsi="仿宋" w:eastAsia="仿宋" w:cs="Times New Roman"/>
                <w:kern w:val="0"/>
                <w:sz w:val="24"/>
                <w:szCs w:val="24"/>
              </w:rPr>
              <w:t>1</w:t>
            </w:r>
          </w:p>
        </w:tc>
        <w:tc>
          <w:tcPr>
            <w:tcW w:w="813" w:type="dxa"/>
            <w:vAlign w:val="center"/>
          </w:tcPr>
          <w:p w14:paraId="03024C5B">
            <w:pPr>
              <w:jc w:val="center"/>
              <w:rPr>
                <w:rFonts w:hint="eastAsia" w:ascii="仿宋" w:hAnsi="仿宋" w:eastAsia="仿宋" w:cs="Times New Roman"/>
                <w:kern w:val="0"/>
                <w:sz w:val="24"/>
                <w:szCs w:val="24"/>
              </w:rPr>
            </w:pPr>
            <w:r>
              <w:rPr>
                <w:rFonts w:hint="eastAsia" w:ascii="仿宋" w:hAnsi="仿宋" w:eastAsia="仿宋" w:cs="Times New Roman"/>
                <w:kern w:val="0"/>
                <w:sz w:val="24"/>
                <w:szCs w:val="24"/>
              </w:rPr>
              <w:t>报价</w:t>
            </w:r>
          </w:p>
          <w:p w14:paraId="2D1BDE98">
            <w:pPr>
              <w:jc w:val="center"/>
              <w:rPr>
                <w:rFonts w:hint="eastAsia" w:ascii="仿宋" w:hAnsi="仿宋" w:eastAsia="仿宋" w:cs="Times New Roman"/>
                <w:kern w:val="0"/>
                <w:sz w:val="24"/>
                <w:szCs w:val="24"/>
              </w:rPr>
            </w:pPr>
            <w:r>
              <w:rPr>
                <w:rFonts w:hint="eastAsia" w:ascii="仿宋" w:hAnsi="仿宋" w:eastAsia="仿宋" w:cs="Times New Roman"/>
                <w:kern w:val="0"/>
                <w:sz w:val="24"/>
                <w:szCs w:val="24"/>
                <w:lang w:val="en-US" w:eastAsia="zh-CN"/>
              </w:rPr>
              <w:t>40</w:t>
            </w:r>
            <w:r>
              <w:rPr>
                <w:rFonts w:hint="eastAsia" w:ascii="仿宋" w:hAnsi="仿宋" w:eastAsia="仿宋" w:cs="Times New Roman"/>
                <w:kern w:val="0"/>
                <w:sz w:val="24"/>
                <w:szCs w:val="24"/>
              </w:rPr>
              <w:t>分</w:t>
            </w:r>
          </w:p>
        </w:tc>
        <w:tc>
          <w:tcPr>
            <w:tcW w:w="704" w:type="dxa"/>
            <w:vAlign w:val="center"/>
          </w:tcPr>
          <w:p w14:paraId="5121ACAA">
            <w:pPr>
              <w:jc w:val="center"/>
              <w:rPr>
                <w:rFonts w:hint="eastAsia" w:ascii="仿宋" w:hAnsi="仿宋" w:eastAsia="仿宋" w:cs="Times New Roman"/>
                <w:kern w:val="0"/>
                <w:sz w:val="24"/>
                <w:szCs w:val="24"/>
              </w:rPr>
            </w:pPr>
            <w:r>
              <w:rPr>
                <w:rFonts w:hint="eastAsia" w:ascii="仿宋" w:hAnsi="仿宋" w:eastAsia="仿宋" w:cs="Times New Roman"/>
                <w:kern w:val="0"/>
                <w:sz w:val="24"/>
                <w:szCs w:val="24"/>
              </w:rPr>
              <w:t>报价</w:t>
            </w:r>
          </w:p>
        </w:tc>
        <w:tc>
          <w:tcPr>
            <w:tcW w:w="704" w:type="dxa"/>
            <w:vAlign w:val="center"/>
          </w:tcPr>
          <w:p w14:paraId="35526F8D">
            <w:pPr>
              <w:jc w:val="center"/>
              <w:rPr>
                <w:rFonts w:hint="eastAsia" w:ascii="仿宋" w:hAnsi="仿宋" w:eastAsia="仿宋" w:cs="Times New Roman"/>
                <w:kern w:val="0"/>
                <w:sz w:val="24"/>
                <w:szCs w:val="24"/>
              </w:rPr>
            </w:pPr>
            <w:r>
              <w:rPr>
                <w:rFonts w:hint="eastAsia" w:ascii="仿宋" w:hAnsi="仿宋" w:eastAsia="仿宋" w:cs="Times New Roman"/>
                <w:kern w:val="0"/>
                <w:sz w:val="24"/>
                <w:szCs w:val="24"/>
                <w:lang w:val="en-US" w:eastAsia="zh-CN"/>
              </w:rPr>
              <w:t>4</w:t>
            </w:r>
            <w:r>
              <w:rPr>
                <w:rFonts w:hint="eastAsia" w:ascii="仿宋" w:hAnsi="仿宋" w:eastAsia="仿宋" w:cs="Times New Roman"/>
                <w:kern w:val="0"/>
                <w:sz w:val="24"/>
                <w:szCs w:val="24"/>
              </w:rPr>
              <w:t>0</w:t>
            </w:r>
          </w:p>
        </w:tc>
        <w:tc>
          <w:tcPr>
            <w:tcW w:w="6850" w:type="dxa"/>
            <w:tcBorders>
              <w:right w:val="single" w:color="auto" w:sz="4" w:space="0"/>
            </w:tcBorders>
            <w:vAlign w:val="center"/>
          </w:tcPr>
          <w:p w14:paraId="2296E660">
            <w:pPr>
              <w:widowControl w:val="0"/>
              <w:adjustRightInd w:val="0"/>
              <w:snapToGrid w:val="0"/>
              <w:spacing w:line="276" w:lineRule="auto"/>
              <w:jc w:val="both"/>
              <w:rPr>
                <w:rFonts w:hint="eastAsia" w:ascii="宋体" w:hAnsi="宋体" w:eastAsia="宋体" w:cs="Times New Roman"/>
                <w:b/>
                <w:kern w:val="0"/>
                <w:sz w:val="24"/>
                <w:szCs w:val="24"/>
                <w14:ligatures w14:val="none"/>
              </w:rPr>
            </w:pPr>
            <w:r>
              <w:rPr>
                <w:rFonts w:hint="eastAsia" w:ascii="仿宋" w:hAnsi="仿宋" w:eastAsia="仿宋" w:cs="宋体"/>
                <w:sz w:val="24"/>
                <w:szCs w:val="24"/>
              </w:rPr>
              <w:t>以经评委会一致认定满足招标文件要求且投标价格最低的投标报价为评标基准价，其价格得分计</w:t>
            </w:r>
            <w:r>
              <w:rPr>
                <w:rFonts w:hint="eastAsia" w:ascii="仿宋" w:hAnsi="仿宋" w:eastAsia="仿宋" w:cs="宋体"/>
                <w:sz w:val="24"/>
                <w:szCs w:val="24"/>
                <w:lang w:val="en-US" w:eastAsia="zh-CN"/>
              </w:rPr>
              <w:t>40</w:t>
            </w:r>
            <w:r>
              <w:rPr>
                <w:rFonts w:hint="eastAsia" w:ascii="仿宋" w:hAnsi="仿宋" w:eastAsia="仿宋" w:cs="宋体"/>
                <w:sz w:val="24"/>
                <w:szCs w:val="24"/>
              </w:rPr>
              <w:t>分。其他投标人的价格得分统一按公式计算：报价得分=（评标基准价/投标报价）×价格权重。</w:t>
            </w:r>
          </w:p>
        </w:tc>
      </w:tr>
      <w:tr w14:paraId="1D4E86B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456" w:type="dxa"/>
            <w:vMerge w:val="restart"/>
            <w:tcBorders>
              <w:left w:val="single" w:color="auto" w:sz="4" w:space="0"/>
            </w:tcBorders>
            <w:vAlign w:val="center"/>
          </w:tcPr>
          <w:p w14:paraId="1DB9AA35">
            <w:pPr>
              <w:jc w:val="center"/>
              <w:rPr>
                <w:rFonts w:hint="eastAsia" w:ascii="仿宋" w:hAnsi="仿宋" w:eastAsia="仿宋" w:cs="Times New Roman"/>
                <w:kern w:val="0"/>
                <w:sz w:val="24"/>
                <w:szCs w:val="24"/>
                <w:lang w:eastAsia="zh-CN"/>
              </w:rPr>
            </w:pPr>
            <w:r>
              <w:rPr>
                <w:rFonts w:hint="eastAsia" w:ascii="仿宋" w:hAnsi="仿宋" w:eastAsia="仿宋" w:cs="Times New Roman"/>
                <w:kern w:val="0"/>
                <w:sz w:val="24"/>
                <w:szCs w:val="24"/>
              </w:rPr>
              <w:t>2</w:t>
            </w:r>
          </w:p>
        </w:tc>
        <w:tc>
          <w:tcPr>
            <w:tcW w:w="813" w:type="dxa"/>
            <w:vMerge w:val="restart"/>
            <w:vAlign w:val="center"/>
          </w:tcPr>
          <w:p w14:paraId="15C09FC6">
            <w:pPr>
              <w:jc w:val="center"/>
              <w:rPr>
                <w:rFonts w:hint="eastAsia" w:ascii="仿宋" w:hAnsi="仿宋" w:eastAsia="仿宋" w:cs="Times New Roman"/>
                <w:kern w:val="0"/>
                <w:sz w:val="24"/>
                <w:szCs w:val="24"/>
              </w:rPr>
            </w:pPr>
            <w:r>
              <w:rPr>
                <w:rFonts w:hint="eastAsia" w:ascii="仿宋" w:hAnsi="仿宋" w:eastAsia="仿宋" w:cs="Times New Roman"/>
                <w:kern w:val="0"/>
                <w:sz w:val="24"/>
                <w:szCs w:val="24"/>
              </w:rPr>
              <w:t>技术部分</w:t>
            </w:r>
          </w:p>
          <w:p w14:paraId="55D46DB2">
            <w:pPr>
              <w:jc w:val="center"/>
              <w:rPr>
                <w:rFonts w:hint="eastAsia" w:ascii="仿宋" w:hAnsi="仿宋" w:eastAsia="仿宋" w:cs="Times New Roman"/>
                <w:kern w:val="0"/>
                <w:sz w:val="24"/>
                <w:szCs w:val="24"/>
              </w:rPr>
            </w:pPr>
            <w:r>
              <w:rPr>
                <w:rFonts w:hint="eastAsia" w:ascii="仿宋" w:hAnsi="仿宋" w:eastAsia="仿宋" w:cs="Times New Roman"/>
                <w:kern w:val="0"/>
                <w:sz w:val="24"/>
                <w:szCs w:val="24"/>
                <w:lang w:val="en-US" w:eastAsia="zh-CN"/>
              </w:rPr>
              <w:t>50</w:t>
            </w:r>
            <w:r>
              <w:rPr>
                <w:rFonts w:hint="eastAsia" w:ascii="仿宋" w:hAnsi="仿宋" w:eastAsia="仿宋" w:cs="Times New Roman"/>
                <w:kern w:val="0"/>
                <w:sz w:val="24"/>
                <w:szCs w:val="24"/>
              </w:rPr>
              <w:t>分</w:t>
            </w:r>
          </w:p>
        </w:tc>
        <w:tc>
          <w:tcPr>
            <w:tcW w:w="704" w:type="dxa"/>
            <w:vAlign w:val="center"/>
          </w:tcPr>
          <w:p w14:paraId="5909F7C0">
            <w:pPr>
              <w:jc w:val="center"/>
              <w:rPr>
                <w:rFonts w:hint="eastAsia" w:ascii="仿宋" w:hAnsi="仿宋" w:eastAsia="仿宋" w:cs="Times New Roman"/>
                <w:kern w:val="0"/>
                <w:sz w:val="24"/>
                <w:szCs w:val="24"/>
              </w:rPr>
            </w:pPr>
            <w:r>
              <w:rPr>
                <w:rFonts w:hint="eastAsia" w:ascii="仿宋" w:hAnsi="仿宋" w:eastAsia="仿宋" w:cs="Times New Roman"/>
                <w:kern w:val="0"/>
                <w:sz w:val="24"/>
                <w:szCs w:val="24"/>
                <w:lang w:val="en-US" w:eastAsia="zh-CN"/>
              </w:rPr>
              <w:t>施工</w:t>
            </w:r>
            <w:r>
              <w:rPr>
                <w:rFonts w:hint="eastAsia" w:ascii="仿宋" w:hAnsi="仿宋" w:eastAsia="仿宋" w:cs="Times New Roman"/>
                <w:kern w:val="0"/>
                <w:sz w:val="24"/>
                <w:szCs w:val="24"/>
              </w:rPr>
              <w:t>方案</w:t>
            </w:r>
          </w:p>
        </w:tc>
        <w:tc>
          <w:tcPr>
            <w:tcW w:w="704" w:type="dxa"/>
            <w:vAlign w:val="center"/>
          </w:tcPr>
          <w:p w14:paraId="6B248703">
            <w:pPr>
              <w:jc w:val="center"/>
              <w:rPr>
                <w:rFonts w:hint="default" w:ascii="仿宋" w:hAnsi="仿宋" w:eastAsia="仿宋" w:cs="Times New Roman"/>
                <w:kern w:val="0"/>
                <w:sz w:val="24"/>
                <w:szCs w:val="24"/>
                <w:lang w:val="en-US" w:eastAsia="zh-CN"/>
              </w:rPr>
            </w:pPr>
            <w:r>
              <w:rPr>
                <w:rFonts w:hint="eastAsia" w:ascii="仿宋" w:hAnsi="仿宋" w:eastAsia="仿宋" w:cs="Times New Roman"/>
                <w:kern w:val="0"/>
                <w:sz w:val="24"/>
                <w:szCs w:val="24"/>
                <w:lang w:val="en-US" w:eastAsia="zh-CN"/>
              </w:rPr>
              <w:t>3</w:t>
            </w:r>
            <w:r>
              <w:rPr>
                <w:rFonts w:hint="eastAsia" w:ascii="仿宋" w:hAnsi="仿宋" w:eastAsia="仿宋" w:cs="Times New Roman"/>
                <w:kern w:val="0"/>
                <w:sz w:val="24"/>
                <w:szCs w:val="24"/>
                <w:lang w:val="en-US" w:eastAsia="zh-CN"/>
              </w:rPr>
              <w:t>0</w:t>
            </w:r>
          </w:p>
        </w:tc>
        <w:tc>
          <w:tcPr>
            <w:tcW w:w="6850" w:type="dxa"/>
            <w:tcBorders>
              <w:right w:val="single" w:color="auto" w:sz="4" w:space="0"/>
            </w:tcBorders>
            <w:vAlign w:val="center"/>
          </w:tcPr>
          <w:p w14:paraId="196D2E4C">
            <w:pPr>
              <w:widowControl w:val="0"/>
              <w:adjustRightInd w:val="0"/>
              <w:snapToGrid w:val="0"/>
              <w:spacing w:line="276" w:lineRule="auto"/>
              <w:jc w:val="both"/>
              <w:rPr>
                <w:rFonts w:hint="eastAsia" w:ascii="仿宋" w:hAnsi="仿宋" w:eastAsia="仿宋" w:cs="宋体"/>
                <w:sz w:val="24"/>
                <w:szCs w:val="24"/>
                <w:lang w:eastAsia="zh-CN"/>
              </w:rPr>
            </w:pPr>
            <w:r>
              <w:rPr>
                <w:rFonts w:hint="eastAsia" w:ascii="仿宋" w:hAnsi="仿宋" w:eastAsia="仿宋" w:cs="宋体"/>
                <w:sz w:val="24"/>
                <w:szCs w:val="24"/>
              </w:rPr>
              <w:t>根据投标单位对本项目制定的施工方案及技术措施内容包括:①施工方法</w:t>
            </w:r>
            <w:r>
              <w:rPr>
                <w:rFonts w:hint="eastAsia" w:ascii="仿宋" w:hAnsi="仿宋" w:eastAsia="仿宋" w:cs="宋体"/>
                <w:sz w:val="24"/>
                <w:szCs w:val="24"/>
                <w:lang w:eastAsia="zh-CN"/>
              </w:rPr>
              <w:t>；</w:t>
            </w:r>
            <w:r>
              <w:rPr>
                <w:rFonts w:hint="eastAsia" w:ascii="仿宋" w:hAnsi="仿宋" w:eastAsia="仿宋" w:cs="宋体"/>
                <w:sz w:val="24"/>
                <w:szCs w:val="24"/>
              </w:rPr>
              <w:t>②施工组织结构</w:t>
            </w:r>
            <w:r>
              <w:rPr>
                <w:rFonts w:hint="eastAsia" w:ascii="仿宋" w:hAnsi="仿宋" w:eastAsia="仿宋" w:cs="宋体"/>
                <w:sz w:val="24"/>
                <w:szCs w:val="24"/>
                <w:lang w:eastAsia="zh-CN"/>
              </w:rPr>
              <w:t>；</w:t>
            </w:r>
            <w:r>
              <w:rPr>
                <w:rFonts w:hint="eastAsia" w:ascii="仿宋" w:hAnsi="仿宋" w:eastAsia="仿宋" w:cs="宋体"/>
                <w:sz w:val="24"/>
                <w:szCs w:val="24"/>
              </w:rPr>
              <w:t>③施工部署</w:t>
            </w: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④</w:t>
            </w:r>
            <w:r>
              <w:rPr>
                <w:rFonts w:hint="eastAsia" w:ascii="仿宋" w:hAnsi="仿宋" w:eastAsia="仿宋" w:cs="宋体"/>
                <w:sz w:val="24"/>
                <w:szCs w:val="24"/>
              </w:rPr>
              <w:t>施工平面布置</w:t>
            </w:r>
            <w:r>
              <w:rPr>
                <w:rFonts w:hint="eastAsia" w:ascii="仿宋" w:hAnsi="仿宋" w:eastAsia="仿宋" w:cs="宋体"/>
                <w:sz w:val="24"/>
                <w:szCs w:val="24"/>
                <w:lang w:eastAsia="zh-CN"/>
              </w:rPr>
              <w:t>；⑤</w:t>
            </w:r>
            <w:r>
              <w:rPr>
                <w:rFonts w:hint="eastAsia" w:ascii="仿宋" w:hAnsi="仿宋" w:eastAsia="仿宋" w:cs="宋体"/>
                <w:sz w:val="24"/>
                <w:szCs w:val="24"/>
              </w:rPr>
              <w:t>应急处</w:t>
            </w:r>
            <w:r>
              <w:rPr>
                <w:rFonts w:hint="eastAsia" w:ascii="仿宋" w:hAnsi="仿宋" w:eastAsia="仿宋" w:cs="宋体"/>
                <w:sz w:val="24"/>
                <w:szCs w:val="24"/>
                <w:lang w:eastAsia="zh-CN"/>
              </w:rPr>
              <w:t>理</w:t>
            </w:r>
            <w:r>
              <w:rPr>
                <w:rFonts w:hint="eastAsia" w:ascii="仿宋" w:hAnsi="仿宋" w:eastAsia="仿宋" w:cs="宋体"/>
                <w:sz w:val="24"/>
                <w:szCs w:val="24"/>
              </w:rPr>
              <w:t>等内容进行评价</w:t>
            </w:r>
            <w:r>
              <w:rPr>
                <w:rFonts w:hint="eastAsia" w:ascii="仿宋" w:hAnsi="仿宋" w:eastAsia="仿宋" w:cs="宋体"/>
                <w:sz w:val="24"/>
                <w:szCs w:val="24"/>
                <w:lang w:eastAsia="zh-CN"/>
              </w:rPr>
              <w:t>。</w:t>
            </w:r>
          </w:p>
          <w:p w14:paraId="79C93796">
            <w:pPr>
              <w:widowControl w:val="0"/>
              <w:adjustRightInd w:val="0"/>
              <w:snapToGrid w:val="0"/>
              <w:spacing w:line="276" w:lineRule="auto"/>
              <w:jc w:val="both"/>
              <w:rPr>
                <w:rFonts w:hint="eastAsia" w:ascii="仿宋" w:hAnsi="仿宋" w:eastAsia="仿宋" w:cs="宋体"/>
                <w:sz w:val="24"/>
                <w:szCs w:val="24"/>
              </w:rPr>
            </w:pPr>
            <w:r>
              <w:rPr>
                <w:rFonts w:hint="eastAsia" w:ascii="仿宋" w:hAnsi="仿宋" w:eastAsia="仿宋" w:cs="宋体"/>
                <w:sz w:val="24"/>
                <w:szCs w:val="24"/>
              </w:rPr>
              <w:t>施工方</w:t>
            </w:r>
            <w:r>
              <w:rPr>
                <w:rFonts w:hint="eastAsia" w:ascii="仿宋" w:hAnsi="仿宋" w:eastAsia="仿宋" w:cs="宋体"/>
                <w:sz w:val="24"/>
                <w:szCs w:val="24"/>
                <w:lang w:eastAsia="zh-CN"/>
              </w:rPr>
              <w:t>案</w:t>
            </w:r>
            <w:r>
              <w:rPr>
                <w:rFonts w:hint="eastAsia" w:ascii="仿宋" w:hAnsi="仿宋" w:eastAsia="仿宋" w:cs="宋体"/>
                <w:sz w:val="24"/>
                <w:szCs w:val="24"/>
              </w:rPr>
              <w:t>思路清晰、内容完整、先进可靠并具有针对性和切合采购人实际需求的计</w:t>
            </w:r>
            <w:r>
              <w:rPr>
                <w:rFonts w:hint="eastAsia" w:ascii="仿宋" w:hAnsi="仿宋" w:eastAsia="仿宋" w:cs="宋体"/>
                <w:sz w:val="24"/>
                <w:szCs w:val="24"/>
                <w:lang w:val="en-US" w:eastAsia="zh-CN"/>
              </w:rPr>
              <w:t>30</w:t>
            </w:r>
            <w:r>
              <w:rPr>
                <w:rFonts w:hint="eastAsia" w:ascii="仿宋" w:hAnsi="仿宋" w:eastAsia="仿宋" w:cs="宋体"/>
                <w:sz w:val="24"/>
                <w:szCs w:val="24"/>
              </w:rPr>
              <w:t>分</w:t>
            </w:r>
            <w:r>
              <w:rPr>
                <w:rFonts w:hint="eastAsia" w:ascii="仿宋" w:hAnsi="仿宋" w:eastAsia="仿宋" w:cs="宋体"/>
                <w:sz w:val="24"/>
                <w:szCs w:val="24"/>
                <w:lang w:eastAsia="zh-CN"/>
              </w:rPr>
              <w:t>；</w:t>
            </w:r>
            <w:r>
              <w:rPr>
                <w:rFonts w:hint="eastAsia" w:ascii="仿宋" w:hAnsi="仿宋" w:eastAsia="仿宋" w:cs="宋体"/>
                <w:sz w:val="24"/>
                <w:szCs w:val="24"/>
              </w:rPr>
              <w:t xml:space="preserve">施工方案阐述不清或不满足、不合理或无任何实际性描述或缺项的每处扣 </w:t>
            </w:r>
            <w:r>
              <w:rPr>
                <w:rFonts w:hint="eastAsia" w:ascii="仿宋" w:hAnsi="仿宋" w:eastAsia="仿宋" w:cs="宋体"/>
                <w:sz w:val="24"/>
                <w:szCs w:val="24"/>
                <w:lang w:val="en-US" w:eastAsia="zh-CN"/>
              </w:rPr>
              <w:t>6</w:t>
            </w:r>
            <w:r>
              <w:rPr>
                <w:rFonts w:hint="eastAsia" w:ascii="仿宋" w:hAnsi="仿宋" w:eastAsia="仿宋" w:cs="宋体"/>
                <w:sz w:val="24"/>
                <w:szCs w:val="24"/>
              </w:rPr>
              <w:t>分</w:t>
            </w:r>
            <w:r>
              <w:rPr>
                <w:rFonts w:hint="eastAsia" w:ascii="仿宋" w:hAnsi="仿宋" w:eastAsia="仿宋" w:cs="宋体"/>
                <w:sz w:val="24"/>
                <w:szCs w:val="24"/>
                <w:lang w:eastAsia="zh-CN"/>
              </w:rPr>
              <w:t>；</w:t>
            </w:r>
            <w:r>
              <w:rPr>
                <w:rFonts w:hint="eastAsia" w:ascii="仿宋" w:hAnsi="仿宋" w:eastAsia="仿宋" w:cs="宋体"/>
                <w:sz w:val="24"/>
                <w:szCs w:val="24"/>
              </w:rPr>
              <w:t xml:space="preserve">施工方案不完善或缺乏针对性的每处扣 </w:t>
            </w:r>
            <w:r>
              <w:rPr>
                <w:rFonts w:hint="eastAsia" w:ascii="仿宋" w:hAnsi="仿宋" w:eastAsia="仿宋" w:cs="宋体"/>
                <w:sz w:val="24"/>
                <w:szCs w:val="24"/>
                <w:lang w:val="en-US" w:eastAsia="zh-CN"/>
              </w:rPr>
              <w:t>2分；</w:t>
            </w:r>
            <w:r>
              <w:rPr>
                <w:rFonts w:hint="eastAsia" w:ascii="仿宋" w:hAnsi="仿宋" w:eastAsia="仿宋" w:cs="宋体"/>
                <w:sz w:val="24"/>
                <w:szCs w:val="24"/>
              </w:rPr>
              <w:t>扣完为止，未提供的不计分。</w:t>
            </w:r>
          </w:p>
        </w:tc>
      </w:tr>
      <w:tr w14:paraId="04FF5A6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456" w:type="dxa"/>
            <w:vMerge w:val="continue"/>
            <w:tcBorders>
              <w:left w:val="single" w:color="auto" w:sz="4" w:space="0"/>
            </w:tcBorders>
            <w:vAlign w:val="center"/>
          </w:tcPr>
          <w:p w14:paraId="32315791">
            <w:pPr>
              <w:jc w:val="center"/>
              <w:rPr>
                <w:rFonts w:hint="eastAsia" w:ascii="仿宋" w:hAnsi="仿宋" w:eastAsia="仿宋" w:cs="Times New Roman"/>
                <w:kern w:val="0"/>
                <w:sz w:val="24"/>
                <w:szCs w:val="24"/>
                <w:lang w:eastAsia="zh-CN"/>
              </w:rPr>
            </w:pPr>
          </w:p>
        </w:tc>
        <w:tc>
          <w:tcPr>
            <w:tcW w:w="813" w:type="dxa"/>
            <w:vMerge w:val="continue"/>
            <w:vAlign w:val="center"/>
          </w:tcPr>
          <w:p w14:paraId="240DCBC2">
            <w:pPr>
              <w:jc w:val="center"/>
              <w:rPr>
                <w:rFonts w:hint="eastAsia" w:ascii="仿宋" w:hAnsi="仿宋" w:eastAsia="仿宋" w:cs="Times New Roman"/>
                <w:kern w:val="0"/>
                <w:sz w:val="24"/>
                <w:szCs w:val="24"/>
              </w:rPr>
            </w:pPr>
          </w:p>
        </w:tc>
        <w:tc>
          <w:tcPr>
            <w:tcW w:w="704" w:type="dxa"/>
            <w:vAlign w:val="center"/>
          </w:tcPr>
          <w:p w14:paraId="00C9ADFF">
            <w:pPr>
              <w:jc w:val="center"/>
              <w:rPr>
                <w:rFonts w:hint="eastAsia" w:ascii="仿宋" w:hAnsi="仿宋" w:eastAsia="仿宋" w:cs="Times New Roman"/>
                <w:kern w:val="0"/>
                <w:sz w:val="24"/>
                <w:szCs w:val="24"/>
              </w:rPr>
            </w:pPr>
            <w:r>
              <w:rPr>
                <w:rFonts w:hint="eastAsia" w:ascii="仿宋" w:hAnsi="仿宋" w:eastAsia="仿宋" w:cs="Times New Roman"/>
                <w:kern w:val="0"/>
                <w:sz w:val="24"/>
                <w:szCs w:val="24"/>
              </w:rPr>
              <w:t>质量保证</w:t>
            </w:r>
          </w:p>
        </w:tc>
        <w:tc>
          <w:tcPr>
            <w:tcW w:w="704" w:type="dxa"/>
            <w:vAlign w:val="center"/>
          </w:tcPr>
          <w:p w14:paraId="52B92FE2">
            <w:pPr>
              <w:jc w:val="center"/>
              <w:rPr>
                <w:rFonts w:hint="default" w:ascii="仿宋" w:hAnsi="仿宋" w:eastAsia="仿宋" w:cs="Times New Roman"/>
                <w:kern w:val="0"/>
                <w:sz w:val="24"/>
                <w:szCs w:val="24"/>
                <w:lang w:val="en-US" w:eastAsia="zh-CN"/>
              </w:rPr>
            </w:pPr>
            <w:r>
              <w:rPr>
                <w:rFonts w:hint="eastAsia" w:ascii="仿宋" w:hAnsi="仿宋" w:eastAsia="仿宋" w:cs="Times New Roman"/>
                <w:kern w:val="0"/>
                <w:sz w:val="24"/>
                <w:szCs w:val="24"/>
                <w:lang w:val="en-US" w:eastAsia="zh-CN"/>
              </w:rPr>
              <w:t>20</w:t>
            </w:r>
          </w:p>
        </w:tc>
        <w:tc>
          <w:tcPr>
            <w:tcW w:w="6850" w:type="dxa"/>
            <w:tcBorders>
              <w:right w:val="single" w:color="auto" w:sz="4" w:space="0"/>
            </w:tcBorders>
            <w:vAlign w:val="center"/>
          </w:tcPr>
          <w:p w14:paraId="254E3BE9">
            <w:pPr>
              <w:widowControl w:val="0"/>
              <w:adjustRightInd w:val="0"/>
              <w:snapToGrid w:val="0"/>
              <w:spacing w:line="276" w:lineRule="auto"/>
              <w:jc w:val="both"/>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根</w:t>
            </w:r>
            <w:r>
              <w:rPr>
                <w:rFonts w:hint="eastAsia" w:ascii="仿宋" w:hAnsi="仿宋" w:eastAsia="仿宋" w:cs="宋体"/>
                <w:sz w:val="24"/>
                <w:szCs w:val="24"/>
                <w:lang w:val="en-US" w:eastAsia="zh-CN"/>
              </w:rPr>
              <w:t>据投标单位针对本项目制定的质量管理方案及措施内容包括:①项目质量管理目标；②质量管理制度；③质量控制的环节、重点和方法；④质量事故的预防与处理等内容进行评价。</w:t>
            </w:r>
          </w:p>
          <w:p w14:paraId="518F6EC7">
            <w:pPr>
              <w:widowControl w:val="0"/>
              <w:adjustRightInd w:val="0"/>
              <w:snapToGrid w:val="0"/>
              <w:spacing w:line="276" w:lineRule="auto"/>
              <w:jc w:val="both"/>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方案与措施内容详细合理、切合实际、可行性高的计20分；方案与措施存在缺项或内容空泛，无针对性的每处扣 5分；</w:t>
            </w:r>
          </w:p>
          <w:p w14:paraId="4E1A5B24">
            <w:pPr>
              <w:widowControl w:val="0"/>
              <w:adjustRightInd w:val="0"/>
              <w:snapToGrid w:val="0"/>
              <w:spacing w:line="276" w:lineRule="auto"/>
              <w:jc w:val="both"/>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方案与措施有不足、内容有不完善、可行性不足的每处扣 2分；</w:t>
            </w:r>
          </w:p>
          <w:p w14:paraId="7CC79B3A">
            <w:pPr>
              <w:widowControl w:val="0"/>
              <w:adjustRightInd w:val="0"/>
              <w:snapToGrid w:val="0"/>
              <w:spacing w:line="276" w:lineRule="auto"/>
              <w:jc w:val="both"/>
              <w:rPr>
                <w:rFonts w:hint="eastAsia" w:ascii="宋体" w:hAnsi="宋体" w:eastAsia="宋体" w:cs="宋体"/>
                <w:kern w:val="0"/>
                <w:sz w:val="24"/>
                <w:szCs w:val="20"/>
                <w14:ligatures w14:val="none"/>
              </w:rPr>
            </w:pPr>
            <w:r>
              <w:rPr>
                <w:rFonts w:hint="eastAsia" w:ascii="仿宋" w:hAnsi="仿宋" w:eastAsia="仿宋" w:cs="宋体"/>
                <w:sz w:val="24"/>
                <w:szCs w:val="24"/>
                <w:lang w:val="en-US" w:eastAsia="zh-CN"/>
              </w:rPr>
              <w:t>扣完为止，未提供的不计分。</w:t>
            </w:r>
          </w:p>
        </w:tc>
      </w:tr>
      <w:tr w14:paraId="3AC5E45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456" w:type="dxa"/>
            <w:tcBorders>
              <w:left w:val="single" w:color="auto" w:sz="4" w:space="0"/>
            </w:tcBorders>
            <w:vAlign w:val="center"/>
          </w:tcPr>
          <w:p w14:paraId="4BF94067">
            <w:pPr>
              <w:jc w:val="center"/>
              <w:rPr>
                <w:rFonts w:hint="eastAsia" w:ascii="仿宋" w:hAnsi="仿宋" w:eastAsia="仿宋" w:cs="Times New Roman"/>
                <w:kern w:val="0"/>
                <w:sz w:val="24"/>
                <w:szCs w:val="24"/>
                <w:lang w:eastAsia="zh-CN"/>
              </w:rPr>
            </w:pPr>
            <w:r>
              <w:rPr>
                <w:rFonts w:hint="eastAsia" w:ascii="仿宋" w:hAnsi="仿宋" w:eastAsia="仿宋" w:cs="Times New Roman"/>
                <w:kern w:val="0"/>
                <w:sz w:val="24"/>
                <w:szCs w:val="24"/>
                <w:lang w:val="en-US" w:eastAsia="zh-CN"/>
              </w:rPr>
              <w:t>3</w:t>
            </w:r>
          </w:p>
        </w:tc>
        <w:tc>
          <w:tcPr>
            <w:tcW w:w="813" w:type="dxa"/>
            <w:vAlign w:val="center"/>
          </w:tcPr>
          <w:p w14:paraId="2BA20C97">
            <w:pPr>
              <w:jc w:val="center"/>
              <w:rPr>
                <w:rFonts w:hint="eastAsia" w:ascii="仿宋" w:hAnsi="仿宋" w:eastAsia="仿宋" w:cs="Times New Roman"/>
                <w:kern w:val="0"/>
                <w:sz w:val="24"/>
                <w:szCs w:val="24"/>
                <w:lang w:eastAsia="zh-CN"/>
              </w:rPr>
            </w:pPr>
            <w:r>
              <w:rPr>
                <w:rFonts w:hint="eastAsia" w:ascii="仿宋" w:hAnsi="仿宋" w:eastAsia="仿宋" w:cs="Times New Roman"/>
                <w:kern w:val="0"/>
                <w:sz w:val="24"/>
                <w:szCs w:val="24"/>
                <w:lang w:eastAsia="zh-CN"/>
              </w:rPr>
              <w:t>商务部分</w:t>
            </w:r>
            <w:r>
              <w:rPr>
                <w:rFonts w:hint="eastAsia" w:ascii="仿宋" w:hAnsi="仿宋" w:eastAsia="仿宋" w:cs="Times New Roman"/>
                <w:kern w:val="0"/>
                <w:sz w:val="24"/>
                <w:szCs w:val="24"/>
                <w:lang w:val="en-US" w:eastAsia="zh-CN"/>
              </w:rPr>
              <w:t>10</w:t>
            </w:r>
            <w:r>
              <w:rPr>
                <w:rFonts w:hint="eastAsia" w:ascii="仿宋" w:hAnsi="仿宋" w:eastAsia="仿宋" w:cs="Times New Roman"/>
                <w:kern w:val="0"/>
                <w:sz w:val="24"/>
                <w:szCs w:val="24"/>
                <w:lang w:eastAsia="zh-CN"/>
              </w:rPr>
              <w:t>分</w:t>
            </w:r>
          </w:p>
        </w:tc>
        <w:tc>
          <w:tcPr>
            <w:tcW w:w="704" w:type="dxa"/>
            <w:vAlign w:val="center"/>
          </w:tcPr>
          <w:p w14:paraId="3885A697">
            <w:pPr>
              <w:jc w:val="center"/>
              <w:rPr>
                <w:rFonts w:hint="default" w:ascii="仿宋" w:hAnsi="仿宋" w:eastAsia="仿宋" w:cs="Times New Roman"/>
                <w:kern w:val="0"/>
                <w:sz w:val="24"/>
                <w:szCs w:val="24"/>
                <w:lang w:val="en-US" w:eastAsia="zh-CN"/>
              </w:rPr>
            </w:pPr>
            <w:r>
              <w:rPr>
                <w:rFonts w:hint="eastAsia" w:ascii="仿宋" w:hAnsi="仿宋" w:eastAsia="仿宋" w:cs="Times New Roman"/>
                <w:kern w:val="0"/>
                <w:sz w:val="24"/>
                <w:szCs w:val="24"/>
                <w:lang w:eastAsia="zh-CN"/>
              </w:rPr>
              <w:t>业绩</w:t>
            </w:r>
            <w:r>
              <w:rPr>
                <w:rFonts w:hint="eastAsia" w:ascii="仿宋" w:hAnsi="仿宋" w:eastAsia="仿宋" w:cs="Times New Roman"/>
                <w:kern w:val="0"/>
                <w:sz w:val="24"/>
                <w:szCs w:val="24"/>
                <w:lang w:val="en-US" w:eastAsia="zh-CN"/>
              </w:rPr>
              <w:t>能力</w:t>
            </w:r>
          </w:p>
        </w:tc>
        <w:tc>
          <w:tcPr>
            <w:tcW w:w="704" w:type="dxa"/>
            <w:vAlign w:val="center"/>
          </w:tcPr>
          <w:p w14:paraId="3774F0FB">
            <w:pPr>
              <w:jc w:val="center"/>
              <w:rPr>
                <w:rFonts w:hint="default" w:ascii="仿宋" w:hAnsi="仿宋" w:eastAsia="仿宋" w:cs="Times New Roman"/>
                <w:kern w:val="0"/>
                <w:sz w:val="24"/>
                <w:szCs w:val="24"/>
                <w:lang w:val="en-US" w:eastAsia="zh-CN"/>
              </w:rPr>
            </w:pPr>
            <w:r>
              <w:rPr>
                <w:rFonts w:hint="eastAsia" w:ascii="仿宋" w:hAnsi="仿宋" w:eastAsia="仿宋" w:cs="Times New Roman"/>
                <w:kern w:val="0"/>
                <w:sz w:val="24"/>
                <w:szCs w:val="24"/>
                <w:lang w:val="en-US" w:eastAsia="zh-CN"/>
              </w:rPr>
              <w:t>10</w:t>
            </w:r>
          </w:p>
        </w:tc>
        <w:tc>
          <w:tcPr>
            <w:tcW w:w="6850" w:type="dxa"/>
            <w:tcBorders>
              <w:right w:val="single" w:color="auto" w:sz="4" w:space="0"/>
            </w:tcBorders>
            <w:vAlign w:val="center"/>
          </w:tcPr>
          <w:p w14:paraId="6E9592EE">
            <w:pPr>
              <w:jc w:val="left"/>
              <w:rPr>
                <w:rFonts w:hint="eastAsia" w:ascii="仿宋" w:hAnsi="仿宋" w:eastAsia="仿宋" w:cs="宋体"/>
                <w:sz w:val="24"/>
                <w:szCs w:val="24"/>
              </w:rPr>
            </w:pPr>
            <w:r>
              <w:rPr>
                <w:rFonts w:hint="eastAsia" w:ascii="仿宋" w:hAnsi="仿宋" w:eastAsia="仿宋" w:cs="宋体"/>
                <w:sz w:val="24"/>
                <w:szCs w:val="24"/>
              </w:rPr>
              <w:t>供应商提供自202</w:t>
            </w:r>
            <w:r>
              <w:rPr>
                <w:rFonts w:hint="eastAsia" w:ascii="仿宋" w:hAnsi="仿宋" w:eastAsia="仿宋" w:cs="宋体"/>
                <w:sz w:val="24"/>
                <w:szCs w:val="24"/>
                <w:lang w:val="en-US" w:eastAsia="zh-CN"/>
              </w:rPr>
              <w:t>3</w:t>
            </w:r>
            <w:r>
              <w:rPr>
                <w:rFonts w:hint="eastAsia" w:ascii="仿宋" w:hAnsi="仿宋" w:eastAsia="仿宋" w:cs="宋体"/>
                <w:sz w:val="24"/>
                <w:szCs w:val="24"/>
              </w:rPr>
              <w:t>年</w:t>
            </w:r>
            <w:r>
              <w:rPr>
                <w:rFonts w:hint="eastAsia" w:ascii="仿宋" w:hAnsi="仿宋" w:eastAsia="仿宋" w:cs="宋体"/>
                <w:sz w:val="24"/>
                <w:szCs w:val="24"/>
                <w:lang w:val="en-US" w:eastAsia="zh-CN"/>
              </w:rPr>
              <w:t>4</w:t>
            </w:r>
            <w:r>
              <w:rPr>
                <w:rFonts w:hint="eastAsia" w:ascii="仿宋" w:hAnsi="仿宋" w:eastAsia="仿宋" w:cs="宋体"/>
                <w:sz w:val="24"/>
                <w:szCs w:val="24"/>
              </w:rPr>
              <w:t>月至本项目响应文件递交截止时间（以合同签订日期为准）</w:t>
            </w:r>
            <w:r>
              <w:rPr>
                <w:rFonts w:hint="eastAsia" w:ascii="仿宋" w:hAnsi="仿宋" w:eastAsia="仿宋" w:cs="Times New Roman"/>
                <w:kern w:val="0"/>
                <w:sz w:val="24"/>
                <w:szCs w:val="24"/>
                <w:lang w:eastAsia="zh-CN"/>
              </w:rPr>
              <w:t>承接过建筑工程类</w:t>
            </w:r>
            <w:r>
              <w:rPr>
                <w:rFonts w:hint="eastAsia" w:ascii="仿宋" w:hAnsi="仿宋" w:eastAsia="仿宋" w:cs="宋体"/>
                <w:sz w:val="24"/>
                <w:szCs w:val="24"/>
              </w:rPr>
              <w:t>项目</w:t>
            </w:r>
            <w:r>
              <w:rPr>
                <w:rFonts w:hint="eastAsia" w:ascii="仿宋" w:hAnsi="仿宋" w:eastAsia="仿宋" w:cs="宋体"/>
                <w:sz w:val="24"/>
                <w:szCs w:val="24"/>
                <w:lang w:val="en-US" w:eastAsia="zh-CN"/>
              </w:rPr>
              <w:t>业绩</w:t>
            </w:r>
            <w:r>
              <w:rPr>
                <w:rFonts w:hint="eastAsia" w:ascii="仿宋" w:hAnsi="仿宋" w:eastAsia="仿宋" w:cs="宋体"/>
                <w:sz w:val="24"/>
                <w:szCs w:val="24"/>
              </w:rPr>
              <w:t>的,每提供一个加5分。</w:t>
            </w:r>
          </w:p>
          <w:p w14:paraId="17D98F83">
            <w:pPr>
              <w:jc w:val="left"/>
              <w:rPr>
                <w:rFonts w:hint="eastAsia" w:ascii="仿宋" w:hAnsi="仿宋" w:eastAsia="仿宋" w:cs="宋体"/>
                <w:b/>
                <w:bCs/>
                <w:sz w:val="24"/>
                <w:szCs w:val="24"/>
              </w:rPr>
            </w:pPr>
            <w:r>
              <w:rPr>
                <w:rFonts w:hint="eastAsia" w:ascii="仿宋" w:hAnsi="仿宋" w:eastAsia="仿宋" w:cs="宋体"/>
                <w:b/>
                <w:bCs/>
                <w:sz w:val="24"/>
                <w:szCs w:val="24"/>
              </w:rPr>
              <w:t>本项满分</w:t>
            </w:r>
            <w:r>
              <w:rPr>
                <w:rFonts w:hint="eastAsia" w:ascii="仿宋" w:hAnsi="仿宋" w:eastAsia="仿宋" w:cs="宋体"/>
                <w:b/>
                <w:bCs/>
                <w:sz w:val="24"/>
                <w:szCs w:val="24"/>
                <w:lang w:val="en-US" w:eastAsia="zh-CN"/>
              </w:rPr>
              <w:t>1</w:t>
            </w:r>
            <w:r>
              <w:rPr>
                <w:rFonts w:hint="eastAsia" w:ascii="仿宋" w:hAnsi="仿宋" w:eastAsia="仿宋" w:cs="宋体"/>
                <w:b/>
                <w:bCs/>
                <w:sz w:val="24"/>
                <w:szCs w:val="24"/>
              </w:rPr>
              <w:t>0分。</w:t>
            </w:r>
          </w:p>
          <w:p w14:paraId="0ABFD87A">
            <w:pPr>
              <w:jc w:val="both"/>
              <w:rPr>
                <w:rFonts w:hint="eastAsia" w:ascii="仿宋" w:hAnsi="仿宋" w:eastAsia="仿宋" w:cs="Times New Roman"/>
                <w:kern w:val="0"/>
                <w:sz w:val="24"/>
                <w:szCs w:val="24"/>
                <w:lang w:eastAsia="zh-CN"/>
              </w:rPr>
            </w:pPr>
            <w:r>
              <w:rPr>
                <w:rFonts w:hint="eastAsia" w:ascii="仿宋" w:hAnsi="仿宋" w:eastAsia="仿宋" w:cs="宋体"/>
                <w:b/>
                <w:bCs/>
                <w:sz w:val="24"/>
                <w:szCs w:val="24"/>
              </w:rPr>
              <w:t>【评审依据】：响应文件中提供合同复印件并加盖供应商公章。（合同复印件需提供合同首页、标的或内容所在页、签字盖章页）</w:t>
            </w:r>
          </w:p>
        </w:tc>
      </w:tr>
    </w:tbl>
    <w:p w14:paraId="49BA23CC"/>
    <w:p w14:paraId="2CE8C035"/>
    <w:p w14:paraId="450018AE"/>
    <w:p w14:paraId="5077E8EB">
      <w:pPr>
        <w:pStyle w:val="15"/>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18F19F73">
      <w:pPr>
        <w:pStyle w:val="15"/>
        <w:spacing w:before="0" w:beforeAutospacing="0" w:after="0" w:line="360" w:lineRule="auto"/>
        <w:ind w:left="0" w:leftChars="0" w:firstLine="482"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083C3535"/>
    <w:p w14:paraId="26A326CD">
      <w:pPr>
        <w:pStyle w:val="15"/>
        <w:ind w:left="0" w:leftChars="0" w:firstLine="0"/>
      </w:pPr>
    </w:p>
    <w:p w14:paraId="4DFEE8F5">
      <w:pPr>
        <w:pStyle w:val="15"/>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A33CA12">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5FC3736A">
      <w:pPr>
        <w:pStyle w:val="10"/>
        <w:adjustRightInd w:val="0"/>
        <w:snapToGrid w:val="0"/>
        <w:spacing w:line="360" w:lineRule="auto"/>
        <w:rPr>
          <w:rFonts w:hint="eastAsia" w:ascii="仿宋_GB2312" w:hAnsi="宋体" w:eastAsia="仿宋_GB2312"/>
          <w:b/>
        </w:rPr>
      </w:pPr>
    </w:p>
    <w:p w14:paraId="495F3925">
      <w:pPr>
        <w:pStyle w:val="10"/>
        <w:adjustRightInd w:val="0"/>
        <w:snapToGrid w:val="0"/>
        <w:spacing w:line="360" w:lineRule="auto"/>
        <w:rPr>
          <w:rFonts w:hint="eastAsia" w:ascii="仿宋_GB2312" w:hAnsi="宋体" w:eastAsia="仿宋_GB2312"/>
          <w:b/>
        </w:rPr>
      </w:pPr>
    </w:p>
    <w:p w14:paraId="002BFB56">
      <w:pPr>
        <w:pStyle w:val="10"/>
        <w:adjustRightInd w:val="0"/>
        <w:snapToGrid w:val="0"/>
        <w:spacing w:line="360" w:lineRule="auto"/>
        <w:rPr>
          <w:rFonts w:hint="eastAsia" w:ascii="仿宋_GB2312" w:hAnsi="宋体" w:eastAsia="仿宋_GB2312"/>
          <w:b/>
        </w:rPr>
      </w:pPr>
    </w:p>
    <w:p w14:paraId="3BA2FD4C">
      <w:pPr>
        <w:pStyle w:val="10"/>
        <w:adjustRightInd w:val="0"/>
        <w:snapToGrid w:val="0"/>
        <w:spacing w:line="360" w:lineRule="auto"/>
        <w:rPr>
          <w:rFonts w:hint="eastAsia" w:ascii="仿宋_GB2312" w:hAnsi="宋体" w:eastAsia="仿宋_GB2312"/>
          <w:b/>
        </w:rPr>
      </w:pPr>
    </w:p>
    <w:p w14:paraId="5C02B142">
      <w:pPr>
        <w:pStyle w:val="10"/>
        <w:adjustRightInd w:val="0"/>
        <w:snapToGrid w:val="0"/>
        <w:spacing w:line="360" w:lineRule="auto"/>
        <w:rPr>
          <w:rFonts w:hint="eastAsia" w:ascii="仿宋_GB2312" w:hAnsi="宋体" w:eastAsia="仿宋_GB2312"/>
          <w:b/>
        </w:rPr>
      </w:pPr>
    </w:p>
    <w:p w14:paraId="625771E2">
      <w:pPr>
        <w:pStyle w:val="10"/>
        <w:adjustRightInd w:val="0"/>
        <w:snapToGrid w:val="0"/>
        <w:spacing w:line="360" w:lineRule="auto"/>
        <w:rPr>
          <w:rFonts w:hint="eastAsia" w:ascii="仿宋_GB2312" w:hAnsi="宋体" w:eastAsia="仿宋_GB2312"/>
          <w:b/>
        </w:rPr>
      </w:pPr>
    </w:p>
    <w:p w14:paraId="4396E67A">
      <w:pPr>
        <w:pStyle w:val="10"/>
        <w:adjustRightInd w:val="0"/>
        <w:snapToGrid w:val="0"/>
        <w:spacing w:line="360" w:lineRule="auto"/>
        <w:rPr>
          <w:rFonts w:hint="eastAsia" w:ascii="仿宋_GB2312" w:hAnsi="宋体" w:eastAsia="仿宋_GB2312"/>
          <w:b/>
        </w:rPr>
      </w:pPr>
    </w:p>
    <w:p w14:paraId="33EE1F5B">
      <w:pPr>
        <w:pStyle w:val="10"/>
        <w:adjustRightInd w:val="0"/>
        <w:snapToGrid w:val="0"/>
        <w:spacing w:line="360" w:lineRule="auto"/>
        <w:rPr>
          <w:rFonts w:hint="eastAsia" w:ascii="仿宋_GB2312" w:hAnsi="宋体" w:eastAsia="仿宋_GB2312"/>
          <w:b/>
        </w:rPr>
      </w:pPr>
    </w:p>
    <w:p w14:paraId="6BA60C6A">
      <w:pPr>
        <w:pStyle w:val="10"/>
        <w:adjustRightInd w:val="0"/>
        <w:snapToGrid w:val="0"/>
        <w:spacing w:line="360" w:lineRule="auto"/>
        <w:rPr>
          <w:rFonts w:hint="eastAsia" w:ascii="仿宋_GB2312" w:hAnsi="宋体" w:eastAsia="仿宋_GB2312"/>
          <w:b/>
        </w:rPr>
      </w:pPr>
    </w:p>
    <w:p w14:paraId="2CCC1DC8">
      <w:pPr>
        <w:pStyle w:val="10"/>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563661CD">
      <w:pPr>
        <w:adjustRightInd w:val="0"/>
        <w:snapToGrid w:val="0"/>
        <w:spacing w:line="360" w:lineRule="auto"/>
        <w:rPr>
          <w:rFonts w:hint="eastAsia" w:ascii="仿宋_GB2312" w:hAnsi="宋体" w:eastAsia="仿宋_GB2312"/>
          <w:sz w:val="24"/>
          <w:szCs w:val="24"/>
        </w:rPr>
      </w:pPr>
    </w:p>
    <w:p w14:paraId="3B40E18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14:paraId="6FC4EBF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0"/>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2E26A80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1C248E1D">
      <w:pPr>
        <w:adjustRightInd w:val="0"/>
        <w:snapToGrid w:val="0"/>
        <w:spacing w:line="360" w:lineRule="auto"/>
        <w:ind w:right="24"/>
        <w:rPr>
          <w:rFonts w:hint="eastAsia" w:ascii="仿宋" w:hAnsi="仿宋" w:eastAsia="仿宋"/>
          <w:bCs/>
          <w:sz w:val="24"/>
          <w:szCs w:val="24"/>
        </w:rPr>
      </w:pPr>
    </w:p>
    <w:p w14:paraId="124491FF">
      <w:pPr>
        <w:adjustRightInd w:val="0"/>
        <w:snapToGrid w:val="0"/>
        <w:spacing w:line="360" w:lineRule="auto"/>
        <w:ind w:right="24"/>
        <w:rPr>
          <w:rFonts w:hint="eastAsia" w:ascii="仿宋" w:hAnsi="仿宋" w:eastAsia="仿宋"/>
          <w:bCs/>
          <w:sz w:val="24"/>
          <w:szCs w:val="24"/>
        </w:rPr>
      </w:pPr>
    </w:p>
    <w:p w14:paraId="5DB1CD06">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14:paraId="0D2C89B2">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14:paraId="6B7C009A">
      <w:pPr>
        <w:pStyle w:val="10"/>
        <w:adjustRightInd w:val="0"/>
        <w:snapToGrid w:val="0"/>
        <w:spacing w:line="360" w:lineRule="auto"/>
        <w:rPr>
          <w:rFonts w:hint="eastAsia" w:ascii="仿宋" w:hAnsi="仿宋" w:eastAsia="仿宋"/>
          <w:sz w:val="24"/>
          <w:szCs w:val="24"/>
        </w:rPr>
      </w:pPr>
    </w:p>
    <w:p w14:paraId="5B8CF27D">
      <w:pPr>
        <w:pStyle w:val="10"/>
        <w:adjustRightInd w:val="0"/>
        <w:snapToGrid w:val="0"/>
        <w:spacing w:line="360" w:lineRule="auto"/>
        <w:rPr>
          <w:rFonts w:hint="eastAsia" w:ascii="仿宋" w:hAnsi="仿宋" w:eastAsia="仿宋"/>
          <w:sz w:val="24"/>
          <w:szCs w:val="24"/>
        </w:rPr>
      </w:pPr>
    </w:p>
    <w:p w14:paraId="0E155071">
      <w:pPr>
        <w:pStyle w:val="10"/>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06A9744">
      <w:pPr>
        <w:adjustRightInd w:val="0"/>
        <w:snapToGrid w:val="0"/>
        <w:spacing w:line="360" w:lineRule="auto"/>
        <w:ind w:right="24"/>
        <w:rPr>
          <w:rFonts w:hint="eastAsia" w:ascii="仿宋" w:hAnsi="仿宋" w:eastAsia="仿宋"/>
          <w:bCs/>
          <w:sz w:val="24"/>
        </w:rPr>
      </w:pPr>
    </w:p>
    <w:p w14:paraId="53E8A92D">
      <w:pPr>
        <w:adjustRightInd w:val="0"/>
        <w:snapToGrid w:val="0"/>
        <w:spacing w:line="360" w:lineRule="auto"/>
        <w:ind w:right="24"/>
        <w:rPr>
          <w:rFonts w:hint="eastAsia" w:ascii="仿宋_GB2312" w:hAnsi="华文中宋" w:eastAsia="仿宋_GB2312"/>
          <w:bCs/>
          <w:sz w:val="24"/>
        </w:rPr>
      </w:pPr>
    </w:p>
    <w:p w14:paraId="7FC44160">
      <w:pPr>
        <w:adjustRightInd w:val="0"/>
        <w:snapToGrid w:val="0"/>
        <w:spacing w:line="360" w:lineRule="auto"/>
        <w:ind w:right="24"/>
        <w:rPr>
          <w:rFonts w:hint="eastAsia" w:ascii="仿宋_GB2312" w:hAnsi="华文中宋" w:eastAsia="仿宋_GB2312"/>
          <w:bCs/>
          <w:sz w:val="24"/>
        </w:rPr>
      </w:pPr>
    </w:p>
    <w:p w14:paraId="2F5415D5">
      <w:pPr>
        <w:adjustRightInd w:val="0"/>
        <w:snapToGrid w:val="0"/>
        <w:spacing w:line="360" w:lineRule="auto"/>
        <w:ind w:right="24"/>
        <w:rPr>
          <w:szCs w:val="21"/>
        </w:rPr>
      </w:pPr>
    </w:p>
    <w:p w14:paraId="36AF8E5A">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14:paraId="0B167DF4">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704A8298">
      <w:pPr>
        <w:snapToGrid w:val="0"/>
        <w:spacing w:line="480" w:lineRule="auto"/>
        <w:rPr>
          <w:rFonts w:hint="eastAsia" w:ascii="仿宋" w:hAnsi="仿宋" w:eastAsia="仿宋"/>
          <w:sz w:val="24"/>
          <w:szCs w:val="24"/>
        </w:rPr>
      </w:pPr>
    </w:p>
    <w:p w14:paraId="225D67E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hint="eastAsia" w:ascii="仿宋" w:hAnsi="仿宋" w:eastAsia="仿宋"/>
          <w:sz w:val="24"/>
          <w:szCs w:val="24"/>
        </w:rPr>
      </w:pPr>
    </w:p>
    <w:p w14:paraId="4EAB8206">
      <w:pPr>
        <w:snapToGrid w:val="0"/>
        <w:rPr>
          <w:rFonts w:hint="eastAsia" w:ascii="仿宋" w:hAnsi="仿宋" w:eastAsia="仿宋"/>
          <w:sz w:val="24"/>
          <w:szCs w:val="24"/>
        </w:rPr>
      </w:pPr>
    </w:p>
    <w:p w14:paraId="67C67ED1">
      <w:pPr>
        <w:snapToGrid w:val="0"/>
        <w:rPr>
          <w:rFonts w:hint="eastAsia" w:ascii="仿宋" w:hAnsi="仿宋" w:eastAsia="仿宋"/>
          <w:sz w:val="24"/>
          <w:szCs w:val="24"/>
        </w:rPr>
      </w:pPr>
    </w:p>
    <w:p w14:paraId="172E056E">
      <w:pPr>
        <w:snapToGrid w:val="0"/>
        <w:rPr>
          <w:rFonts w:hint="eastAsia" w:ascii="仿宋" w:hAnsi="仿宋" w:eastAsia="仿宋"/>
          <w:sz w:val="24"/>
          <w:szCs w:val="24"/>
        </w:rPr>
      </w:pPr>
    </w:p>
    <w:p w14:paraId="336B8B31">
      <w:pPr>
        <w:snapToGrid w:val="0"/>
        <w:rPr>
          <w:rFonts w:hint="eastAsia" w:ascii="仿宋" w:hAnsi="仿宋" w:eastAsia="仿宋"/>
          <w:sz w:val="24"/>
          <w:szCs w:val="24"/>
        </w:rPr>
      </w:pPr>
    </w:p>
    <w:p w14:paraId="7FB434E6">
      <w:pPr>
        <w:adjustRightInd w:val="0"/>
        <w:snapToGrid w:val="0"/>
        <w:spacing w:line="360" w:lineRule="auto"/>
        <w:rPr>
          <w:rFonts w:hint="eastAsia" w:ascii="仿宋" w:hAnsi="仿宋" w:eastAsia="仿宋"/>
          <w:sz w:val="24"/>
          <w:szCs w:val="24"/>
        </w:rPr>
      </w:pPr>
    </w:p>
    <w:p w14:paraId="244CD4E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hint="eastAsia" w:ascii="仿宋_GB2312" w:hAnsi="宋体" w:eastAsia="仿宋_GB2312"/>
          <w:sz w:val="24"/>
          <w:szCs w:val="24"/>
        </w:rPr>
      </w:pPr>
    </w:p>
    <w:p w14:paraId="325667BA">
      <w:pPr>
        <w:adjustRightInd w:val="0"/>
        <w:snapToGrid w:val="0"/>
        <w:spacing w:before="156" w:beforeLines="50" w:line="360" w:lineRule="auto"/>
        <w:rPr>
          <w:rFonts w:hint="eastAsia" w:ascii="仿宋_GB2312" w:hAnsi="宋体" w:eastAsia="仿宋_GB2312"/>
          <w:sz w:val="24"/>
          <w:szCs w:val="24"/>
        </w:rPr>
      </w:pPr>
    </w:p>
    <w:p w14:paraId="6BDE129F">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656A6B8E">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1F74DEA9">
      <w:pPr>
        <w:adjustRightInd w:val="0"/>
        <w:snapToGrid w:val="0"/>
        <w:spacing w:line="360" w:lineRule="auto"/>
        <w:jc w:val="center"/>
        <w:rPr>
          <w:rFonts w:hint="eastAsia"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200B769C">
      <w:pPr>
        <w:pStyle w:val="15"/>
      </w:pPr>
    </w:p>
    <w:p w14:paraId="10CB8852"/>
    <w:p w14:paraId="7F870902"/>
    <w:p w14:paraId="78DBABB8">
      <w:pPr>
        <w:pStyle w:val="15"/>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033553B5">
      <w:pPr>
        <w:jc w:val="center"/>
        <w:rPr>
          <w:rFonts w:hint="eastAsia" w:ascii="仿宋" w:hAnsi="仿宋" w:eastAsia="仿宋"/>
          <w:b/>
          <w:sz w:val="32"/>
          <w:szCs w:val="32"/>
        </w:rPr>
      </w:pPr>
      <w:r>
        <w:rPr>
          <w:rFonts w:ascii="仿宋" w:hAnsi="仿宋" w:eastAsia="仿宋"/>
          <w:b/>
          <w:sz w:val="32"/>
          <w:szCs w:val="32"/>
        </w:rPr>
        <w:t>报价函</w:t>
      </w:r>
    </w:p>
    <w:p w14:paraId="090965E8">
      <w:pPr>
        <w:rPr>
          <w:rFonts w:hint="eastAsia" w:ascii="仿宋" w:hAnsi="仿宋" w:eastAsia="仿宋"/>
          <w:sz w:val="24"/>
          <w:szCs w:val="24"/>
        </w:rPr>
      </w:pPr>
      <w:r>
        <w:rPr>
          <w:rFonts w:hint="eastAsia" w:ascii="仿宋" w:hAnsi="仿宋" w:eastAsia="仿宋"/>
          <w:sz w:val="24"/>
          <w:szCs w:val="24"/>
        </w:rPr>
        <w:t xml:space="preserve">                               </w:t>
      </w:r>
    </w:p>
    <w:p w14:paraId="00D06C2C">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3D2D870F">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lang w:val="en-US" w:eastAsia="zh-CN"/>
        </w:rPr>
        <w:t xml:space="preserve">        </w:t>
      </w:r>
      <w:r>
        <w:rPr>
          <w:rFonts w:hint="eastAsia" w:ascii="仿宋" w:hAnsi="仿宋" w:eastAsia="仿宋"/>
          <w:sz w:val="24"/>
          <w:szCs w:val="24"/>
          <w:u w:val="single"/>
        </w:rPr>
        <w:t>项目</w:t>
      </w:r>
      <w:r>
        <w:rPr>
          <w:rFonts w:hint="eastAsia" w:ascii="仿宋" w:hAnsi="仿宋" w:eastAsia="仿宋"/>
          <w:sz w:val="24"/>
          <w:szCs w:val="24"/>
        </w:rPr>
        <w:t>询比文件，清楚文件中关于本项目的相关采购需求。</w:t>
      </w:r>
    </w:p>
    <w:p w14:paraId="18CF9AF0">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52D52477">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428420B7">
      <w:pPr>
        <w:pStyle w:val="15"/>
        <w:rPr>
          <w:rFonts w:hint="eastAsia" w:ascii="仿宋" w:hAnsi="仿宋" w:eastAsia="仿宋"/>
        </w:rPr>
      </w:pPr>
    </w:p>
    <w:p w14:paraId="5550980C">
      <w:pPr>
        <w:pStyle w:val="15"/>
        <w:ind w:left="0" w:leftChars="0" w:firstLine="0"/>
        <w:rPr>
          <w:rFonts w:hint="eastAsia" w:ascii="仿宋" w:hAnsi="仿宋" w:eastAsia="仿宋"/>
        </w:rPr>
      </w:pPr>
    </w:p>
    <w:p w14:paraId="638C8DB7">
      <w:pPr>
        <w:spacing w:line="360" w:lineRule="auto"/>
        <w:ind w:firstLine="640"/>
        <w:jc w:val="left"/>
        <w:rPr>
          <w:rFonts w:hint="eastAsia" w:ascii="仿宋" w:hAnsi="仿宋" w:eastAsia="仿宋"/>
          <w:sz w:val="24"/>
          <w:szCs w:val="24"/>
        </w:rPr>
      </w:pPr>
    </w:p>
    <w:p w14:paraId="6E3AC60B">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7D5946C9">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0000000000000000000"/>
    <w:charset w:val="86"/>
    <w:family w:val="script"/>
    <w:pitch w:val="default"/>
    <w:sig w:usb0="00000000" w:usb1="00000000" w:usb2="00000000" w:usb3="00000000" w:csb0="00040000" w:csb1="00000000"/>
  </w:font>
  <w:font w:name="方正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439EEF50">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2"/>
          <w:jc w:val="center"/>
        </w:pPr>
        <w:r>
          <w:fldChar w:fldCharType="begin"/>
        </w:r>
        <w:r>
          <w:instrText xml:space="preserve">PAGE   \* MERGEFORMAT</w:instrText>
        </w:r>
        <w:r>
          <w:fldChar w:fldCharType="separate"/>
        </w:r>
        <w:r>
          <w:rPr>
            <w:lang w:val="zh-CN"/>
          </w:rPr>
          <w:t>25</w:t>
        </w:r>
        <w:r>
          <w:fldChar w:fldCharType="end"/>
        </w:r>
      </w:p>
    </w:sdtContent>
  </w:sdt>
  <w:p w14:paraId="4ACC8206">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2"/>
      <w:framePr w:wrap="around" w:vAnchor="text" w:hAnchor="margin" w:xAlign="center" w:y="1"/>
      <w:rPr>
        <w:rStyle w:val="19"/>
      </w:rPr>
    </w:pPr>
    <w:r>
      <w:fldChar w:fldCharType="begin"/>
    </w:r>
    <w:r>
      <w:rPr>
        <w:rStyle w:val="19"/>
      </w:rPr>
      <w:instrText xml:space="preserve">PAGE  </w:instrText>
    </w:r>
    <w:r>
      <w:fldChar w:fldCharType="end"/>
    </w:r>
  </w:p>
  <w:p w14:paraId="7B4CFFC0">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3"/>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A155B3"/>
    <w:multiLevelType w:val="singleLevel"/>
    <w:tmpl w:val="E1A155B3"/>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E0327"/>
    <w:rsid w:val="00FE4AAE"/>
    <w:rsid w:val="00FE55F5"/>
    <w:rsid w:val="00FF6106"/>
    <w:rsid w:val="015D180D"/>
    <w:rsid w:val="017442FA"/>
    <w:rsid w:val="0215299B"/>
    <w:rsid w:val="044E0E32"/>
    <w:rsid w:val="05997E8B"/>
    <w:rsid w:val="066D3445"/>
    <w:rsid w:val="08467659"/>
    <w:rsid w:val="08964B56"/>
    <w:rsid w:val="08C83CB5"/>
    <w:rsid w:val="097D7547"/>
    <w:rsid w:val="09902C2B"/>
    <w:rsid w:val="0A9926DB"/>
    <w:rsid w:val="0C3721EC"/>
    <w:rsid w:val="0CBD0290"/>
    <w:rsid w:val="0CEC11E8"/>
    <w:rsid w:val="0CFD51A3"/>
    <w:rsid w:val="0D7A240F"/>
    <w:rsid w:val="0FB06655"/>
    <w:rsid w:val="10912321"/>
    <w:rsid w:val="10C81F6C"/>
    <w:rsid w:val="11BE5B42"/>
    <w:rsid w:val="13A26E3E"/>
    <w:rsid w:val="13AE369B"/>
    <w:rsid w:val="144F1BCA"/>
    <w:rsid w:val="14FD6A90"/>
    <w:rsid w:val="15455939"/>
    <w:rsid w:val="15B12877"/>
    <w:rsid w:val="16D36F75"/>
    <w:rsid w:val="16FC64CC"/>
    <w:rsid w:val="172E31C9"/>
    <w:rsid w:val="17C3509D"/>
    <w:rsid w:val="19E54DD6"/>
    <w:rsid w:val="1A07140F"/>
    <w:rsid w:val="1A7D2861"/>
    <w:rsid w:val="1B451A26"/>
    <w:rsid w:val="1BB90E2F"/>
    <w:rsid w:val="1D444728"/>
    <w:rsid w:val="1E4F7829"/>
    <w:rsid w:val="1F9951FF"/>
    <w:rsid w:val="201D3E7D"/>
    <w:rsid w:val="202D76F6"/>
    <w:rsid w:val="20746BB2"/>
    <w:rsid w:val="21E64000"/>
    <w:rsid w:val="22FB1D2D"/>
    <w:rsid w:val="23E9602A"/>
    <w:rsid w:val="242B03F0"/>
    <w:rsid w:val="24F13006"/>
    <w:rsid w:val="26E533CB"/>
    <w:rsid w:val="295D104C"/>
    <w:rsid w:val="29B665AC"/>
    <w:rsid w:val="29D15596"/>
    <w:rsid w:val="2A7725E1"/>
    <w:rsid w:val="2B473D61"/>
    <w:rsid w:val="2CB01DDA"/>
    <w:rsid w:val="2D460049"/>
    <w:rsid w:val="2DE22E71"/>
    <w:rsid w:val="3163566D"/>
    <w:rsid w:val="31D8203D"/>
    <w:rsid w:val="31FA2FC3"/>
    <w:rsid w:val="3248523C"/>
    <w:rsid w:val="353327D7"/>
    <w:rsid w:val="35A3072E"/>
    <w:rsid w:val="35BA60CE"/>
    <w:rsid w:val="38CA49CD"/>
    <w:rsid w:val="39D54C2E"/>
    <w:rsid w:val="3A731769"/>
    <w:rsid w:val="3B3140E6"/>
    <w:rsid w:val="3B8763FC"/>
    <w:rsid w:val="3C0E61D6"/>
    <w:rsid w:val="3D912B45"/>
    <w:rsid w:val="3DC92B7D"/>
    <w:rsid w:val="3E7013C9"/>
    <w:rsid w:val="3F2D1069"/>
    <w:rsid w:val="404D79B1"/>
    <w:rsid w:val="40CF23D7"/>
    <w:rsid w:val="411058C0"/>
    <w:rsid w:val="413277CA"/>
    <w:rsid w:val="41A31919"/>
    <w:rsid w:val="42507548"/>
    <w:rsid w:val="457F75CA"/>
    <w:rsid w:val="471A6376"/>
    <w:rsid w:val="495E1E55"/>
    <w:rsid w:val="4A6C57DD"/>
    <w:rsid w:val="4A842484"/>
    <w:rsid w:val="4ACE4B79"/>
    <w:rsid w:val="4ADA413D"/>
    <w:rsid w:val="4C811ECE"/>
    <w:rsid w:val="4C8E75EA"/>
    <w:rsid w:val="4CD64AED"/>
    <w:rsid w:val="4DEA6AA2"/>
    <w:rsid w:val="4DF74D1B"/>
    <w:rsid w:val="505E5526"/>
    <w:rsid w:val="50C025FA"/>
    <w:rsid w:val="51CA3B38"/>
    <w:rsid w:val="53425821"/>
    <w:rsid w:val="543D7D43"/>
    <w:rsid w:val="54413194"/>
    <w:rsid w:val="554E608A"/>
    <w:rsid w:val="56D36709"/>
    <w:rsid w:val="56EB5013"/>
    <w:rsid w:val="57A557E8"/>
    <w:rsid w:val="57DD4F82"/>
    <w:rsid w:val="58EB366D"/>
    <w:rsid w:val="59337A15"/>
    <w:rsid w:val="5A865DA5"/>
    <w:rsid w:val="5B3B1FAA"/>
    <w:rsid w:val="5BEE021E"/>
    <w:rsid w:val="5BF22FC6"/>
    <w:rsid w:val="5CF8252C"/>
    <w:rsid w:val="5D0631CD"/>
    <w:rsid w:val="5D215911"/>
    <w:rsid w:val="5DBF70F0"/>
    <w:rsid w:val="5DF23B2E"/>
    <w:rsid w:val="5E7C394C"/>
    <w:rsid w:val="5F4578E7"/>
    <w:rsid w:val="5F4E26F5"/>
    <w:rsid w:val="60511ABB"/>
    <w:rsid w:val="62173015"/>
    <w:rsid w:val="6228716A"/>
    <w:rsid w:val="62652744"/>
    <w:rsid w:val="63A20CFF"/>
    <w:rsid w:val="63F83144"/>
    <w:rsid w:val="66DC6D4D"/>
    <w:rsid w:val="68B735CD"/>
    <w:rsid w:val="68F84152"/>
    <w:rsid w:val="6A400653"/>
    <w:rsid w:val="6A7F45BF"/>
    <w:rsid w:val="6B5A68F5"/>
    <w:rsid w:val="6BBF5D79"/>
    <w:rsid w:val="6BC9041D"/>
    <w:rsid w:val="6DAB7F02"/>
    <w:rsid w:val="719E17CE"/>
    <w:rsid w:val="71CD20B4"/>
    <w:rsid w:val="72567DE8"/>
    <w:rsid w:val="72C16AF2"/>
    <w:rsid w:val="72FA6ED8"/>
    <w:rsid w:val="73A76E7D"/>
    <w:rsid w:val="74A23383"/>
    <w:rsid w:val="75730384"/>
    <w:rsid w:val="78401AE9"/>
    <w:rsid w:val="7B4E5EDA"/>
    <w:rsid w:val="7BEB3862"/>
    <w:rsid w:val="7C7B7C1A"/>
    <w:rsid w:val="7D0A1801"/>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6"/>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29"/>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3"/>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8">
    <w:name w:val="Default Paragraph Font"/>
    <w:semiHidden/>
    <w:unhideWhenUsed/>
    <w:qFormat/>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2"/>
    <w:semiHidden/>
    <w:unhideWhenUsed/>
    <w:qFormat/>
    <w:uiPriority w:val="99"/>
    <w:rPr>
      <w:rFonts w:ascii="宋体"/>
      <w:sz w:val="18"/>
      <w:szCs w:val="18"/>
    </w:rPr>
  </w:style>
  <w:style w:type="paragraph" w:styleId="7">
    <w:name w:val="Body Text"/>
    <w:basedOn w:val="1"/>
    <w:next w:val="1"/>
    <w:link w:val="34"/>
    <w:qFormat/>
    <w:uiPriority w:val="0"/>
    <w:pPr>
      <w:spacing w:after="120"/>
    </w:pPr>
    <w:rPr>
      <w:rFonts w:ascii="Times New Roman" w:hAnsi="Times New Roman"/>
      <w:szCs w:val="24"/>
    </w:rPr>
  </w:style>
  <w:style w:type="paragraph" w:styleId="8">
    <w:name w:val="Body Text Indent"/>
    <w:basedOn w:val="1"/>
    <w:next w:val="9"/>
    <w:unhideWhenUsed/>
    <w:qFormat/>
    <w:uiPriority w:val="99"/>
    <w:pPr>
      <w:spacing w:after="120"/>
      <w:ind w:left="420" w:leftChars="200"/>
    </w:pPr>
  </w:style>
  <w:style w:type="paragraph" w:styleId="9">
    <w:name w:val="Body Text Indent 2"/>
    <w:basedOn w:val="1"/>
    <w:link w:val="38"/>
    <w:qFormat/>
    <w:uiPriority w:val="99"/>
    <w:pPr>
      <w:spacing w:after="120" w:line="480" w:lineRule="auto"/>
      <w:ind w:left="420" w:leftChars="200"/>
    </w:pPr>
    <w:rPr>
      <w:kern w:val="0"/>
      <w:sz w:val="24"/>
    </w:rPr>
  </w:style>
  <w:style w:type="paragraph" w:styleId="10">
    <w:name w:val="Plain Text"/>
    <w:basedOn w:val="1"/>
    <w:link w:val="27"/>
    <w:qFormat/>
    <w:uiPriority w:val="0"/>
    <w:rPr>
      <w:rFonts w:ascii="宋体" w:hAnsi="Courier New"/>
      <w:kern w:val="0"/>
      <w:szCs w:val="20"/>
    </w:rPr>
  </w:style>
  <w:style w:type="paragraph" w:styleId="11">
    <w:name w:val="Date"/>
    <w:basedOn w:val="1"/>
    <w:next w:val="1"/>
    <w:link w:val="24"/>
    <w:semiHidden/>
    <w:unhideWhenUsed/>
    <w:qFormat/>
    <w:uiPriority w:val="99"/>
    <w:pPr>
      <w:ind w:left="100" w:leftChars="2500"/>
    </w:pPr>
  </w:style>
  <w:style w:type="paragraph" w:styleId="12">
    <w:name w:val="footer"/>
    <w:basedOn w:val="1"/>
    <w:link w:val="21"/>
    <w:unhideWhenUsed/>
    <w:qFormat/>
    <w:uiPriority w:val="99"/>
    <w:pPr>
      <w:tabs>
        <w:tab w:val="center" w:pos="4153"/>
        <w:tab w:val="right" w:pos="8306"/>
      </w:tabs>
      <w:snapToGrid w:val="0"/>
      <w:jc w:val="left"/>
    </w:pPr>
    <w:rPr>
      <w:sz w:val="18"/>
      <w:szCs w:val="18"/>
    </w:rPr>
  </w:style>
  <w:style w:type="paragraph" w:styleId="13">
    <w:name w:val="header"/>
    <w:basedOn w:val="1"/>
    <w:link w:val="20"/>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5">
    <w:name w:val="Body Text First Indent 2"/>
    <w:basedOn w:val="8"/>
    <w:next w:val="1"/>
    <w:unhideWhenUsed/>
    <w:qFormat/>
    <w:uiPriority w:val="99"/>
    <w:pPr>
      <w:spacing w:before="100" w:beforeAutospacing="1"/>
      <w:ind w:firstLine="420"/>
    </w:pPr>
    <w:rPr>
      <w:szCs w:val="21"/>
    </w:rPr>
  </w:style>
  <w:style w:type="table" w:styleId="17">
    <w:name w:val="Table Grid"/>
    <w:basedOn w:val="16"/>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customStyle="1" w:styleId="20">
    <w:name w:val="页眉 字符"/>
    <w:basedOn w:val="18"/>
    <w:link w:val="13"/>
    <w:qFormat/>
    <w:uiPriority w:val="0"/>
    <w:rPr>
      <w:rFonts w:ascii="Calibri" w:hAnsi="Calibri" w:eastAsia="宋体" w:cs="Times New Roman"/>
      <w:sz w:val="18"/>
      <w:szCs w:val="18"/>
    </w:rPr>
  </w:style>
  <w:style w:type="character" w:customStyle="1" w:styleId="21">
    <w:name w:val="页脚 字符"/>
    <w:basedOn w:val="18"/>
    <w:link w:val="12"/>
    <w:qFormat/>
    <w:uiPriority w:val="99"/>
    <w:rPr>
      <w:rFonts w:ascii="Calibri" w:hAnsi="Calibri" w:eastAsia="宋体" w:cs="Times New Roman"/>
      <w:sz w:val="18"/>
      <w:szCs w:val="18"/>
    </w:rPr>
  </w:style>
  <w:style w:type="character" w:customStyle="1" w:styleId="22">
    <w:name w:val="文档结构图 字符"/>
    <w:basedOn w:val="18"/>
    <w:link w:val="6"/>
    <w:semiHidden/>
    <w:qFormat/>
    <w:uiPriority w:val="99"/>
    <w:rPr>
      <w:rFonts w:ascii="宋体" w:hAnsi="Calibri" w:eastAsia="宋体" w:cs="Times New Roman"/>
      <w:sz w:val="18"/>
      <w:szCs w:val="18"/>
    </w:rPr>
  </w:style>
  <w:style w:type="paragraph" w:customStyle="1" w:styleId="23">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4">
    <w:name w:val="日期 字符"/>
    <w:basedOn w:val="18"/>
    <w:link w:val="11"/>
    <w:semiHidden/>
    <w:qFormat/>
    <w:uiPriority w:val="99"/>
    <w:rPr>
      <w:rFonts w:ascii="Calibri" w:hAnsi="Calibri" w:eastAsia="宋体" w:cs="Times New Roman"/>
    </w:rPr>
  </w:style>
  <w:style w:type="paragraph" w:customStyle="1" w:styleId="25">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6">
    <w:name w:val="标题 1 字符"/>
    <w:basedOn w:val="18"/>
    <w:link w:val="2"/>
    <w:qFormat/>
    <w:uiPriority w:val="0"/>
    <w:rPr>
      <w:rFonts w:ascii="Cambria" w:hAnsi="Cambria" w:eastAsia="华文中宋" w:cs="Times New Roman"/>
      <w:b/>
      <w:bCs/>
      <w:sz w:val="44"/>
      <w:szCs w:val="28"/>
    </w:rPr>
  </w:style>
  <w:style w:type="character" w:customStyle="1" w:styleId="27">
    <w:name w:val="纯文本 字符"/>
    <w:link w:val="10"/>
    <w:qFormat/>
    <w:locked/>
    <w:uiPriority w:val="0"/>
    <w:rPr>
      <w:rFonts w:ascii="宋体" w:hAnsi="Courier New"/>
      <w:sz w:val="21"/>
    </w:rPr>
  </w:style>
  <w:style w:type="character" w:customStyle="1" w:styleId="28">
    <w:name w:val="纯文本 Char"/>
    <w:basedOn w:val="18"/>
    <w:semiHidden/>
    <w:qFormat/>
    <w:uiPriority w:val="99"/>
    <w:rPr>
      <w:rFonts w:ascii="宋体" w:hAnsi="Courier New" w:cs="Courier New"/>
      <w:kern w:val="2"/>
      <w:sz w:val="21"/>
      <w:szCs w:val="21"/>
    </w:rPr>
  </w:style>
  <w:style w:type="character" w:customStyle="1" w:styleId="29">
    <w:name w:val="标题 2 字符"/>
    <w:basedOn w:val="18"/>
    <w:link w:val="3"/>
    <w:semiHidden/>
    <w:qFormat/>
    <w:uiPriority w:val="9"/>
    <w:rPr>
      <w:rFonts w:asciiTheme="majorHAnsi" w:hAnsiTheme="majorHAnsi" w:eastAsiaTheme="majorEastAsia" w:cstheme="majorBidi"/>
      <w:b/>
      <w:bCs/>
      <w:kern w:val="2"/>
      <w:sz w:val="32"/>
      <w:szCs w:val="32"/>
    </w:rPr>
  </w:style>
  <w:style w:type="paragraph" w:customStyle="1" w:styleId="30">
    <w:name w:val="Table Paragraph"/>
    <w:basedOn w:val="1"/>
    <w:qFormat/>
    <w:uiPriority w:val="1"/>
  </w:style>
  <w:style w:type="paragraph" w:customStyle="1" w:styleId="31">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
    <w:name w:val="Char1 Char Char Char Char Char Char Char"/>
    <w:basedOn w:val="1"/>
    <w:qFormat/>
    <w:uiPriority w:val="0"/>
    <w:rPr>
      <w:rFonts w:ascii="Tahoma" w:hAnsi="Tahoma"/>
      <w:sz w:val="24"/>
      <w:szCs w:val="20"/>
    </w:rPr>
  </w:style>
  <w:style w:type="character" w:customStyle="1" w:styleId="33">
    <w:name w:val="标题 6 字符"/>
    <w:basedOn w:val="18"/>
    <w:link w:val="4"/>
    <w:qFormat/>
    <w:uiPriority w:val="9"/>
    <w:rPr>
      <w:rFonts w:asciiTheme="majorHAnsi" w:hAnsiTheme="majorHAnsi" w:eastAsiaTheme="majorEastAsia" w:cstheme="majorBidi"/>
      <w:b/>
      <w:bCs/>
      <w:kern w:val="2"/>
      <w:sz w:val="24"/>
      <w:szCs w:val="24"/>
    </w:rPr>
  </w:style>
  <w:style w:type="character" w:customStyle="1" w:styleId="34">
    <w:name w:val="正文文本 字符"/>
    <w:basedOn w:val="18"/>
    <w:link w:val="7"/>
    <w:qFormat/>
    <w:uiPriority w:val="0"/>
    <w:rPr>
      <w:kern w:val="2"/>
      <w:sz w:val="21"/>
      <w:szCs w:val="24"/>
    </w:rPr>
  </w:style>
  <w:style w:type="paragraph" w:styleId="35">
    <w:name w:val="List Paragraph"/>
    <w:basedOn w:val="1"/>
    <w:qFormat/>
    <w:uiPriority w:val="34"/>
    <w:pPr>
      <w:ind w:firstLine="420" w:firstLineChars="200"/>
    </w:pPr>
    <w:rPr>
      <w:rFonts w:ascii="Times New Roman" w:hAnsi="Times New Roman"/>
      <w:szCs w:val="24"/>
    </w:rPr>
  </w:style>
  <w:style w:type="paragraph" w:customStyle="1" w:styleId="36">
    <w:name w:val="样式 宋体1"/>
    <w:basedOn w:val="1"/>
    <w:qFormat/>
    <w:uiPriority w:val="0"/>
    <w:pPr>
      <w:ind w:firstLine="420" w:firstLineChars="200"/>
      <w:jc w:val="left"/>
    </w:pPr>
    <w:rPr>
      <w:rFonts w:ascii="宋体" w:hAnsi="宋体" w:eastAsia="等线" w:cs="宋体"/>
      <w:szCs w:val="20"/>
    </w:rPr>
  </w:style>
  <w:style w:type="paragraph" w:customStyle="1" w:styleId="37">
    <w:name w:val="Normal_1"/>
    <w:qFormat/>
    <w:uiPriority w:val="0"/>
    <w:rPr>
      <w:rFonts w:ascii="Calibri" w:hAnsi="Calibri" w:eastAsia="宋体" w:cs="Times New Roman"/>
      <w:sz w:val="24"/>
      <w:szCs w:val="24"/>
      <w:lang w:val="en-US" w:eastAsia="zh-CN" w:bidi="ar-SA"/>
    </w:rPr>
  </w:style>
  <w:style w:type="character" w:customStyle="1" w:styleId="38">
    <w:name w:val="正文文本缩进 2 字符"/>
    <w:link w:val="9"/>
    <w:qFormat/>
    <w:uiPriority w:val="99"/>
    <w:rPr>
      <w:rFonts w:ascii="Calibri" w:hAnsi="Calibri"/>
      <w:sz w:val="24"/>
      <w:szCs w:val="22"/>
    </w:rPr>
  </w:style>
  <w:style w:type="paragraph" w:customStyle="1" w:styleId="39">
    <w:name w:val="01 文件标题"/>
    <w:basedOn w:val="1"/>
    <w:next w:val="1"/>
    <w:qFormat/>
    <w:uiPriority w:val="0"/>
    <w:pPr>
      <w:spacing w:line="560" w:lineRule="exact"/>
      <w:jc w:val="center"/>
    </w:pPr>
    <w:rPr>
      <w:rFonts w:ascii="方正小标宋简体" w:eastAsia="方正小标宋简体"/>
      <w:sz w:val="44"/>
    </w:rPr>
  </w:style>
  <w:style w:type="paragraph" w:customStyle="1" w:styleId="40">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1">
    <w:name w:val="04 二级标题"/>
    <w:basedOn w:val="3"/>
    <w:qFormat/>
    <w:uiPriority w:val="0"/>
    <w:pPr>
      <w:spacing w:before="0" w:after="0" w:line="560" w:lineRule="exact"/>
      <w:ind w:firstLine="200" w:firstLineChars="200"/>
    </w:pPr>
    <w:rPr>
      <w:rFonts w:ascii="楷体_GB2312" w:hAnsi="Times New Roman" w:eastAsia="楷体_GB2312"/>
      <w:b w:val="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3792</Words>
  <Characters>3880</Characters>
  <Lines>31</Lines>
  <Paragraphs>9</Paragraphs>
  <TotalTime>0</TotalTime>
  <ScaleCrop>false</ScaleCrop>
  <LinksUpToDate>false</LinksUpToDate>
  <CharactersWithSpaces>4524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2025-01-19T03:35:00Z</dcterms:created>
  <dc:creator>china</dc:creator>
  <cp:lastModifiedBy></cp:lastModifiedBy>
  <cp:lastPrinted>2020-08-24T02:17:00Z</cp:lastPrinted>
  <dcterms:modified xsi:type="dcterms:W3CDTF">2026-04-10T08:53:34Z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44E8F443F12B43AB80A16C0080E7D105_13</vt:lpwstr>
  </property>
  <property fmtid="{D5CDD505-2E9C-101B-9397-08002B2CF9AE}" pid="4" name="KSOTemplateDocerSaveRecord">
    <vt:lpwstr>eyJoZGlkIjoiNjExNjA1MzY4NDcxNDhlNGIwYWUzMzQ5YTk5ZTk5ZTUiLCJ1c2VySWQiOiI0OTQ3NjU2MzMifQ==</vt:lpwstr>
  </property>
</Properties>
</file>