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before="156" w:beforeLines="50" w:after="156" w:afterLines="50" w:line="360" w:lineRule="auto"/>
        <w:rPr>
          <w:rFonts w:hint="eastAsia" w:ascii="黑体" w:hAnsi="黑体" w:eastAsia="黑体"/>
          <w:sz w:val="32"/>
          <w:szCs w:val="32"/>
        </w:rPr>
      </w:pP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r>
        <w:rPr>
          <w:rFonts w:hint="eastAsia" w:ascii="黑体" w:hAnsi="黑体" w:eastAsia="黑体"/>
          <w:sz w:val="32"/>
          <w:szCs w:val="32"/>
        </w:rPr>
        <w:t>采购项目名称：磁浮直线电磁驱动试验中心文化空间建设</w:t>
      </w: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五</w:t>
      </w:r>
      <w:r>
        <w:rPr>
          <w:rFonts w:ascii="黑体" w:hAnsi="黑体" w:eastAsia="黑体"/>
          <w:sz w:val="32"/>
          <w:szCs w:val="32"/>
        </w:rPr>
        <w:t>月</w:t>
      </w:r>
    </w:p>
    <w:p w14:paraId="3FD890A2">
      <w:pPr>
        <w:pStyle w:val="17"/>
      </w:pPr>
    </w:p>
    <w:p w14:paraId="74C80E6E">
      <w:pPr>
        <w:jc w:val="both"/>
        <w:outlineLvl w:val="0"/>
        <w:rPr>
          <w:rFonts w:hint="eastAsia" w:ascii="黑体" w:hAnsi="黑体" w:eastAsia="黑体"/>
          <w:b/>
          <w:sz w:val="36"/>
          <w:szCs w:val="36"/>
        </w:rPr>
      </w:pPr>
    </w:p>
    <w:p w14:paraId="54410F33">
      <w:pPr>
        <w:pStyle w:val="2"/>
        <w:rPr>
          <w:rFonts w:hint="eastAsia" w:ascii="黑体" w:hAnsi="黑体" w:eastAsia="黑体"/>
          <w:b/>
          <w:sz w:val="36"/>
          <w:szCs w:val="36"/>
        </w:rPr>
      </w:pPr>
    </w:p>
    <w:p w14:paraId="28029D9A">
      <w:pPr>
        <w:rPr>
          <w:rFonts w:hint="eastAsia"/>
        </w:rPr>
      </w:pPr>
    </w:p>
    <w:p w14:paraId="6EAB8857">
      <w:pPr>
        <w:pStyle w:val="11"/>
        <w:adjustRightInd w:val="0"/>
        <w:snapToGrid w:val="0"/>
        <w:spacing w:before="156" w:beforeLines="50" w:after="156" w:afterLines="50" w:line="360" w:lineRule="auto"/>
        <w:jc w:val="center"/>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rPr>
        <w:t>湖南铁道职业技术学院磁浮直线电磁驱动试验中心文化空间建设</w:t>
      </w:r>
      <w:r>
        <w:rPr>
          <w:rFonts w:hint="eastAsia" w:ascii="黑体" w:hAnsi="黑体" w:eastAsia="黑体"/>
          <w:b/>
          <w:sz w:val="36"/>
          <w:szCs w:val="36"/>
          <w:lang w:val="en-US" w:eastAsia="zh-CN"/>
        </w:rPr>
        <w:t>项目</w:t>
      </w:r>
      <w:r>
        <w:rPr>
          <w:rFonts w:hint="eastAsia" w:ascii="黑体" w:hAnsi="黑体" w:eastAsia="黑体"/>
          <w:b/>
          <w:sz w:val="36"/>
          <w:szCs w:val="36"/>
          <w:u w:val="none"/>
        </w:rPr>
        <w:t>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1"/>
        <w:adjustRightInd w:val="0"/>
        <w:snapToGrid w:val="0"/>
        <w:spacing w:before="156" w:beforeLines="50" w:after="156" w:afterLines="50" w:line="360" w:lineRule="auto"/>
        <w:ind w:firstLine="480" w:firstLineChars="200"/>
        <w:rPr>
          <w:rFonts w:hint="eastAsia" w:ascii="仿宋" w:hAnsi="仿宋" w:eastAsia="仿宋"/>
          <w:sz w:val="24"/>
          <w:szCs w:val="24"/>
        </w:rPr>
      </w:pPr>
      <w:r>
        <w:rPr>
          <w:rFonts w:ascii="仿宋" w:hAnsi="仿宋" w:eastAsia="仿宋"/>
          <w:sz w:val="24"/>
          <w:szCs w:val="24"/>
          <w:u w:val="none"/>
        </w:rPr>
        <w:t>湖南铁道职业技术学院</w:t>
      </w:r>
      <w:r>
        <w:rPr>
          <w:rFonts w:hint="eastAsia" w:ascii="仿宋" w:hAnsi="仿宋" w:eastAsia="仿宋"/>
          <w:sz w:val="24"/>
          <w:szCs w:val="24"/>
          <w:u w:val="none"/>
        </w:rPr>
        <w:t>磁浮直线电磁驱动试验中心文化空间建设</w:t>
      </w:r>
      <w:r>
        <w:rPr>
          <w:rFonts w:hint="eastAsia" w:ascii="仿宋" w:hAnsi="仿宋" w:eastAsia="仿宋"/>
          <w:sz w:val="24"/>
          <w:szCs w:val="24"/>
          <w:u w:val="none"/>
          <w:lang w:val="en-US" w:eastAsia="zh-CN"/>
        </w:rPr>
        <w:t>项目</w:t>
      </w:r>
      <w:r>
        <w:rPr>
          <w:rFonts w:hint="eastAsia" w:ascii="仿宋" w:hAnsi="仿宋" w:eastAsia="仿宋"/>
          <w:sz w:val="24"/>
          <w:szCs w:val="24"/>
          <w:u w:val="none"/>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4659"/>
      <w:bookmarkStart w:id="2" w:name="_Toc3564"/>
      <w:bookmarkStart w:id="3" w:name="_Toc17794_WPSOffice_Level2"/>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631D04A">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一</w:t>
      </w:r>
      <w:r>
        <w:rPr>
          <w:rFonts w:hint="eastAsia" w:ascii="仿宋" w:hAnsi="仿宋" w:eastAsia="仿宋"/>
          <w:sz w:val="24"/>
          <w:szCs w:val="24"/>
          <w:lang w:eastAsia="zh-CN"/>
        </w:rPr>
        <w:t>）</w:t>
      </w:r>
      <w:r>
        <w:rPr>
          <w:rFonts w:hint="eastAsia" w:ascii="仿宋" w:hAnsi="仿宋" w:eastAsia="仿宋"/>
          <w:sz w:val="24"/>
          <w:szCs w:val="24"/>
        </w:rPr>
        <w:t>项目名称：磁浮直线电磁驱动试验中心文化空间建设</w:t>
      </w:r>
    </w:p>
    <w:p w14:paraId="69FE0B30">
      <w:pPr>
        <w:snapToGrid w:val="0"/>
        <w:spacing w:before="156" w:beforeLines="50" w:line="360" w:lineRule="auto"/>
        <w:ind w:firstLine="480" w:firstLineChars="200"/>
        <w:jc w:val="left"/>
        <w:rPr>
          <w:rFonts w:hint="eastAsia" w:ascii="仿宋" w:hAnsi="仿宋" w:eastAsia="仿宋"/>
          <w:sz w:val="24"/>
          <w:szCs w:val="24"/>
          <w:u w:val="none"/>
        </w:rPr>
      </w:pP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二</w:t>
      </w:r>
      <w:r>
        <w:rPr>
          <w:rFonts w:hint="eastAsia" w:ascii="仿宋" w:hAnsi="仿宋" w:eastAsia="仿宋"/>
          <w:sz w:val="24"/>
          <w:szCs w:val="24"/>
          <w:u w:val="none"/>
          <w:lang w:eastAsia="zh-CN"/>
        </w:rPr>
        <w:t>）</w:t>
      </w:r>
      <w:r>
        <w:rPr>
          <w:rFonts w:hint="eastAsia" w:ascii="仿宋" w:hAnsi="仿宋" w:eastAsia="仿宋"/>
          <w:sz w:val="24"/>
          <w:szCs w:val="24"/>
          <w:u w:val="none"/>
        </w:rPr>
        <w:t>项目概况: 我校与中车株洲所联合共建“磁浮直线电磁驱动试验中心”。为充分展现试验中心的技术实力、科研成果与文化内涵，提升中心的形象展示、科普教育与学术交流功能，现需对试验中心内部空间进行文化环境建设。本项目拟通过专业的设计与施工，将磁浮技术元素、校企文化、产教融合、科研精神与空间功能有机融合，打造一个兼具科技感、教育性与艺术性的现代化文化空间，使其成为产-学-研-用成果的“展示区”与技术交流的“新窗口”。</w:t>
      </w:r>
    </w:p>
    <w:p w14:paraId="0E2D1D2E">
      <w:pPr>
        <w:snapToGrid w:val="0"/>
        <w:spacing w:before="156" w:beforeLines="50" w:line="360" w:lineRule="auto"/>
        <w:ind w:firstLine="480" w:firstLineChars="200"/>
        <w:jc w:val="left"/>
        <w:rPr>
          <w:rFonts w:hint="eastAsia" w:ascii="仿宋" w:hAnsi="仿宋" w:eastAsia="仿宋" w:cs="Times New Roman"/>
          <w:color w:val="auto"/>
          <w:kern w:val="2"/>
          <w:sz w:val="24"/>
          <w:szCs w:val="24"/>
          <w:lang w:val="en-US" w:eastAsia="zh-CN" w:bidi="ar-SA"/>
        </w:rPr>
      </w:pP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三</w:t>
      </w:r>
      <w:r>
        <w:rPr>
          <w:rFonts w:hint="eastAsia" w:ascii="仿宋" w:hAnsi="仿宋" w:eastAsia="仿宋"/>
          <w:color w:val="auto"/>
          <w:sz w:val="24"/>
          <w:szCs w:val="24"/>
          <w:lang w:eastAsia="zh-CN"/>
        </w:rPr>
        <w:t>）</w:t>
      </w:r>
      <w:r>
        <w:rPr>
          <w:rFonts w:hint="eastAsia" w:ascii="仿宋" w:hAnsi="仿宋" w:eastAsia="仿宋"/>
          <w:color w:val="auto"/>
          <w:sz w:val="24"/>
          <w:szCs w:val="24"/>
        </w:rPr>
        <w:t>服务内容：（1）整体方案策划与设计：根据试验中心（约1300平米）的既有空间布局、试验台位置、参观动线及光照条件，进行整体文化空间的概念方案设计、深化方案设计及施工图设计；（2）文化展陈设施制作与安装：精神堡垒、发光文化墙、展示台面、功能介绍展板、发光字等。</w:t>
      </w:r>
    </w:p>
    <w:p w14:paraId="71947C1A">
      <w:pPr>
        <w:pStyle w:val="17"/>
        <w:snapToGrid w:val="0"/>
        <w:spacing w:before="0" w:beforeAutospacing="0" w:after="0" w:line="360" w:lineRule="auto"/>
        <w:ind w:left="0" w:leftChars="0" w:firstLine="480" w:firstLineChars="200"/>
        <w:jc w:val="left"/>
        <w:rPr>
          <w:rFonts w:ascii="仿宋" w:hAnsi="仿宋" w:eastAsia="仿宋"/>
          <w:color w:val="auto"/>
          <w:sz w:val="24"/>
          <w:szCs w:val="24"/>
        </w:rPr>
      </w:pP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lang w:val="en-US" w:eastAsia="zh-CN"/>
        </w:rPr>
        <w:t>四</w:t>
      </w:r>
      <w:r>
        <w:rPr>
          <w:rFonts w:hint="eastAsia" w:ascii="仿宋" w:hAnsi="仿宋" w:eastAsia="仿宋"/>
          <w:color w:val="auto"/>
          <w:sz w:val="24"/>
          <w:szCs w:val="24"/>
          <w:u w:val="none"/>
          <w:lang w:eastAsia="zh-CN"/>
        </w:rPr>
        <w:t>）</w:t>
      </w:r>
      <w:r>
        <w:rPr>
          <w:rFonts w:hint="eastAsia" w:ascii="仿宋" w:hAnsi="仿宋" w:eastAsia="仿宋"/>
          <w:color w:val="auto"/>
          <w:sz w:val="24"/>
          <w:szCs w:val="24"/>
        </w:rPr>
        <w:t>采购预算：13.1722</w:t>
      </w:r>
      <w:r>
        <w:rPr>
          <w:rFonts w:ascii="仿宋" w:hAnsi="仿宋" w:eastAsia="仿宋"/>
          <w:color w:val="auto"/>
          <w:sz w:val="24"/>
          <w:szCs w:val="24"/>
        </w:rPr>
        <w:t>万元</w:t>
      </w:r>
    </w:p>
    <w:p w14:paraId="232D698E">
      <w:pPr>
        <w:pStyle w:val="17"/>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lang w:val="en-US" w:eastAsia="zh-CN"/>
        </w:rPr>
        <w:t>五</w:t>
      </w: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lang w:val="en-US" w:eastAsia="zh-CN"/>
        </w:rPr>
        <w:t>中标单位</w:t>
      </w:r>
      <w:r>
        <w:rPr>
          <w:rFonts w:hint="eastAsia" w:ascii="仿宋" w:hAnsi="仿宋" w:eastAsia="仿宋"/>
          <w:color w:val="auto"/>
          <w:sz w:val="24"/>
          <w:szCs w:val="24"/>
          <w:lang w:val="en-US" w:eastAsia="zh-CN"/>
        </w:rPr>
        <w:t>数量：1家</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w:t>
      </w:r>
      <w:r>
        <w:rPr>
          <w:rFonts w:hint="eastAsia" w:ascii="仿宋" w:hAnsi="仿宋" w:eastAsia="仿宋"/>
          <w:sz w:val="24"/>
          <w:szCs w:val="24"/>
          <w:lang w:val="en-US" w:eastAsia="zh-CN"/>
        </w:rPr>
        <w:t>（1）营业执照经营范围包含广告设计、制作、代理、发布等相关内容。（2）具备高校或同类事业单位广告服务相关业绩，提供至少 2 个类似项目案例。（3）拥有固定服务团队，能提供稳定、及时的本地化服务。</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1．首次响应文件的提交截止时间：202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年</w:t>
      </w:r>
      <w:r>
        <w:rPr>
          <w:rFonts w:hint="eastAsia" w:ascii="仿宋" w:hAnsi="仿宋" w:eastAsia="仿宋"/>
          <w:color w:val="auto"/>
          <w:sz w:val="24"/>
          <w:szCs w:val="24"/>
          <w:lang w:val="en-US" w:eastAsia="zh-CN"/>
        </w:rPr>
        <w:t xml:space="preserve"> 6 </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 xml:space="preserve"> 4 </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时</w:t>
      </w:r>
      <w:r>
        <w:rPr>
          <w:rFonts w:hint="eastAsia" w:ascii="仿宋" w:hAnsi="仿宋" w:eastAsia="仿宋"/>
          <w:color w:val="auto"/>
          <w:sz w:val="24"/>
          <w:szCs w:val="24"/>
          <w:lang w:val="en-US" w:eastAsia="zh-CN"/>
        </w:rPr>
        <w:t>00分</w:t>
      </w:r>
    </w:p>
    <w:p w14:paraId="5FCFB0A5">
      <w:pPr>
        <w:pStyle w:val="17"/>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2．首次响应文件的开启时间：202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年</w:t>
      </w:r>
      <w:r>
        <w:rPr>
          <w:rFonts w:hint="eastAsia" w:ascii="仿宋" w:hAnsi="仿宋" w:eastAsia="仿宋"/>
          <w:color w:val="auto"/>
          <w:sz w:val="24"/>
          <w:szCs w:val="24"/>
          <w:lang w:val="en-US" w:eastAsia="zh-CN"/>
        </w:rPr>
        <w:t xml:space="preserve"> 6 </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 xml:space="preserve"> 4</w:t>
      </w:r>
      <w:bookmarkStart w:id="9" w:name="_GoBack"/>
      <w:bookmarkEnd w:id="9"/>
      <w:r>
        <w:rPr>
          <w:rFonts w:hint="eastAsia" w:ascii="仿宋" w:hAnsi="仿宋" w:eastAsia="仿宋"/>
          <w:color w:val="auto"/>
          <w:sz w:val="24"/>
          <w:szCs w:val="24"/>
          <w:lang w:val="en-US" w:eastAsia="zh-CN"/>
        </w:rPr>
        <w:t xml:space="preserve"> </w:t>
      </w:r>
      <w:r>
        <w:rPr>
          <w:rFonts w:hint="eastAsia" w:ascii="仿宋" w:hAnsi="仿宋" w:eastAsia="仿宋"/>
          <w:color w:val="auto"/>
          <w:sz w:val="24"/>
          <w:szCs w:val="24"/>
          <w:u w:val="none"/>
        </w:rPr>
        <w:t>日</w:t>
      </w:r>
      <w:r>
        <w:rPr>
          <w:rFonts w:hint="eastAsia" w:ascii="仿宋" w:hAnsi="仿宋" w:eastAsia="仿宋"/>
          <w:color w:val="auto"/>
          <w:sz w:val="24"/>
          <w:szCs w:val="24"/>
          <w:u w:val="none"/>
          <w:lang w:val="en-US" w:eastAsia="zh-CN"/>
        </w:rPr>
        <w:t>10</w:t>
      </w:r>
      <w:r>
        <w:rPr>
          <w:rFonts w:hint="eastAsia" w:ascii="仿宋" w:hAnsi="仿宋" w:eastAsia="仿宋"/>
          <w:color w:val="auto"/>
          <w:sz w:val="24"/>
          <w:szCs w:val="24"/>
          <w:u w:val="none"/>
        </w:rPr>
        <w:t>时</w:t>
      </w:r>
      <w:r>
        <w:rPr>
          <w:rFonts w:hint="eastAsia" w:ascii="仿宋" w:hAnsi="仿宋" w:eastAsia="仿宋"/>
          <w:color w:val="auto"/>
          <w:sz w:val="24"/>
          <w:szCs w:val="24"/>
          <w:u w:val="none"/>
          <w:lang w:val="en-US" w:eastAsia="zh-CN"/>
        </w:rPr>
        <w:t>00分</w:t>
      </w:r>
    </w:p>
    <w:p w14:paraId="63DB6ACB">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eastAsia="zh-CN"/>
        </w:rPr>
        <w:t>范刚</w:t>
      </w:r>
      <w:r>
        <w:rPr>
          <w:rFonts w:hint="eastAsia" w:ascii="仿宋" w:hAnsi="仿宋" w:eastAsia="仿宋" w:cstheme="minorEastAsia"/>
          <w:sz w:val="24"/>
          <w:szCs w:val="24"/>
        </w:rPr>
        <w:t xml:space="preserve">          </w:t>
      </w:r>
    </w:p>
    <w:p w14:paraId="64D28F7C">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18573358269</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19A7FB3D">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w:t>
      </w:r>
      <w:r>
        <w:rPr>
          <w:rFonts w:hint="eastAsia" w:ascii="仿宋" w:hAnsi="仿宋" w:eastAsia="仿宋" w:cstheme="minorEastAsia"/>
          <w:sz w:val="24"/>
          <w:szCs w:val="24"/>
          <w:lang w:eastAsia="zh-CN"/>
        </w:rPr>
        <w:t>智慧路</w:t>
      </w:r>
      <w:r>
        <w:rPr>
          <w:rFonts w:hint="eastAsia" w:ascii="仿宋" w:hAnsi="仿宋" w:eastAsia="仿宋" w:cstheme="minorEastAsia"/>
          <w:sz w:val="24"/>
          <w:szCs w:val="24"/>
          <w:lang w:val="en-US" w:eastAsia="zh-CN"/>
        </w:rPr>
        <w:t>1</w:t>
      </w:r>
      <w:r>
        <w:rPr>
          <w:rFonts w:hint="eastAsia" w:ascii="仿宋" w:hAnsi="仿宋" w:eastAsia="仿宋" w:cstheme="minorEastAsia"/>
          <w:sz w:val="24"/>
          <w:szCs w:val="24"/>
        </w:rPr>
        <w:t>号</w:t>
      </w:r>
    </w:p>
    <w:p w14:paraId="22636C0B">
      <w:pPr>
        <w:pStyle w:val="2"/>
        <w:spacing w:before="0" w:after="0" w:line="240" w:lineRule="auto"/>
        <w:jc w:val="both"/>
        <w:rPr>
          <w:rFonts w:ascii="仿宋" w:hAnsi="仿宋" w:eastAsia="仿宋"/>
          <w:b/>
          <w:sz w:val="36"/>
          <w:szCs w:val="36"/>
        </w:rPr>
      </w:pPr>
    </w:p>
    <w:p w14:paraId="781FB24D">
      <w:pPr>
        <w:rPr>
          <w:rFonts w:ascii="仿宋" w:hAnsi="仿宋" w:eastAsia="仿宋"/>
          <w:b/>
          <w:sz w:val="36"/>
          <w:szCs w:val="36"/>
        </w:rPr>
      </w:pPr>
    </w:p>
    <w:p w14:paraId="070FCBB6">
      <w:pPr>
        <w:pStyle w:val="2"/>
      </w:pPr>
    </w:p>
    <w:p w14:paraId="13E5B5CB">
      <w:pPr>
        <w:bidi w:val="0"/>
      </w:pPr>
    </w:p>
    <w:p w14:paraId="6C054AA1">
      <w:pPr>
        <w:bidi w:val="0"/>
      </w:pPr>
    </w:p>
    <w:p w14:paraId="32D04645">
      <w:pPr>
        <w:bidi w:val="0"/>
      </w:pPr>
    </w:p>
    <w:p w14:paraId="617784FE">
      <w:pPr>
        <w:bidi w:val="0"/>
      </w:pPr>
    </w:p>
    <w:p w14:paraId="020733A8">
      <w:pPr>
        <w:bidi w:val="0"/>
      </w:pPr>
    </w:p>
    <w:p w14:paraId="0BAB4E21">
      <w:pPr>
        <w:bidi w:val="0"/>
      </w:pPr>
    </w:p>
    <w:p w14:paraId="4FC1CCAA">
      <w:pPr>
        <w:ind w:firstLine="3253" w:firstLineChars="900"/>
        <w:rPr>
          <w:rFonts w:ascii="仿宋" w:hAnsi="仿宋" w:eastAsia="仿宋"/>
          <w:b/>
          <w:sz w:val="36"/>
          <w:szCs w:val="36"/>
        </w:rPr>
      </w:pPr>
    </w:p>
    <w:p w14:paraId="611302C1">
      <w:pPr>
        <w:ind w:firstLine="3253" w:firstLineChars="900"/>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1．项目名称：磁浮直线电磁驱动试验中心文化空间建设项目</w:t>
      </w:r>
    </w:p>
    <w:p w14:paraId="5A3630E4">
      <w:pPr>
        <w:pStyle w:val="43"/>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u w:val="none"/>
          <w:lang w:val="en-US" w:eastAsia="zh-CN"/>
        </w:rPr>
        <w:t>2026年 6 月 10 日至2027年 6 月 9 日</w:t>
      </w:r>
      <w:r>
        <w:rPr>
          <w:rFonts w:hint="eastAsia" w:ascii="仿宋" w:hAnsi="仿宋" w:eastAsia="仿宋" w:cs="仿宋"/>
          <w:color w:val="333333"/>
          <w:kern w:val="0"/>
          <w:sz w:val="24"/>
          <w:szCs w:val="24"/>
          <w:u w:val="none"/>
        </w:rPr>
        <w:t>。</w:t>
      </w:r>
    </w:p>
    <w:p w14:paraId="6E67D954">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（一）总体要求</w:t>
      </w:r>
    </w:p>
    <w:p w14:paraId="7570A156">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供应商须具备文化建设、标识导视、展厅制作相关经验，提供类似业绩证明。所有材料符合国家环保、防火、安全标准，室内无异味、室外耐候抗腐。所有图文、LOGO、文字内容须经采购方最终确认后方可制作。施工期间遵守现场安全管理，不影响试验中心正常运行，文明施工、工完场清。提供1 年免费质保，质保期内非人为损坏免费维修、更换、调试。</w:t>
      </w:r>
    </w:p>
    <w:p w14:paraId="48D18D5A">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三、分项采购需求</w:t>
      </w:r>
    </w:p>
    <w:p w14:paraId="76FA40CF">
      <w:pPr>
        <w:widowControl w:val="0"/>
        <w:snapToGrid w:val="0"/>
        <w:spacing w:before="0" w:beforeAutospacing="0" w:after="0" w:line="360" w:lineRule="auto"/>
        <w:ind w:left="0" w:leftChars="0" w:firstLine="482" w:firstLineChars="200"/>
        <w:jc w:val="left"/>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1. 试验中心定位标识牌（精神堡垒）</w:t>
      </w:r>
    </w:p>
    <w:p w14:paraId="4A28409B">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功能：入口形象标识，强化中心定位内容：磁浮直线电磁驱动试验中心、中车株洲所 LOGO制作要求材质：镀锌钢板 / 不锈钢主体，耐候烤漆，防锈防晒工艺：立体造型、文字清晰、结构稳固安装：基础固定、抗风抗震、外观整洁无瑕疵</w:t>
      </w:r>
    </w:p>
    <w:p w14:paraId="58D82CD3">
      <w:pPr>
        <w:widowControl w:val="0"/>
        <w:snapToGrid w:val="0"/>
        <w:spacing w:before="0" w:beforeAutospacing="0" w:after="0" w:line="360" w:lineRule="auto"/>
        <w:ind w:left="0" w:leftChars="0" w:firstLine="482" w:firstLineChars="200"/>
        <w:jc w:val="left"/>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2. 试验中心主形象墙（立体结构 + 灯效）</w:t>
      </w:r>
    </w:p>
    <w:p w14:paraId="024CE883">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功能：核心文化展示墙内容主题标语：轨道连世界 磁浮通未来板块：中心简介、核心使命、关键技术（驱动 / 悬浮 / 控制 / 装备）、定位、成果转化、未来规划、已建成设备制作要求材质：铝塑板 / 防火板底板，亚克力 / 金属立体字，LED 低压灯带工艺：立体结构、灯光均匀无频闪、版面平整无缝效果：层次分明、科技感强、信息清晰易读</w:t>
      </w:r>
    </w:p>
    <w:p w14:paraId="1BD8A7A8">
      <w:pPr>
        <w:widowControl w:val="0"/>
        <w:snapToGrid w:val="0"/>
        <w:spacing w:before="0" w:beforeAutospacing="0" w:after="0" w:line="360" w:lineRule="auto"/>
        <w:ind w:left="0" w:leftChars="0" w:firstLine="482" w:firstLineChars="200"/>
        <w:jc w:val="left"/>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3. 试验中心名称发光字（吧台立面改造）</w:t>
      </w:r>
    </w:p>
    <w:p w14:paraId="7CA7903B">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功能：吧台立面形象提升，夜间识别内容：磁浮直线电磁驱动试验中心、中车株洲所 LOGO制作要求材质：亚克力无边字 / 树脂字，高亮 LED 模组工艺：发光均匀、无暗区、防水安全安装：与吧台贴合牢固、外观整洁美观</w:t>
      </w:r>
    </w:p>
    <w:p w14:paraId="0A0EF4F2">
      <w:pPr>
        <w:widowControl w:val="0"/>
        <w:snapToGrid w:val="0"/>
        <w:spacing w:before="0" w:beforeAutospacing="0" w:after="0" w:line="360" w:lineRule="auto"/>
        <w:ind w:left="0" w:leftChars="0" w:firstLine="482" w:firstLineChars="200"/>
        <w:jc w:val="left"/>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4. 试验中心长廊文化墙</w:t>
      </w:r>
    </w:p>
    <w:p w14:paraId="6F749F5A">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功能：长廊序列文化展示主题内容产教同心・共育英才从跟跑到引领・磁浮进化之路攻坚先锋・研浮铁军智轨未来・共赴新程制作要求材质：高清 UV 打印、铝塑板 / 亚克力基材、铝合金边框工艺：色彩还原度高、无气泡翘边、整体连贯统一布局：分段展示、间距均匀、阅读流畅</w:t>
      </w:r>
    </w:p>
    <w:p w14:paraId="22B48ED9">
      <w:pPr>
        <w:widowControl w:val="0"/>
        <w:snapToGrid w:val="0"/>
        <w:spacing w:before="0" w:beforeAutospacing="0" w:after="0" w:line="360" w:lineRule="auto"/>
        <w:ind w:left="0" w:leftChars="0" w:firstLine="482" w:firstLineChars="200"/>
        <w:jc w:val="left"/>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5. 设备介绍斜面标识牌</w:t>
      </w:r>
    </w:p>
    <w:p w14:paraId="59F97F35">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功能：设备区域讲解导视内容：永磁电动浮、18 米牵引悬浮台等设备名称、功能简介制作要求材质：PVC / 亚克力板，斜面结构稳固工艺：UV 打印、耐磨防刮、视角友好安装：不影响设备操作、固定安全可靠</w:t>
      </w:r>
    </w:p>
    <w:p w14:paraId="05C38B12">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四、技术与质量要求</w:t>
      </w:r>
    </w:p>
    <w:p w14:paraId="1B2B2CA5">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材料要求：环保达标、阻燃、室内低 VOC，室外耐候、抗紫外线、不褪色。电气要求：LED 光源低压安全，符合 3C 标准，线路隐蔽规范、防水绝缘。精度要求：图文误差≤1mm，水平 / 垂直度≤2mm，拼接缝隙≤0.5mm。安全要求：结构牢固、抗冲击、无尖锐边角，符合试验中心安全规范。</w:t>
      </w:r>
    </w:p>
    <w:p w14:paraId="45107CC3">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五、工期要求</w:t>
      </w:r>
    </w:p>
    <w:p w14:paraId="35BFB288">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自合同签订且图纸确认之日起7 日历天内完成全部制作、安装、调试并通过验收。</w:t>
      </w:r>
    </w:p>
    <w:p w14:paraId="1DF229E9">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六、验收要求</w:t>
      </w:r>
    </w:p>
    <w:p w14:paraId="03668FCC">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按采购方确认的最终图纸、材质、工艺、内容逐项验收。安装牢固、灯光正常、图文无误、外观整洁、无质量缺陷。供应商提供：竣工图、材料清单、质保卡、使用说明、源文件。</w:t>
      </w:r>
    </w:p>
    <w:p w14:paraId="149D48A8">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七、售后服务要求</w:t>
      </w:r>
    </w:p>
    <w:p w14:paraId="4D541F9A">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质保期：1 年，非人为损坏免费维修 / 更换。响应：报修后2 小时内响应，24 小时内到场处理。终身提供成本价维护、更新、升级服务。</w:t>
      </w:r>
    </w:p>
    <w:p w14:paraId="0D5CBF9A">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八、供应商资质要求（最低标准）</w:t>
      </w:r>
    </w:p>
    <w:p w14:paraId="1680C5BD">
      <w:pPr>
        <w:widowControl w:val="0"/>
        <w:ind w:leftChars="0" w:firstLine="480" w:firstLineChars="200"/>
        <w:jc w:val="both"/>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具有独立法人资格，营业执照合法有效。近 3 年具有机关 / 企业 / 园区文化建设或标识制作类似业绩。具备设计、制作、安装一体化服务能力，有固定施工团队。未被列入失信被执行人、重大税收违法失信主体。</w:t>
      </w:r>
    </w:p>
    <w:p w14:paraId="79BC7225">
      <w:pPr>
        <w:widowControl w:val="0"/>
        <w:snapToGrid w:val="0"/>
        <w:spacing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九、报价要求</w:t>
      </w:r>
    </w:p>
    <w:p w14:paraId="09C071F8">
      <w:pPr>
        <w:widowControl w:val="0"/>
        <w:ind w:leftChars="0" w:firstLine="480" w:firstLineChars="200"/>
        <w:jc w:val="both"/>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报价为总价包干，含设计、制作、材料、运输、安装、调试、税费、质保等全部费用。报价单须列明：项目名称、数量、材质、工艺、单价、合价、总价。</w:t>
      </w:r>
    </w:p>
    <w:p w14:paraId="39915D61">
      <w:pPr>
        <w:adjustRightInd w:val="0"/>
        <w:snapToGrid w:val="0"/>
        <w:spacing w:line="520" w:lineRule="exact"/>
        <w:ind w:firstLine="482" w:firstLineChars="200"/>
        <w:jc w:val="left"/>
        <w:rPr>
          <w:rFonts w:hint="eastAsia" w:ascii="仿宋" w:hAnsi="仿宋" w:eastAsia="仿宋" w:cs="宋体"/>
          <w:b/>
          <w:sz w:val="24"/>
          <w:szCs w:val="24"/>
        </w:rPr>
      </w:pPr>
      <w:r>
        <w:rPr>
          <w:rFonts w:hint="eastAsia" w:ascii="仿宋" w:hAnsi="仿宋" w:eastAsia="仿宋" w:cs="宋体"/>
          <w:b/>
          <w:sz w:val="24"/>
          <w:szCs w:val="24"/>
          <w:lang w:val="en-US" w:eastAsia="zh-CN"/>
        </w:rPr>
        <w:t>十</w:t>
      </w:r>
      <w:r>
        <w:rPr>
          <w:rFonts w:hint="eastAsia" w:ascii="仿宋" w:hAnsi="仿宋" w:eastAsia="仿宋" w:cs="宋体"/>
          <w:b/>
          <w:sz w:val="24"/>
          <w:szCs w:val="24"/>
        </w:rPr>
        <w:t>、投标报价说明</w:t>
      </w:r>
    </w:p>
    <w:p w14:paraId="3362942A">
      <w:pPr>
        <w:pStyle w:val="43"/>
        <w:spacing w:line="520" w:lineRule="exact"/>
        <w:ind w:firstLine="480"/>
        <w:rPr>
          <w:rFonts w:hint="default" w:ascii="仿宋" w:hAnsi="仿宋" w:eastAsia="仿宋" w:cs="仿宋"/>
          <w:color w:val="333333"/>
          <w:kern w:val="0"/>
          <w:sz w:val="24"/>
          <w:szCs w:val="24"/>
          <w:highlight w:val="none"/>
          <w:lang w:val="en-US" w:eastAsia="zh-CN"/>
        </w:rPr>
      </w:pPr>
      <w:r>
        <w:rPr>
          <w:rFonts w:hint="eastAsia" w:ascii="仿宋" w:hAnsi="仿宋" w:eastAsia="仿宋" w:cs="仿宋"/>
          <w:color w:val="333333"/>
          <w:kern w:val="0"/>
          <w:sz w:val="24"/>
          <w:szCs w:val="24"/>
          <w:highlight w:val="none"/>
        </w:rPr>
        <w:t>本项目招标</w:t>
      </w:r>
      <w:r>
        <w:rPr>
          <w:rFonts w:hint="eastAsia" w:ascii="仿宋" w:hAnsi="仿宋" w:eastAsia="仿宋" w:cs="仿宋"/>
          <w:color w:val="333333"/>
          <w:kern w:val="0"/>
          <w:sz w:val="24"/>
          <w:szCs w:val="24"/>
          <w:highlight w:val="none"/>
          <w:lang w:val="en-US" w:eastAsia="zh-CN"/>
        </w:rPr>
        <w:t>为分项报价</w:t>
      </w:r>
    </w:p>
    <w:p w14:paraId="14B1AF8B">
      <w:pPr>
        <w:adjustRightInd w:val="0"/>
        <w:snapToGrid w:val="0"/>
        <w:spacing w:line="520" w:lineRule="exact"/>
        <w:ind w:firstLine="482" w:firstLineChars="200"/>
        <w:jc w:val="left"/>
        <w:rPr>
          <w:rFonts w:hint="eastAsia" w:ascii="仿宋" w:hAnsi="仿宋" w:eastAsia="仿宋" w:cs="宋体"/>
          <w:b/>
          <w:sz w:val="24"/>
          <w:szCs w:val="24"/>
        </w:rPr>
      </w:pPr>
      <w:r>
        <w:rPr>
          <w:rFonts w:hint="eastAsia" w:ascii="仿宋" w:hAnsi="仿宋" w:eastAsia="仿宋" w:cs="宋体"/>
          <w:b/>
          <w:sz w:val="24"/>
          <w:szCs w:val="24"/>
          <w:lang w:val="en-US" w:eastAsia="zh-CN"/>
        </w:rPr>
        <w:t>十一</w:t>
      </w:r>
      <w:r>
        <w:rPr>
          <w:rFonts w:hint="eastAsia" w:ascii="仿宋" w:hAnsi="仿宋" w:eastAsia="仿宋" w:cs="宋体"/>
          <w:b/>
          <w:sz w:val="24"/>
          <w:szCs w:val="24"/>
        </w:rPr>
        <w:t>、合同价款和履行合同时间服务质量要求</w:t>
      </w:r>
    </w:p>
    <w:p w14:paraId="49AEA13B">
      <w:pPr>
        <w:snapToGrid w:val="0"/>
        <w:spacing w:line="360" w:lineRule="auto"/>
        <w:ind w:firstLine="482" w:firstLineChars="200"/>
        <w:jc w:val="left"/>
        <w:rPr>
          <w:rFonts w:hint="eastAsia" w:ascii="仿宋" w:hAnsi="仿宋" w:eastAsia="仿宋" w:cs="仿宋"/>
          <w:sz w:val="24"/>
        </w:rPr>
      </w:pPr>
      <w:r>
        <w:rPr>
          <w:rFonts w:hint="eastAsia" w:ascii="仿宋" w:hAnsi="仿宋" w:eastAsia="仿宋" w:cs="宋体"/>
          <w:b/>
          <w:color w:val="auto"/>
          <w:sz w:val="24"/>
          <w:szCs w:val="24"/>
          <w:lang w:val="en-US" w:eastAsia="zh-CN"/>
        </w:rPr>
        <w:t>按甲方要求</w:t>
      </w:r>
    </w:p>
    <w:p w14:paraId="60CEE356">
      <w:pPr>
        <w:snapToGrid w:val="0"/>
        <w:spacing w:line="360" w:lineRule="auto"/>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lang w:val="en-US" w:eastAsia="zh-CN"/>
        </w:rPr>
        <w:t>十二</w:t>
      </w:r>
      <w:r>
        <w:rPr>
          <w:rFonts w:hint="eastAsia" w:ascii="仿宋" w:hAnsi="仿宋" w:eastAsia="仿宋" w:cstheme="minorEastAsia"/>
          <w:b/>
          <w:color w:val="auto"/>
          <w:sz w:val="24"/>
          <w:szCs w:val="24"/>
        </w:rPr>
        <w:t>、付款方式</w:t>
      </w:r>
    </w:p>
    <w:p w14:paraId="07208C7E">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合同签订后，项目完成经甲方</w:t>
      </w:r>
      <w:r>
        <w:rPr>
          <w:rFonts w:ascii="仿宋" w:hAnsi="仿宋" w:eastAsia="仿宋" w:cstheme="minorEastAsia"/>
          <w:color w:val="auto"/>
          <w:sz w:val="24"/>
          <w:szCs w:val="24"/>
        </w:rPr>
        <w:t>验收合格</w:t>
      </w:r>
      <w:r>
        <w:rPr>
          <w:rFonts w:hint="eastAsia" w:ascii="仿宋" w:hAnsi="仿宋" w:eastAsia="仿宋" w:cstheme="minorEastAsia"/>
          <w:color w:val="auto"/>
          <w:sz w:val="24"/>
          <w:szCs w:val="24"/>
        </w:rPr>
        <w:t>后</w:t>
      </w:r>
      <w:r>
        <w:rPr>
          <w:rFonts w:ascii="仿宋" w:hAnsi="仿宋" w:eastAsia="仿宋" w:cstheme="minorEastAsia"/>
          <w:color w:val="auto"/>
          <w:sz w:val="24"/>
          <w:szCs w:val="24"/>
        </w:rPr>
        <w:t>支付合同总金额的</w:t>
      </w:r>
      <w:r>
        <w:rPr>
          <w:rFonts w:hint="eastAsia" w:ascii="仿宋" w:hAnsi="仿宋" w:eastAsia="仿宋" w:cstheme="minorEastAsia"/>
          <w:color w:val="auto"/>
          <w:sz w:val="24"/>
          <w:szCs w:val="24"/>
        </w:rPr>
        <w:t>100</w:t>
      </w:r>
      <w:r>
        <w:rPr>
          <w:rFonts w:ascii="仿宋" w:hAnsi="仿宋" w:eastAsia="仿宋" w:cstheme="minorEastAsia"/>
          <w:color w:val="auto"/>
          <w:sz w:val="24"/>
          <w:szCs w:val="24"/>
        </w:rPr>
        <w:t>%。</w:t>
      </w:r>
      <w:r>
        <w:rPr>
          <w:rFonts w:hint="eastAsia" w:ascii="仿宋" w:hAnsi="仿宋" w:eastAsia="仿宋" w:cstheme="minorEastAsia"/>
          <w:color w:val="auto"/>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十三</w:t>
      </w:r>
      <w:r>
        <w:rPr>
          <w:rFonts w:hint="eastAsia" w:ascii="仿宋" w:hAnsi="仿宋" w:eastAsia="仿宋" w:cstheme="minorEastAsia"/>
          <w:b/>
          <w:sz w:val="24"/>
          <w:szCs w:val="24"/>
        </w:rPr>
        <w:t>、其他说明：</w:t>
      </w:r>
    </w:p>
    <w:p w14:paraId="0191A80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参与投标的单位中标后须是湖南省</w:t>
      </w:r>
      <w:r>
        <w:rPr>
          <w:rFonts w:hint="eastAsia" w:ascii="仿宋" w:hAnsi="仿宋" w:eastAsia="仿宋" w:cstheme="minorEastAsia"/>
          <w:sz w:val="24"/>
          <w:szCs w:val="24"/>
          <w:lang w:val="en-US" w:eastAsia="zh-CN"/>
        </w:rPr>
        <w:t>乐彩云</w:t>
      </w:r>
      <w:r>
        <w:rPr>
          <w:rFonts w:hint="eastAsia" w:ascii="仿宋" w:hAnsi="仿宋" w:eastAsia="仿宋" w:cstheme="minorEastAsia"/>
          <w:sz w:val="24"/>
          <w:szCs w:val="24"/>
        </w:rPr>
        <w:t>的合格供应商。</w:t>
      </w:r>
    </w:p>
    <w:p w14:paraId="226EA716">
      <w:pPr>
        <w:pStyle w:val="17"/>
        <w:ind w:left="0" w:leftChars="0" w:firstLine="0"/>
        <w:jc w:val="both"/>
        <w:rPr>
          <w:rFonts w:hint="eastAsia" w:ascii="仿宋" w:hAnsi="仿宋" w:eastAsia="仿宋"/>
          <w:b/>
          <w:sz w:val="36"/>
          <w:szCs w:val="36"/>
        </w:rPr>
      </w:pPr>
    </w:p>
    <w:p w14:paraId="2358F0A2">
      <w:pPr>
        <w:rPr>
          <w:rFonts w:hint="eastAsia" w:ascii="仿宋" w:hAnsi="仿宋" w:eastAsia="仿宋"/>
          <w:b/>
          <w:sz w:val="36"/>
          <w:szCs w:val="36"/>
        </w:rPr>
      </w:pPr>
    </w:p>
    <w:p w14:paraId="7450F11F">
      <w:pPr>
        <w:rPr>
          <w:rFonts w:hint="eastAsia" w:ascii="仿宋" w:hAnsi="仿宋" w:eastAsia="仿宋"/>
          <w:b/>
          <w:sz w:val="36"/>
          <w:szCs w:val="36"/>
        </w:rPr>
      </w:pPr>
    </w:p>
    <w:p w14:paraId="3E54E428">
      <w:pPr>
        <w:rPr>
          <w:rFonts w:hint="eastAsia" w:ascii="仿宋" w:hAnsi="仿宋" w:eastAsia="仿宋"/>
          <w:b/>
          <w:sz w:val="36"/>
          <w:szCs w:val="36"/>
        </w:rPr>
      </w:pPr>
    </w:p>
    <w:p w14:paraId="00407441">
      <w:pPr>
        <w:rPr>
          <w:rFonts w:hint="eastAsia" w:ascii="仿宋" w:hAnsi="仿宋" w:eastAsia="仿宋"/>
          <w:b/>
          <w:sz w:val="36"/>
          <w:szCs w:val="36"/>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68C6E008">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2.1评审方法：综合评分法，</w:t>
      </w:r>
    </w:p>
    <w:p w14:paraId="1BCFAC0C">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2.1.1询比小组专家首先审核各公司资质及是否</w:t>
      </w:r>
      <w:r>
        <w:rPr>
          <w:rFonts w:hint="eastAsia" w:ascii="仿宋" w:hAnsi="仿宋" w:eastAsia="仿宋"/>
          <w:sz w:val="24"/>
          <w:szCs w:val="24"/>
          <w:highlight w:val="none"/>
        </w:rPr>
        <w:t>能够</w:t>
      </w:r>
      <w:r>
        <w:rPr>
          <w:rFonts w:hint="eastAsia" w:ascii="仿宋" w:hAnsi="仿宋" w:eastAsia="仿宋"/>
          <w:sz w:val="24"/>
          <w:szCs w:val="24"/>
          <w:highlight w:val="none"/>
          <w:lang w:val="en-US" w:eastAsia="zh-CN"/>
        </w:rPr>
        <w:t>满足学校服务内容和保证服务质量。</w:t>
      </w:r>
    </w:p>
    <w:p w14:paraId="0D0754AF">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2.1.2满足2.2.1之后，专家再根据各公司分项报价的平均值确定学校各项拍摄视频制作的价格，满足2.1.1的各公司，按最终总分从高到低排序，选取前10名供应商作为入围单位。</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default" w:ascii="仿宋" w:hAnsi="仿宋" w:eastAsia="仿宋"/>
          <w:sz w:val="24"/>
          <w:szCs w:val="24"/>
          <w:lang w:val="en-US" w:eastAsia="zh-CN"/>
        </w:rPr>
      </w:pPr>
      <w:r>
        <w:rPr>
          <w:rFonts w:hint="eastAsia" w:ascii="仿宋" w:hAnsi="仿宋" w:eastAsia="仿宋"/>
          <w:sz w:val="24"/>
          <w:szCs w:val="24"/>
        </w:rPr>
        <w:t>3.2最终报价评价。询比小组以</w:t>
      </w:r>
      <w:r>
        <w:rPr>
          <w:rFonts w:hint="eastAsia" w:ascii="仿宋" w:hAnsi="仿宋" w:eastAsia="仿宋"/>
          <w:sz w:val="24"/>
          <w:szCs w:val="24"/>
          <w:lang w:val="en-US" w:eastAsia="zh-CN"/>
        </w:rPr>
        <w:t>各公司分项报价平均值为</w:t>
      </w:r>
      <w:r>
        <w:rPr>
          <w:rFonts w:hint="eastAsia" w:ascii="仿宋" w:hAnsi="仿宋" w:eastAsia="仿宋"/>
          <w:sz w:val="24"/>
          <w:szCs w:val="24"/>
        </w:rPr>
        <w:t>最终</w:t>
      </w:r>
      <w:r>
        <w:rPr>
          <w:rFonts w:hint="eastAsia" w:ascii="仿宋" w:hAnsi="仿宋" w:eastAsia="仿宋"/>
          <w:sz w:val="24"/>
          <w:szCs w:val="24"/>
          <w:lang w:val="en-US" w:eastAsia="zh-CN"/>
        </w:rPr>
        <w:t>签订合同价格。</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1D926F6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w:t>
      </w:r>
      <w:r>
        <w:rPr>
          <w:rFonts w:hint="eastAsia" w:ascii="仿宋" w:hAnsi="仿宋" w:eastAsia="仿宋"/>
          <w:sz w:val="24"/>
          <w:szCs w:val="24"/>
          <w:lang w:val="en-US" w:eastAsia="zh-CN"/>
        </w:rPr>
        <w:t>专家</w:t>
      </w:r>
      <w:r>
        <w:rPr>
          <w:rFonts w:hint="eastAsia" w:ascii="仿宋" w:hAnsi="仿宋" w:eastAsia="仿宋"/>
          <w:sz w:val="24"/>
          <w:szCs w:val="24"/>
        </w:rPr>
        <w:t>应当独立对每个供应商的响应文件进行</w:t>
      </w:r>
      <w:r>
        <w:rPr>
          <w:rFonts w:hint="eastAsia" w:ascii="仿宋" w:hAnsi="仿宋" w:eastAsia="仿宋"/>
          <w:sz w:val="24"/>
          <w:szCs w:val="24"/>
          <w:lang w:val="en-US" w:eastAsia="zh-CN"/>
        </w:rPr>
        <w:t>审核是否满足资质和服务质量</w:t>
      </w:r>
      <w:r>
        <w:rPr>
          <w:rFonts w:hint="eastAsia" w:ascii="仿宋" w:hAnsi="仿宋" w:eastAsia="仿宋"/>
          <w:sz w:val="24"/>
          <w:szCs w:val="24"/>
        </w:rPr>
        <w:t>，</w:t>
      </w:r>
      <w:r>
        <w:rPr>
          <w:rFonts w:hint="eastAsia" w:ascii="仿宋" w:hAnsi="仿宋" w:eastAsia="仿宋"/>
          <w:sz w:val="24"/>
          <w:szCs w:val="24"/>
          <w:lang w:val="en-US" w:eastAsia="zh-CN"/>
        </w:rPr>
        <w:t>再根据各公司分项报价统计平均值。</w:t>
      </w:r>
      <w:r>
        <w:rPr>
          <w:rFonts w:hint="eastAsia" w:ascii="仿宋" w:hAnsi="仿宋" w:eastAsia="仿宋"/>
          <w:sz w:val="24"/>
          <w:szCs w:val="24"/>
        </w:rPr>
        <w:t>按最终总分从高到低排序，选取前10名供应商作为入围单位。</w:t>
      </w:r>
    </w:p>
    <w:p w14:paraId="7B36E7BD">
      <w:pPr>
        <w:pStyle w:val="2"/>
        <w:jc w:val="both"/>
        <w:rPr>
          <w:rFonts w:hint="default"/>
          <w:lang w:val="en-US"/>
        </w:rPr>
      </w:pPr>
    </w:p>
    <w:p w14:paraId="3246A57E">
      <w:pPr>
        <w:spacing w:line="360" w:lineRule="auto"/>
        <w:ind w:firstLine="482" w:firstLineChars="200"/>
        <w:rPr>
          <w:rFonts w:hint="eastAsia" w:ascii="仿宋" w:hAnsi="仿宋" w:eastAsia="仿宋"/>
          <w:b/>
          <w:bCs/>
          <w:sz w:val="24"/>
          <w:szCs w:val="24"/>
        </w:rPr>
      </w:pPr>
      <w:r>
        <w:rPr>
          <w:rFonts w:hint="eastAsia" w:ascii="仿宋" w:hAnsi="仿宋" w:eastAsia="仿宋"/>
          <w:b/>
          <w:bCs/>
          <w:sz w:val="24"/>
          <w:szCs w:val="24"/>
        </w:rPr>
        <w:t>表1   评审因素和标准</w:t>
      </w:r>
    </w:p>
    <w:tbl>
      <w:tblPr>
        <w:tblStyle w:val="18"/>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569"/>
        <w:gridCol w:w="992"/>
        <w:gridCol w:w="2268"/>
        <w:gridCol w:w="5387"/>
      </w:tblGrid>
      <w:tr w14:paraId="6E8B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5" w:type="dxa"/>
            <w:gridSpan w:val="3"/>
            <w:noWrap w:val="0"/>
            <w:vAlign w:val="center"/>
          </w:tcPr>
          <w:p w14:paraId="0D724957">
            <w:pPr>
              <w:spacing w:line="440" w:lineRule="exact"/>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br w:type="page"/>
            </w:r>
            <w:r>
              <w:rPr>
                <w:rFonts w:hint="eastAsia" w:ascii="黑体" w:hAnsi="黑体" w:eastAsia="黑体" w:cs="黑体"/>
                <w:b w:val="0"/>
                <w:bCs w:val="0"/>
                <w:sz w:val="24"/>
                <w:szCs w:val="24"/>
              </w:rPr>
              <w:t>条款号</w:t>
            </w:r>
          </w:p>
        </w:tc>
        <w:tc>
          <w:tcPr>
            <w:tcW w:w="2268" w:type="dxa"/>
            <w:noWrap w:val="0"/>
            <w:vAlign w:val="center"/>
          </w:tcPr>
          <w:p w14:paraId="37872485">
            <w:pPr>
              <w:spacing w:line="440" w:lineRule="exact"/>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评审因素</w:t>
            </w:r>
          </w:p>
        </w:tc>
        <w:tc>
          <w:tcPr>
            <w:tcW w:w="5387" w:type="dxa"/>
            <w:noWrap w:val="0"/>
            <w:vAlign w:val="center"/>
          </w:tcPr>
          <w:p w14:paraId="26E098F7">
            <w:pPr>
              <w:spacing w:line="440" w:lineRule="exact"/>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评审标准</w:t>
            </w:r>
          </w:p>
        </w:tc>
      </w:tr>
      <w:tr w14:paraId="1761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 w:type="dxa"/>
            <w:vMerge w:val="restart"/>
            <w:noWrap w:val="0"/>
            <w:vAlign w:val="center"/>
          </w:tcPr>
          <w:p w14:paraId="6E6E2F89">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初步评审</w:t>
            </w:r>
          </w:p>
          <w:p w14:paraId="3EB56B64">
            <w:pPr>
              <w:rPr>
                <w:rFonts w:hint="eastAsia" w:ascii="方正仿宋_GB2312" w:hAnsi="方正仿宋_GB2312" w:eastAsia="方正仿宋_GB2312" w:cs="方正仿宋_GB2312"/>
                <w:sz w:val="21"/>
                <w:szCs w:val="21"/>
              </w:rPr>
            </w:pPr>
          </w:p>
          <w:p w14:paraId="4D653E0F">
            <w:pPr>
              <w:rPr>
                <w:rFonts w:hint="eastAsia" w:ascii="方正仿宋_GB2312" w:hAnsi="方正仿宋_GB2312" w:eastAsia="方正仿宋_GB2312" w:cs="方正仿宋_GB2312"/>
                <w:sz w:val="21"/>
                <w:szCs w:val="21"/>
              </w:rPr>
            </w:pPr>
          </w:p>
        </w:tc>
        <w:tc>
          <w:tcPr>
            <w:tcW w:w="569" w:type="dxa"/>
            <w:vMerge w:val="restart"/>
            <w:noWrap w:val="0"/>
            <w:vAlign w:val="center"/>
          </w:tcPr>
          <w:p w14:paraId="1866AEA8">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1</w:t>
            </w:r>
          </w:p>
        </w:tc>
        <w:tc>
          <w:tcPr>
            <w:tcW w:w="992" w:type="dxa"/>
            <w:vMerge w:val="restart"/>
            <w:noWrap w:val="0"/>
            <w:vAlign w:val="center"/>
          </w:tcPr>
          <w:p w14:paraId="6D843715">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形式评审标准</w:t>
            </w:r>
          </w:p>
        </w:tc>
        <w:tc>
          <w:tcPr>
            <w:tcW w:w="2268" w:type="dxa"/>
            <w:noWrap w:val="0"/>
            <w:vAlign w:val="center"/>
          </w:tcPr>
          <w:p w14:paraId="3C7D4B94">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响应文件密封</w:t>
            </w:r>
          </w:p>
        </w:tc>
        <w:tc>
          <w:tcPr>
            <w:tcW w:w="5387" w:type="dxa"/>
            <w:noWrap w:val="0"/>
            <w:vAlign w:val="center"/>
          </w:tcPr>
          <w:p w14:paraId="6426F6F2">
            <w:pPr>
              <w:adjustRightInd w:val="0"/>
              <w:snapToGrid w:val="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响应文件满足密封要求，并加盖供应商公章。</w:t>
            </w:r>
          </w:p>
        </w:tc>
      </w:tr>
      <w:tr w14:paraId="6AD3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 w:type="dxa"/>
            <w:vMerge w:val="continue"/>
            <w:noWrap w:val="0"/>
            <w:vAlign w:val="center"/>
          </w:tcPr>
          <w:p w14:paraId="1C7951BD">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30D6C3DE">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6A9509C2">
            <w:pPr>
              <w:jc w:val="distribute"/>
              <w:rPr>
                <w:rFonts w:hint="eastAsia" w:ascii="方正仿宋_GB2312" w:hAnsi="方正仿宋_GB2312" w:eastAsia="方正仿宋_GB2312" w:cs="方正仿宋_GB2312"/>
                <w:sz w:val="21"/>
                <w:szCs w:val="21"/>
              </w:rPr>
            </w:pPr>
          </w:p>
        </w:tc>
        <w:tc>
          <w:tcPr>
            <w:tcW w:w="2268" w:type="dxa"/>
            <w:noWrap w:val="0"/>
            <w:vAlign w:val="center"/>
          </w:tcPr>
          <w:p w14:paraId="1B9D6847">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响应文件份数</w:t>
            </w:r>
          </w:p>
        </w:tc>
        <w:tc>
          <w:tcPr>
            <w:tcW w:w="5387" w:type="dxa"/>
            <w:noWrap w:val="0"/>
            <w:vAlign w:val="center"/>
          </w:tcPr>
          <w:p w14:paraId="3EC56D0F">
            <w:pPr>
              <w:adjustRightInd w:val="0"/>
              <w:snapToGrid w:val="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响应文件至少有一份正本，两份副本。</w:t>
            </w:r>
          </w:p>
        </w:tc>
      </w:tr>
      <w:tr w14:paraId="26E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 w:type="dxa"/>
            <w:vMerge w:val="continue"/>
            <w:noWrap w:val="0"/>
            <w:vAlign w:val="center"/>
          </w:tcPr>
          <w:p w14:paraId="7329C716">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36549093">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3EDA6954">
            <w:pPr>
              <w:rPr>
                <w:rFonts w:hint="eastAsia" w:ascii="方正仿宋_GB2312" w:hAnsi="方正仿宋_GB2312" w:eastAsia="方正仿宋_GB2312" w:cs="方正仿宋_GB2312"/>
                <w:sz w:val="21"/>
                <w:szCs w:val="21"/>
              </w:rPr>
            </w:pPr>
          </w:p>
        </w:tc>
        <w:tc>
          <w:tcPr>
            <w:tcW w:w="2268" w:type="dxa"/>
            <w:noWrap w:val="0"/>
            <w:vAlign w:val="center"/>
          </w:tcPr>
          <w:p w14:paraId="0CDDCD86">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供应商名称</w:t>
            </w:r>
          </w:p>
        </w:tc>
        <w:tc>
          <w:tcPr>
            <w:tcW w:w="5387" w:type="dxa"/>
            <w:noWrap w:val="0"/>
            <w:vAlign w:val="center"/>
          </w:tcPr>
          <w:p w14:paraId="0FD4B409">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与营业执照、资质证书、安全生产许可证一致。</w:t>
            </w:r>
          </w:p>
        </w:tc>
      </w:tr>
      <w:tr w14:paraId="0415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 w:type="dxa"/>
            <w:vMerge w:val="continue"/>
            <w:noWrap w:val="0"/>
            <w:vAlign w:val="center"/>
          </w:tcPr>
          <w:p w14:paraId="2E2DDC36">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45A5E1F8">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22700191">
            <w:pPr>
              <w:rPr>
                <w:rFonts w:hint="eastAsia" w:ascii="方正仿宋_GB2312" w:hAnsi="方正仿宋_GB2312" w:eastAsia="方正仿宋_GB2312" w:cs="方正仿宋_GB2312"/>
                <w:sz w:val="21"/>
                <w:szCs w:val="21"/>
              </w:rPr>
            </w:pPr>
          </w:p>
        </w:tc>
        <w:tc>
          <w:tcPr>
            <w:tcW w:w="2268" w:type="dxa"/>
            <w:noWrap w:val="0"/>
            <w:vAlign w:val="center"/>
          </w:tcPr>
          <w:p w14:paraId="60AC6339">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承诺书</w:t>
            </w:r>
          </w:p>
        </w:tc>
        <w:tc>
          <w:tcPr>
            <w:tcW w:w="5387" w:type="dxa"/>
            <w:noWrap w:val="0"/>
            <w:vAlign w:val="center"/>
          </w:tcPr>
          <w:p w14:paraId="439CB8EF">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有签字、盖章的竞商承诺书、保密承诺书。</w:t>
            </w:r>
          </w:p>
        </w:tc>
      </w:tr>
      <w:tr w14:paraId="4956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 w:type="dxa"/>
            <w:vMerge w:val="continue"/>
            <w:noWrap w:val="0"/>
            <w:vAlign w:val="center"/>
          </w:tcPr>
          <w:p w14:paraId="5C1F03F5">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15EA8CCC">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619CAD3E">
            <w:pPr>
              <w:rPr>
                <w:rFonts w:hint="eastAsia" w:ascii="方正仿宋_GB2312" w:hAnsi="方正仿宋_GB2312" w:eastAsia="方正仿宋_GB2312" w:cs="方正仿宋_GB2312"/>
                <w:sz w:val="21"/>
                <w:szCs w:val="21"/>
              </w:rPr>
            </w:pPr>
          </w:p>
        </w:tc>
        <w:tc>
          <w:tcPr>
            <w:tcW w:w="2268" w:type="dxa"/>
            <w:noWrap w:val="0"/>
            <w:vAlign w:val="center"/>
          </w:tcPr>
          <w:p w14:paraId="74A78FEC">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报价有效且唯一</w:t>
            </w:r>
          </w:p>
        </w:tc>
        <w:tc>
          <w:tcPr>
            <w:tcW w:w="5387" w:type="dxa"/>
            <w:noWrap w:val="0"/>
            <w:vAlign w:val="center"/>
          </w:tcPr>
          <w:p w14:paraId="7E58C2B6">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报价唯一，不高于最高限价，不低于成本价。</w:t>
            </w:r>
          </w:p>
        </w:tc>
      </w:tr>
      <w:tr w14:paraId="6618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dxa"/>
            <w:vMerge w:val="continue"/>
            <w:noWrap w:val="0"/>
            <w:vAlign w:val="center"/>
          </w:tcPr>
          <w:p w14:paraId="1B94FA7E">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41529781">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188E6B14">
            <w:pPr>
              <w:rPr>
                <w:rFonts w:hint="eastAsia" w:ascii="方正仿宋_GB2312" w:hAnsi="方正仿宋_GB2312" w:eastAsia="方正仿宋_GB2312" w:cs="方正仿宋_GB2312"/>
                <w:sz w:val="21"/>
                <w:szCs w:val="21"/>
              </w:rPr>
            </w:pPr>
          </w:p>
        </w:tc>
        <w:tc>
          <w:tcPr>
            <w:tcW w:w="2268" w:type="dxa"/>
            <w:noWrap w:val="0"/>
            <w:vAlign w:val="center"/>
          </w:tcPr>
          <w:p w14:paraId="6D4B846F">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响应文件电子版</w:t>
            </w:r>
          </w:p>
        </w:tc>
        <w:tc>
          <w:tcPr>
            <w:tcW w:w="5387" w:type="dxa"/>
            <w:noWrap w:val="0"/>
            <w:vAlign w:val="center"/>
          </w:tcPr>
          <w:p w14:paraId="49C6183C">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电子版响应文件可以打开，与正本一致，签章齐全。</w:t>
            </w:r>
          </w:p>
        </w:tc>
      </w:tr>
      <w:tr w14:paraId="0F59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424" w:type="dxa"/>
            <w:vMerge w:val="continue"/>
            <w:noWrap w:val="0"/>
            <w:vAlign w:val="center"/>
          </w:tcPr>
          <w:p w14:paraId="6BE76ACB">
            <w:pPr>
              <w:rPr>
                <w:rFonts w:hint="eastAsia" w:ascii="方正仿宋_GB2312" w:hAnsi="方正仿宋_GB2312" w:eastAsia="方正仿宋_GB2312" w:cs="方正仿宋_GB2312"/>
                <w:sz w:val="21"/>
                <w:szCs w:val="21"/>
              </w:rPr>
            </w:pPr>
          </w:p>
        </w:tc>
        <w:tc>
          <w:tcPr>
            <w:tcW w:w="569" w:type="dxa"/>
            <w:vMerge w:val="restart"/>
            <w:noWrap w:val="0"/>
            <w:vAlign w:val="center"/>
          </w:tcPr>
          <w:p w14:paraId="66C7A563">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2</w:t>
            </w:r>
          </w:p>
        </w:tc>
        <w:tc>
          <w:tcPr>
            <w:tcW w:w="992" w:type="dxa"/>
            <w:vMerge w:val="restart"/>
            <w:noWrap w:val="0"/>
            <w:vAlign w:val="center"/>
          </w:tcPr>
          <w:p w14:paraId="7E1798BD">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资格评审标准</w:t>
            </w:r>
          </w:p>
        </w:tc>
        <w:tc>
          <w:tcPr>
            <w:tcW w:w="2268" w:type="dxa"/>
            <w:noWrap w:val="0"/>
            <w:vAlign w:val="center"/>
          </w:tcPr>
          <w:p w14:paraId="049EC419">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营业执照</w:t>
            </w:r>
          </w:p>
        </w:tc>
        <w:tc>
          <w:tcPr>
            <w:tcW w:w="5387" w:type="dxa"/>
            <w:noWrap w:val="0"/>
            <w:vAlign w:val="center"/>
          </w:tcPr>
          <w:p w14:paraId="1D5EB80F">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供应商是中华人民共和国境内注册登记的企业，具有独立法人资格，至采购公告发布日期止，成立并运行</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年及以上。</w:t>
            </w:r>
          </w:p>
        </w:tc>
      </w:tr>
      <w:tr w14:paraId="6748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dxa"/>
            <w:vMerge w:val="continue"/>
            <w:noWrap w:val="0"/>
            <w:vAlign w:val="center"/>
          </w:tcPr>
          <w:p w14:paraId="18083037">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00720226">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5699002F">
            <w:pPr>
              <w:rPr>
                <w:rFonts w:hint="eastAsia" w:ascii="方正仿宋_GB2312" w:hAnsi="方正仿宋_GB2312" w:eastAsia="方正仿宋_GB2312" w:cs="方正仿宋_GB2312"/>
                <w:sz w:val="21"/>
                <w:szCs w:val="21"/>
              </w:rPr>
            </w:pPr>
          </w:p>
        </w:tc>
        <w:tc>
          <w:tcPr>
            <w:tcW w:w="2268" w:type="dxa"/>
            <w:noWrap w:val="0"/>
            <w:vAlign w:val="center"/>
          </w:tcPr>
          <w:p w14:paraId="38A9321C">
            <w:pPr>
              <w:adjustRightInd w:val="0"/>
              <w:snapToGrid w:val="0"/>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rPr>
              <w:t>增值税</w:t>
            </w:r>
            <w:r>
              <w:rPr>
                <w:rFonts w:hint="eastAsia" w:ascii="方正仿宋_GB2312" w:hAnsi="方正仿宋_GB2312" w:eastAsia="方正仿宋_GB2312" w:cs="方正仿宋_GB2312"/>
                <w:sz w:val="21"/>
                <w:szCs w:val="21"/>
                <w:lang w:val="en-US" w:eastAsia="zh-CN"/>
              </w:rPr>
              <w:t>发票</w:t>
            </w:r>
          </w:p>
        </w:tc>
        <w:tc>
          <w:tcPr>
            <w:tcW w:w="5387" w:type="dxa"/>
            <w:noWrap w:val="0"/>
            <w:vAlign w:val="center"/>
          </w:tcPr>
          <w:p w14:paraId="5B315316">
            <w:pPr>
              <w:adjustRightInd w:val="0"/>
              <w:snapToGrid w:val="0"/>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可开具增值税普通发票</w:t>
            </w:r>
          </w:p>
        </w:tc>
      </w:tr>
      <w:tr w14:paraId="6BCD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24" w:type="dxa"/>
            <w:vMerge w:val="continue"/>
            <w:noWrap w:val="0"/>
            <w:vAlign w:val="center"/>
          </w:tcPr>
          <w:p w14:paraId="1289FB9D">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6B17AA20">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766C51C0">
            <w:pPr>
              <w:rPr>
                <w:rFonts w:hint="eastAsia" w:ascii="方正仿宋_GB2312" w:hAnsi="方正仿宋_GB2312" w:eastAsia="方正仿宋_GB2312" w:cs="方正仿宋_GB2312"/>
                <w:sz w:val="21"/>
                <w:szCs w:val="21"/>
              </w:rPr>
            </w:pPr>
          </w:p>
        </w:tc>
        <w:tc>
          <w:tcPr>
            <w:tcW w:w="2268" w:type="dxa"/>
            <w:noWrap w:val="0"/>
            <w:vAlign w:val="center"/>
          </w:tcPr>
          <w:p w14:paraId="03B599D2">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身份证明</w:t>
            </w:r>
          </w:p>
        </w:tc>
        <w:tc>
          <w:tcPr>
            <w:tcW w:w="5387" w:type="dxa"/>
            <w:noWrap w:val="0"/>
            <w:vAlign w:val="center"/>
          </w:tcPr>
          <w:p w14:paraId="4E393A95">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参加洽谈人员需为法定代表人或委托代表人，身份证件与响应文件记录一致。</w:t>
            </w:r>
          </w:p>
        </w:tc>
      </w:tr>
      <w:tr w14:paraId="1DB5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24" w:type="dxa"/>
            <w:vMerge w:val="continue"/>
            <w:noWrap w:val="0"/>
            <w:vAlign w:val="center"/>
          </w:tcPr>
          <w:p w14:paraId="0D2283C8">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3D53E519">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1FE3C64D">
            <w:pPr>
              <w:rPr>
                <w:rFonts w:hint="eastAsia" w:ascii="方正仿宋_GB2312" w:hAnsi="方正仿宋_GB2312" w:eastAsia="方正仿宋_GB2312" w:cs="方正仿宋_GB2312"/>
                <w:sz w:val="21"/>
                <w:szCs w:val="21"/>
              </w:rPr>
            </w:pPr>
          </w:p>
        </w:tc>
        <w:tc>
          <w:tcPr>
            <w:tcW w:w="2268" w:type="dxa"/>
            <w:noWrap w:val="0"/>
            <w:vAlign w:val="center"/>
          </w:tcPr>
          <w:p w14:paraId="39C3FE09">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资质证明</w:t>
            </w:r>
          </w:p>
        </w:tc>
        <w:tc>
          <w:tcPr>
            <w:tcW w:w="5387" w:type="dxa"/>
            <w:noWrap w:val="0"/>
            <w:vAlign w:val="center"/>
          </w:tcPr>
          <w:p w14:paraId="7C94B5ED">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供应商营业执照应具备广告设计</w:t>
            </w:r>
            <w:r>
              <w:rPr>
                <w:rFonts w:hint="eastAsia" w:ascii="方正仿宋_GB2312" w:hAnsi="方正仿宋_GB2312" w:eastAsia="方正仿宋_GB2312" w:cs="方正仿宋_GB2312"/>
                <w:sz w:val="21"/>
                <w:szCs w:val="21"/>
                <w:lang w:val="en-US" w:eastAsia="zh-CN"/>
              </w:rPr>
              <w:t>和</w:t>
            </w:r>
            <w:r>
              <w:rPr>
                <w:rFonts w:hint="eastAsia" w:ascii="方正仿宋_GB2312" w:hAnsi="方正仿宋_GB2312" w:eastAsia="方正仿宋_GB2312" w:cs="方正仿宋_GB2312"/>
                <w:sz w:val="21"/>
                <w:szCs w:val="21"/>
              </w:rPr>
              <w:t>广告制作</w:t>
            </w:r>
            <w:r>
              <w:rPr>
                <w:rFonts w:hint="eastAsia" w:ascii="方正仿宋_GB2312" w:hAnsi="方正仿宋_GB2312" w:eastAsia="方正仿宋_GB2312" w:cs="方正仿宋_GB2312"/>
                <w:sz w:val="21"/>
                <w:szCs w:val="21"/>
                <w:lang w:val="en-US" w:eastAsia="zh-CN"/>
              </w:rPr>
              <w:t>安装</w:t>
            </w:r>
            <w:r>
              <w:rPr>
                <w:rFonts w:hint="eastAsia" w:ascii="方正仿宋_GB2312" w:hAnsi="方正仿宋_GB2312" w:eastAsia="方正仿宋_GB2312" w:cs="方正仿宋_GB2312"/>
                <w:sz w:val="21"/>
                <w:szCs w:val="21"/>
              </w:rPr>
              <w:t>等相关经营范围。</w:t>
            </w:r>
          </w:p>
        </w:tc>
      </w:tr>
      <w:tr w14:paraId="3285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424" w:type="dxa"/>
            <w:vMerge w:val="continue"/>
            <w:noWrap w:val="0"/>
            <w:vAlign w:val="center"/>
          </w:tcPr>
          <w:p w14:paraId="719FA711">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51138EFF">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59F6C3E9">
            <w:pPr>
              <w:rPr>
                <w:rFonts w:hint="eastAsia" w:ascii="方正仿宋_GB2312" w:hAnsi="方正仿宋_GB2312" w:eastAsia="方正仿宋_GB2312" w:cs="方正仿宋_GB2312"/>
                <w:sz w:val="21"/>
                <w:szCs w:val="21"/>
              </w:rPr>
            </w:pPr>
          </w:p>
        </w:tc>
        <w:tc>
          <w:tcPr>
            <w:tcW w:w="2268" w:type="dxa"/>
            <w:noWrap w:val="0"/>
            <w:vAlign w:val="center"/>
          </w:tcPr>
          <w:p w14:paraId="40FA9E7E">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诚信记录</w:t>
            </w:r>
          </w:p>
        </w:tc>
        <w:tc>
          <w:tcPr>
            <w:tcW w:w="5387" w:type="dxa"/>
            <w:noWrap w:val="0"/>
            <w:vAlign w:val="center"/>
          </w:tcPr>
          <w:p w14:paraId="0721DB32">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在报名期限内由信用中国网站生成的企业“公共信用信息报告”，在最近三年无骗取中标、严重违约、重大工程质量问题和其他严重不良记录。</w:t>
            </w:r>
          </w:p>
        </w:tc>
      </w:tr>
      <w:tr w14:paraId="6671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640" w:type="dxa"/>
            <w:gridSpan w:val="5"/>
            <w:tcBorders>
              <w:top w:val="nil"/>
              <w:left w:val="nil"/>
              <w:bottom w:val="nil"/>
              <w:right w:val="nil"/>
            </w:tcBorders>
            <w:noWrap w:val="0"/>
            <w:vAlign w:val="center"/>
          </w:tcPr>
          <w:p w14:paraId="2FDA2D62">
            <w:pPr>
              <w:adjustRightInd w:val="0"/>
              <w:snapToGrid w:val="0"/>
              <w:spacing w:line="200" w:lineRule="exact"/>
              <w:rPr>
                <w:rFonts w:hint="eastAsia" w:ascii="方正仿宋_GB2312" w:hAnsi="方正仿宋_GB2312" w:eastAsia="方正仿宋_GB2312" w:cs="方正仿宋_GB2312"/>
                <w:sz w:val="21"/>
                <w:szCs w:val="21"/>
              </w:rPr>
            </w:pPr>
          </w:p>
        </w:tc>
      </w:tr>
      <w:tr w14:paraId="22DD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4" w:type="dxa"/>
            <w:vMerge w:val="restart"/>
            <w:noWrap w:val="0"/>
            <w:vAlign w:val="center"/>
          </w:tcPr>
          <w:p w14:paraId="0926D158">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详细评审</w:t>
            </w:r>
          </w:p>
        </w:tc>
        <w:tc>
          <w:tcPr>
            <w:tcW w:w="569" w:type="dxa"/>
            <w:vMerge w:val="restart"/>
            <w:noWrap w:val="0"/>
            <w:vAlign w:val="center"/>
          </w:tcPr>
          <w:p w14:paraId="7FC126FC">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1</w:t>
            </w:r>
          </w:p>
        </w:tc>
        <w:tc>
          <w:tcPr>
            <w:tcW w:w="992" w:type="dxa"/>
            <w:vMerge w:val="restart"/>
            <w:noWrap w:val="0"/>
            <w:vAlign w:val="center"/>
          </w:tcPr>
          <w:p w14:paraId="21FFA649">
            <w:pPr>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分值构成（总分100分）</w:t>
            </w:r>
          </w:p>
        </w:tc>
        <w:tc>
          <w:tcPr>
            <w:tcW w:w="2268" w:type="dxa"/>
            <w:noWrap w:val="0"/>
            <w:tcMar>
              <w:left w:w="0" w:type="dxa"/>
              <w:right w:w="28" w:type="dxa"/>
            </w:tcMar>
            <w:vAlign w:val="center"/>
          </w:tcPr>
          <w:p w14:paraId="1DF80202">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项目</w:t>
            </w:r>
          </w:p>
        </w:tc>
        <w:tc>
          <w:tcPr>
            <w:tcW w:w="5387" w:type="dxa"/>
            <w:noWrap w:val="0"/>
            <w:tcMar>
              <w:left w:w="0" w:type="dxa"/>
              <w:right w:w="28" w:type="dxa"/>
            </w:tcMar>
            <w:vAlign w:val="center"/>
          </w:tcPr>
          <w:p w14:paraId="797C0EBC">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占比</w:t>
            </w:r>
          </w:p>
        </w:tc>
      </w:tr>
      <w:tr w14:paraId="2EC9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4" w:type="dxa"/>
            <w:vMerge w:val="continue"/>
            <w:noWrap w:val="0"/>
            <w:vAlign w:val="center"/>
          </w:tcPr>
          <w:p w14:paraId="3E791713">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12894792">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25527BA4">
            <w:pPr>
              <w:rPr>
                <w:rFonts w:hint="eastAsia" w:ascii="方正仿宋_GB2312" w:hAnsi="方正仿宋_GB2312" w:eastAsia="方正仿宋_GB2312" w:cs="方正仿宋_GB2312"/>
                <w:sz w:val="21"/>
                <w:szCs w:val="21"/>
              </w:rPr>
            </w:pPr>
          </w:p>
        </w:tc>
        <w:tc>
          <w:tcPr>
            <w:tcW w:w="2268" w:type="dxa"/>
            <w:noWrap w:val="0"/>
            <w:tcMar>
              <w:left w:w="0" w:type="dxa"/>
              <w:right w:w="28" w:type="dxa"/>
            </w:tcMar>
            <w:vAlign w:val="center"/>
          </w:tcPr>
          <w:p w14:paraId="0808BCA4">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w:t>
            </w:r>
          </w:p>
        </w:tc>
        <w:tc>
          <w:tcPr>
            <w:tcW w:w="5387" w:type="dxa"/>
            <w:noWrap w:val="0"/>
            <w:tcMar>
              <w:left w:w="0" w:type="dxa"/>
              <w:right w:w="28" w:type="dxa"/>
            </w:tcMar>
            <w:vAlign w:val="center"/>
          </w:tcPr>
          <w:p w14:paraId="6EC8FE65">
            <w:pPr>
              <w:adjustRightInd w:val="0"/>
              <w:snapToGrid w:val="0"/>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30</w:t>
            </w:r>
          </w:p>
        </w:tc>
      </w:tr>
      <w:tr w14:paraId="21E7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4" w:type="dxa"/>
            <w:vMerge w:val="continue"/>
            <w:noWrap w:val="0"/>
            <w:vAlign w:val="center"/>
          </w:tcPr>
          <w:p w14:paraId="6651822A">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107C5C2C">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35D25528">
            <w:pPr>
              <w:rPr>
                <w:rFonts w:hint="eastAsia" w:ascii="方正仿宋_GB2312" w:hAnsi="方正仿宋_GB2312" w:eastAsia="方正仿宋_GB2312" w:cs="方正仿宋_GB2312"/>
                <w:sz w:val="21"/>
                <w:szCs w:val="21"/>
              </w:rPr>
            </w:pPr>
          </w:p>
        </w:tc>
        <w:tc>
          <w:tcPr>
            <w:tcW w:w="2268" w:type="dxa"/>
            <w:noWrap w:val="0"/>
            <w:tcMar>
              <w:left w:w="0" w:type="dxa"/>
              <w:right w:w="28" w:type="dxa"/>
            </w:tcMar>
            <w:vAlign w:val="center"/>
          </w:tcPr>
          <w:p w14:paraId="0781D5BB">
            <w:pPr>
              <w:adjustRightInd w:val="0"/>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荣誉、</w:t>
            </w:r>
            <w:r>
              <w:rPr>
                <w:rFonts w:hint="eastAsia" w:ascii="方正仿宋_GB2312" w:hAnsi="方正仿宋_GB2312" w:eastAsia="方正仿宋_GB2312" w:cs="方正仿宋_GB2312"/>
                <w:sz w:val="21"/>
                <w:szCs w:val="21"/>
              </w:rPr>
              <w:t>信誉、业绩</w:t>
            </w:r>
          </w:p>
        </w:tc>
        <w:tc>
          <w:tcPr>
            <w:tcW w:w="5387" w:type="dxa"/>
            <w:noWrap w:val="0"/>
            <w:tcMar>
              <w:left w:w="0" w:type="dxa"/>
              <w:right w:w="28" w:type="dxa"/>
            </w:tcMar>
            <w:vAlign w:val="center"/>
          </w:tcPr>
          <w:p w14:paraId="792BC0FD">
            <w:pPr>
              <w:adjustRightInd w:val="0"/>
              <w:snapToGrid w:val="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20</w:t>
            </w:r>
          </w:p>
        </w:tc>
      </w:tr>
      <w:tr w14:paraId="136C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4" w:type="dxa"/>
            <w:vMerge w:val="continue"/>
            <w:noWrap w:val="0"/>
            <w:vAlign w:val="center"/>
          </w:tcPr>
          <w:p w14:paraId="5D279BD6">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66C86970">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03080DEE">
            <w:pPr>
              <w:rPr>
                <w:rFonts w:hint="eastAsia" w:ascii="方正仿宋_GB2312" w:hAnsi="方正仿宋_GB2312" w:eastAsia="方正仿宋_GB2312" w:cs="方正仿宋_GB2312"/>
                <w:sz w:val="21"/>
                <w:szCs w:val="21"/>
              </w:rPr>
            </w:pPr>
          </w:p>
        </w:tc>
        <w:tc>
          <w:tcPr>
            <w:tcW w:w="2268" w:type="dxa"/>
            <w:noWrap w:val="0"/>
            <w:tcMar>
              <w:left w:w="0" w:type="dxa"/>
              <w:right w:w="28" w:type="dxa"/>
            </w:tcMar>
            <w:vAlign w:val="center"/>
          </w:tcPr>
          <w:p w14:paraId="6A2F8B31">
            <w:pPr>
              <w:adjustRightInd w:val="0"/>
              <w:snapToGrid w:val="0"/>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设计方案</w:t>
            </w:r>
          </w:p>
        </w:tc>
        <w:tc>
          <w:tcPr>
            <w:tcW w:w="5387" w:type="dxa"/>
            <w:noWrap w:val="0"/>
            <w:tcMar>
              <w:left w:w="0" w:type="dxa"/>
              <w:right w:w="28" w:type="dxa"/>
            </w:tcMar>
            <w:vAlign w:val="center"/>
          </w:tcPr>
          <w:p w14:paraId="51904A61">
            <w:pPr>
              <w:adjustRightInd w:val="0"/>
              <w:snapToGrid w:val="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30</w:t>
            </w:r>
          </w:p>
        </w:tc>
      </w:tr>
      <w:tr w14:paraId="54A3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4" w:type="dxa"/>
            <w:vMerge w:val="continue"/>
            <w:noWrap w:val="0"/>
            <w:vAlign w:val="center"/>
          </w:tcPr>
          <w:p w14:paraId="63C8C2DD">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4FAB2377">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5551D487">
            <w:pPr>
              <w:rPr>
                <w:rFonts w:hint="eastAsia" w:ascii="方正仿宋_GB2312" w:hAnsi="方正仿宋_GB2312" w:eastAsia="方正仿宋_GB2312" w:cs="方正仿宋_GB2312"/>
                <w:sz w:val="21"/>
                <w:szCs w:val="21"/>
              </w:rPr>
            </w:pPr>
          </w:p>
        </w:tc>
        <w:tc>
          <w:tcPr>
            <w:tcW w:w="2268" w:type="dxa"/>
            <w:noWrap w:val="0"/>
            <w:tcMar>
              <w:left w:w="0" w:type="dxa"/>
              <w:right w:w="28" w:type="dxa"/>
            </w:tcMar>
            <w:vAlign w:val="center"/>
          </w:tcPr>
          <w:p w14:paraId="0F15C03C">
            <w:pPr>
              <w:adjustRightInd w:val="0"/>
              <w:snapToGrid w:val="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施工方案及服务承诺</w:t>
            </w:r>
          </w:p>
        </w:tc>
        <w:tc>
          <w:tcPr>
            <w:tcW w:w="5387" w:type="dxa"/>
            <w:noWrap w:val="0"/>
            <w:tcMar>
              <w:left w:w="0" w:type="dxa"/>
              <w:right w:w="28" w:type="dxa"/>
            </w:tcMar>
            <w:vAlign w:val="center"/>
          </w:tcPr>
          <w:p w14:paraId="665326E2">
            <w:pPr>
              <w:adjustRightInd w:val="0"/>
              <w:snapToGrid w:val="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20</w:t>
            </w:r>
          </w:p>
        </w:tc>
      </w:tr>
      <w:tr w14:paraId="24AD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424" w:type="dxa"/>
            <w:vMerge w:val="continue"/>
            <w:noWrap w:val="0"/>
            <w:vAlign w:val="center"/>
          </w:tcPr>
          <w:p w14:paraId="6A918D14">
            <w:pPr>
              <w:rPr>
                <w:rFonts w:hint="eastAsia" w:ascii="方正仿宋_GB2312" w:hAnsi="方正仿宋_GB2312" w:eastAsia="方正仿宋_GB2312" w:cs="方正仿宋_GB2312"/>
                <w:sz w:val="21"/>
                <w:szCs w:val="21"/>
              </w:rPr>
            </w:pPr>
          </w:p>
        </w:tc>
        <w:tc>
          <w:tcPr>
            <w:tcW w:w="569" w:type="dxa"/>
            <w:vMerge w:val="restart"/>
            <w:noWrap w:val="0"/>
            <w:vAlign w:val="center"/>
          </w:tcPr>
          <w:p w14:paraId="0BC9889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2</w:t>
            </w:r>
          </w:p>
        </w:tc>
        <w:tc>
          <w:tcPr>
            <w:tcW w:w="992" w:type="dxa"/>
            <w:vMerge w:val="restart"/>
            <w:noWrap w:val="0"/>
            <w:vAlign w:val="center"/>
          </w:tcPr>
          <w:p w14:paraId="005D27B1">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w:t>
            </w:r>
          </w:p>
        </w:tc>
        <w:tc>
          <w:tcPr>
            <w:tcW w:w="2268" w:type="dxa"/>
            <w:noWrap w:val="0"/>
            <w:vAlign w:val="center"/>
          </w:tcPr>
          <w:p w14:paraId="054A21FE">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基准价计算方法</w:t>
            </w:r>
          </w:p>
        </w:tc>
        <w:tc>
          <w:tcPr>
            <w:tcW w:w="5387" w:type="dxa"/>
            <w:noWrap w:val="0"/>
            <w:vAlign w:val="center"/>
          </w:tcPr>
          <w:p w14:paraId="49059E93">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评审基准价=有效报价的算术平均值(四舍五入取整数)；</w:t>
            </w:r>
          </w:p>
          <w:p w14:paraId="0D35E7AA">
            <w:pPr>
              <w:adjustRightInd w:val="0"/>
              <w:snapToGrid w:val="0"/>
              <w:ind w:firstLine="420" w:firstLineChars="20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当通过初步评审家数＜6 时，全部有效报价参与基准价的计算；当6≤通过初步评审家数＜12 时，去掉一个最高价和一个最低价；当12≤通过初步评审家数时，去掉两个最高价和两个最低价。其余有效报价参与基准价的计算。</w:t>
            </w:r>
          </w:p>
        </w:tc>
      </w:tr>
      <w:tr w14:paraId="4B12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24" w:type="dxa"/>
            <w:vMerge w:val="continue"/>
            <w:noWrap w:val="0"/>
            <w:vAlign w:val="center"/>
          </w:tcPr>
          <w:p w14:paraId="6D1AF8C3">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2578933B">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640616A7">
            <w:pPr>
              <w:spacing w:line="240" w:lineRule="exact"/>
              <w:rPr>
                <w:rFonts w:hint="eastAsia" w:ascii="方正仿宋_GB2312" w:hAnsi="方正仿宋_GB2312" w:eastAsia="方正仿宋_GB2312" w:cs="方正仿宋_GB2312"/>
                <w:sz w:val="21"/>
                <w:szCs w:val="21"/>
              </w:rPr>
            </w:pPr>
          </w:p>
        </w:tc>
        <w:tc>
          <w:tcPr>
            <w:tcW w:w="2268" w:type="dxa"/>
            <w:noWrap w:val="0"/>
            <w:vAlign w:val="center"/>
          </w:tcPr>
          <w:p w14:paraId="54463BB0">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低于成本价</w:t>
            </w:r>
          </w:p>
        </w:tc>
        <w:tc>
          <w:tcPr>
            <w:tcW w:w="5387" w:type="dxa"/>
            <w:noWrap w:val="0"/>
            <w:vAlign w:val="center"/>
          </w:tcPr>
          <w:p w14:paraId="010B8268">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报价低于最高限价的90% ，则视为该报价低于成本，按无效报价处理。</w:t>
            </w:r>
          </w:p>
        </w:tc>
      </w:tr>
      <w:tr w14:paraId="0C33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424" w:type="dxa"/>
            <w:vMerge w:val="continue"/>
            <w:noWrap w:val="0"/>
            <w:vAlign w:val="center"/>
          </w:tcPr>
          <w:p w14:paraId="1CF79083">
            <w:pPr>
              <w:rPr>
                <w:rFonts w:hint="eastAsia" w:ascii="方正仿宋_GB2312" w:hAnsi="方正仿宋_GB2312" w:eastAsia="方正仿宋_GB2312" w:cs="方正仿宋_GB2312"/>
                <w:sz w:val="21"/>
                <w:szCs w:val="21"/>
              </w:rPr>
            </w:pPr>
          </w:p>
        </w:tc>
        <w:tc>
          <w:tcPr>
            <w:tcW w:w="569" w:type="dxa"/>
            <w:vMerge w:val="continue"/>
            <w:noWrap w:val="0"/>
            <w:vAlign w:val="center"/>
          </w:tcPr>
          <w:p w14:paraId="63749227">
            <w:pPr>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6AE07EC8">
            <w:pPr>
              <w:rPr>
                <w:rFonts w:hint="eastAsia" w:ascii="方正仿宋_GB2312" w:hAnsi="方正仿宋_GB2312" w:eastAsia="方正仿宋_GB2312" w:cs="方正仿宋_GB2312"/>
                <w:sz w:val="21"/>
                <w:szCs w:val="21"/>
              </w:rPr>
            </w:pPr>
          </w:p>
        </w:tc>
        <w:tc>
          <w:tcPr>
            <w:tcW w:w="2268" w:type="dxa"/>
            <w:noWrap w:val="0"/>
            <w:vAlign w:val="center"/>
          </w:tcPr>
          <w:p w14:paraId="274E5FE6">
            <w:pPr>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报价评分</w:t>
            </w:r>
          </w:p>
          <w:p w14:paraId="03F354F7">
            <w:pPr>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w:t>
            </w:r>
            <w:r>
              <w:rPr>
                <w:rFonts w:hint="eastAsia" w:ascii="方正仿宋_GB2312" w:hAnsi="方正仿宋_GB2312" w:eastAsia="方正仿宋_GB2312" w:cs="方正仿宋_GB2312"/>
                <w:sz w:val="21"/>
                <w:szCs w:val="21"/>
                <w:lang w:val="en-US" w:eastAsia="zh-CN"/>
              </w:rPr>
              <w:t>30</w:t>
            </w:r>
            <w:r>
              <w:rPr>
                <w:rFonts w:hint="eastAsia" w:ascii="方正仿宋_GB2312" w:hAnsi="方正仿宋_GB2312" w:eastAsia="方正仿宋_GB2312" w:cs="方正仿宋_GB2312"/>
                <w:sz w:val="21"/>
                <w:szCs w:val="21"/>
              </w:rPr>
              <w:t>分）</w:t>
            </w:r>
          </w:p>
        </w:tc>
        <w:tc>
          <w:tcPr>
            <w:tcW w:w="5387" w:type="dxa"/>
            <w:noWrap w:val="0"/>
            <w:vAlign w:val="center"/>
          </w:tcPr>
          <w:p w14:paraId="3693ABA2">
            <w:pPr>
              <w:adjustRightInd w:val="0"/>
              <w:snapToGrid w:val="0"/>
              <w:ind w:firstLine="29" w:firstLineChars="14"/>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报价高于基准价，每高0.2%，扣1分；</w:t>
            </w:r>
          </w:p>
          <w:p w14:paraId="5EDDE197">
            <w:pPr>
              <w:adjustRightInd w:val="0"/>
              <w:snapToGrid w:val="0"/>
              <w:ind w:firstLine="29" w:firstLineChars="14"/>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报价低于基准价，每低0.2%，扣0.5分。</w:t>
            </w:r>
          </w:p>
          <w:p w14:paraId="3E249698">
            <w:pPr>
              <w:adjustRightInd w:val="0"/>
              <w:snapToGrid w:val="0"/>
              <w:ind w:firstLine="29" w:firstLineChars="14"/>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不足0.2%按0.2%计算。分数扣完即止。</w:t>
            </w:r>
          </w:p>
        </w:tc>
      </w:tr>
      <w:tr w14:paraId="6C50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4" w:type="dxa"/>
            <w:vMerge w:val="continue"/>
            <w:noWrap w:val="0"/>
            <w:vAlign w:val="center"/>
          </w:tcPr>
          <w:p w14:paraId="20C6862E">
            <w:pPr>
              <w:spacing w:line="440" w:lineRule="exact"/>
              <w:rPr>
                <w:rFonts w:hint="eastAsia" w:ascii="方正仿宋_GB2312" w:hAnsi="方正仿宋_GB2312" w:eastAsia="方正仿宋_GB2312" w:cs="方正仿宋_GB2312"/>
                <w:sz w:val="21"/>
                <w:szCs w:val="21"/>
              </w:rPr>
            </w:pPr>
          </w:p>
        </w:tc>
        <w:tc>
          <w:tcPr>
            <w:tcW w:w="569" w:type="dxa"/>
            <w:vMerge w:val="restart"/>
            <w:noWrap w:val="0"/>
            <w:vAlign w:val="center"/>
          </w:tcPr>
          <w:p w14:paraId="5AFEDDE3">
            <w:pPr>
              <w:spacing w:line="44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3</w:t>
            </w:r>
          </w:p>
        </w:tc>
        <w:tc>
          <w:tcPr>
            <w:tcW w:w="992" w:type="dxa"/>
            <w:vMerge w:val="restart"/>
            <w:noWrap w:val="0"/>
            <w:vAlign w:val="center"/>
          </w:tcPr>
          <w:p w14:paraId="54ECA39B">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w:t>
            </w:r>
          </w:p>
          <w:p w14:paraId="1DE1AA04">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文件</w:t>
            </w:r>
          </w:p>
          <w:p w14:paraId="618E8C72">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编写</w:t>
            </w:r>
          </w:p>
        </w:tc>
        <w:tc>
          <w:tcPr>
            <w:tcW w:w="2268" w:type="dxa"/>
            <w:noWrap w:val="0"/>
            <w:vAlign w:val="center"/>
          </w:tcPr>
          <w:p w14:paraId="13A130D6">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章节错误</w:t>
            </w:r>
          </w:p>
        </w:tc>
        <w:tc>
          <w:tcPr>
            <w:tcW w:w="5387" w:type="dxa"/>
            <w:noWrap w:val="0"/>
            <w:vAlign w:val="center"/>
          </w:tcPr>
          <w:p w14:paraId="7A967A00">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响应文件应严格按照采购文件要求的格式、章节顺序编写，章节错漏、顺序错误每发现一处扣2分。</w:t>
            </w:r>
          </w:p>
        </w:tc>
      </w:tr>
      <w:tr w14:paraId="4A7E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4" w:type="dxa"/>
            <w:vMerge w:val="continue"/>
            <w:noWrap w:val="0"/>
            <w:vAlign w:val="center"/>
          </w:tcPr>
          <w:p w14:paraId="4683C284">
            <w:pPr>
              <w:spacing w:line="440" w:lineRule="exact"/>
              <w:rPr>
                <w:rFonts w:hint="eastAsia" w:ascii="方正仿宋_GB2312" w:hAnsi="方正仿宋_GB2312" w:eastAsia="方正仿宋_GB2312" w:cs="方正仿宋_GB2312"/>
                <w:sz w:val="21"/>
                <w:szCs w:val="21"/>
              </w:rPr>
            </w:pPr>
          </w:p>
        </w:tc>
        <w:tc>
          <w:tcPr>
            <w:tcW w:w="569" w:type="dxa"/>
            <w:vMerge w:val="continue"/>
            <w:noWrap w:val="0"/>
            <w:vAlign w:val="center"/>
          </w:tcPr>
          <w:p w14:paraId="57C0BD09">
            <w:pPr>
              <w:spacing w:line="440" w:lineRule="exact"/>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74275777">
            <w:pPr>
              <w:jc w:val="distribute"/>
              <w:rPr>
                <w:rFonts w:hint="eastAsia" w:ascii="方正仿宋_GB2312" w:hAnsi="方正仿宋_GB2312" w:eastAsia="方正仿宋_GB2312" w:cs="方正仿宋_GB2312"/>
                <w:sz w:val="21"/>
                <w:szCs w:val="21"/>
              </w:rPr>
            </w:pPr>
          </w:p>
        </w:tc>
        <w:tc>
          <w:tcPr>
            <w:tcW w:w="2268" w:type="dxa"/>
            <w:noWrap w:val="0"/>
            <w:vAlign w:val="center"/>
          </w:tcPr>
          <w:p w14:paraId="25EF880C">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文字错误</w:t>
            </w:r>
          </w:p>
        </w:tc>
        <w:tc>
          <w:tcPr>
            <w:tcW w:w="5387" w:type="dxa"/>
            <w:noWrap w:val="0"/>
            <w:vAlign w:val="center"/>
          </w:tcPr>
          <w:p w14:paraId="3A36D18B">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明显的文字错误、语言逻辑错误每段落扣1分，每页不超过3分。</w:t>
            </w:r>
          </w:p>
        </w:tc>
      </w:tr>
      <w:tr w14:paraId="2A78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4" w:type="dxa"/>
            <w:vMerge w:val="continue"/>
            <w:noWrap w:val="0"/>
            <w:vAlign w:val="center"/>
          </w:tcPr>
          <w:p w14:paraId="43A7FA2B">
            <w:pPr>
              <w:spacing w:line="440" w:lineRule="exact"/>
              <w:rPr>
                <w:rFonts w:hint="eastAsia" w:ascii="方正仿宋_GB2312" w:hAnsi="方正仿宋_GB2312" w:eastAsia="方正仿宋_GB2312" w:cs="方正仿宋_GB2312"/>
                <w:sz w:val="21"/>
                <w:szCs w:val="21"/>
              </w:rPr>
            </w:pPr>
          </w:p>
        </w:tc>
        <w:tc>
          <w:tcPr>
            <w:tcW w:w="569" w:type="dxa"/>
            <w:vMerge w:val="continue"/>
            <w:noWrap w:val="0"/>
            <w:vAlign w:val="center"/>
          </w:tcPr>
          <w:p w14:paraId="6F5BF36F">
            <w:pPr>
              <w:spacing w:line="440" w:lineRule="exact"/>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5D147BAF">
            <w:pPr>
              <w:jc w:val="distribute"/>
              <w:rPr>
                <w:rFonts w:hint="eastAsia" w:ascii="方正仿宋_GB2312" w:hAnsi="方正仿宋_GB2312" w:eastAsia="方正仿宋_GB2312" w:cs="方正仿宋_GB2312"/>
                <w:sz w:val="21"/>
                <w:szCs w:val="21"/>
              </w:rPr>
            </w:pPr>
          </w:p>
        </w:tc>
        <w:tc>
          <w:tcPr>
            <w:tcW w:w="2268" w:type="dxa"/>
            <w:noWrap w:val="0"/>
            <w:vAlign w:val="center"/>
          </w:tcPr>
          <w:p w14:paraId="0DD13B39">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字体过小</w:t>
            </w:r>
          </w:p>
        </w:tc>
        <w:tc>
          <w:tcPr>
            <w:tcW w:w="5387" w:type="dxa"/>
            <w:noWrap w:val="0"/>
            <w:vAlign w:val="center"/>
          </w:tcPr>
          <w:p w14:paraId="11CFCFDB">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正文字体小于四号字，表格内字体小于五号字，每页扣1分。</w:t>
            </w:r>
          </w:p>
        </w:tc>
      </w:tr>
      <w:tr w14:paraId="377F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4" w:type="dxa"/>
            <w:vMerge w:val="continue"/>
            <w:noWrap w:val="0"/>
            <w:vAlign w:val="center"/>
          </w:tcPr>
          <w:p w14:paraId="6A51ABFC">
            <w:pPr>
              <w:spacing w:line="440" w:lineRule="exact"/>
              <w:rPr>
                <w:rFonts w:hint="eastAsia" w:ascii="方正仿宋_GB2312" w:hAnsi="方正仿宋_GB2312" w:eastAsia="方正仿宋_GB2312" w:cs="方正仿宋_GB2312"/>
                <w:sz w:val="21"/>
                <w:szCs w:val="21"/>
              </w:rPr>
            </w:pPr>
          </w:p>
        </w:tc>
        <w:tc>
          <w:tcPr>
            <w:tcW w:w="569" w:type="dxa"/>
            <w:vMerge w:val="continue"/>
            <w:noWrap w:val="0"/>
            <w:vAlign w:val="center"/>
          </w:tcPr>
          <w:p w14:paraId="76BE88DC">
            <w:pPr>
              <w:spacing w:line="440" w:lineRule="exact"/>
              <w:jc w:val="center"/>
              <w:rPr>
                <w:rFonts w:hint="eastAsia" w:ascii="方正仿宋_GB2312" w:hAnsi="方正仿宋_GB2312" w:eastAsia="方正仿宋_GB2312" w:cs="方正仿宋_GB2312"/>
                <w:sz w:val="21"/>
                <w:szCs w:val="21"/>
              </w:rPr>
            </w:pPr>
          </w:p>
        </w:tc>
        <w:tc>
          <w:tcPr>
            <w:tcW w:w="992" w:type="dxa"/>
            <w:vMerge w:val="continue"/>
            <w:noWrap w:val="0"/>
            <w:vAlign w:val="center"/>
          </w:tcPr>
          <w:p w14:paraId="467C4A98">
            <w:pPr>
              <w:jc w:val="distribute"/>
              <w:rPr>
                <w:rFonts w:hint="eastAsia" w:ascii="方正仿宋_GB2312" w:hAnsi="方正仿宋_GB2312" w:eastAsia="方正仿宋_GB2312" w:cs="方正仿宋_GB2312"/>
                <w:sz w:val="21"/>
                <w:szCs w:val="21"/>
              </w:rPr>
            </w:pPr>
          </w:p>
        </w:tc>
        <w:tc>
          <w:tcPr>
            <w:tcW w:w="2268" w:type="dxa"/>
            <w:noWrap w:val="0"/>
            <w:vAlign w:val="center"/>
          </w:tcPr>
          <w:p w14:paraId="249C4A8B">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超过限制页数</w:t>
            </w:r>
          </w:p>
        </w:tc>
        <w:tc>
          <w:tcPr>
            <w:tcW w:w="5387" w:type="dxa"/>
            <w:noWrap w:val="0"/>
            <w:vAlign w:val="center"/>
          </w:tcPr>
          <w:p w14:paraId="510FCFEB">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章节篇幅有页数限制的，页数限制文字被删除每处扣1分，页数每超1页扣1分（不足一页算一页）。</w:t>
            </w:r>
          </w:p>
        </w:tc>
      </w:tr>
      <w:tr w14:paraId="589E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exact"/>
          <w:jc w:val="center"/>
        </w:trPr>
        <w:tc>
          <w:tcPr>
            <w:tcW w:w="424" w:type="dxa"/>
            <w:vMerge w:val="continue"/>
            <w:noWrap w:val="0"/>
            <w:vAlign w:val="center"/>
          </w:tcPr>
          <w:p w14:paraId="6D23104F">
            <w:pPr>
              <w:spacing w:line="440" w:lineRule="exact"/>
              <w:rPr>
                <w:rFonts w:hint="eastAsia" w:ascii="方正仿宋_GB2312" w:hAnsi="方正仿宋_GB2312" w:eastAsia="方正仿宋_GB2312" w:cs="方正仿宋_GB2312"/>
                <w:sz w:val="21"/>
                <w:szCs w:val="21"/>
              </w:rPr>
            </w:pPr>
          </w:p>
        </w:tc>
        <w:tc>
          <w:tcPr>
            <w:tcW w:w="569" w:type="dxa"/>
            <w:vMerge w:val="restart"/>
            <w:noWrap w:val="0"/>
            <w:vAlign w:val="center"/>
          </w:tcPr>
          <w:p w14:paraId="118FAA6B">
            <w:pPr>
              <w:spacing w:line="44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4</w:t>
            </w:r>
          </w:p>
        </w:tc>
        <w:tc>
          <w:tcPr>
            <w:tcW w:w="992" w:type="dxa"/>
            <w:noWrap w:val="0"/>
            <w:vAlign w:val="center"/>
          </w:tcPr>
          <w:p w14:paraId="35B203F1">
            <w:pPr>
              <w:jc w:val="distribute"/>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企业荣誉</w:t>
            </w:r>
          </w:p>
        </w:tc>
        <w:tc>
          <w:tcPr>
            <w:tcW w:w="2268" w:type="dxa"/>
            <w:noWrap w:val="0"/>
            <w:vAlign w:val="center"/>
          </w:tcPr>
          <w:p w14:paraId="6E0DF450">
            <w:pPr>
              <w:adjustRightInd w:val="0"/>
              <w:snapToGrid w:val="0"/>
              <w:jc w:val="distribute"/>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企业荣誉</w:t>
            </w:r>
          </w:p>
          <w:p w14:paraId="5C0525FA">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（8分）</w:t>
            </w:r>
          </w:p>
        </w:tc>
        <w:tc>
          <w:tcPr>
            <w:tcW w:w="5387" w:type="dxa"/>
            <w:noWrap w:val="0"/>
            <w:vAlign w:val="center"/>
          </w:tcPr>
          <w:p w14:paraId="30E58D0F">
            <w:pPr>
              <w:adjustRightInd w:val="0"/>
              <w:snapToGrid w:val="0"/>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近两年获得AAA级企业、广告行业服务企业资质一级相关证书，每一项加1分，最高8分；</w:t>
            </w:r>
          </w:p>
        </w:tc>
      </w:tr>
      <w:tr w14:paraId="3921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24" w:type="dxa"/>
            <w:vMerge w:val="continue"/>
            <w:noWrap w:val="0"/>
            <w:vAlign w:val="center"/>
          </w:tcPr>
          <w:p w14:paraId="5190727F">
            <w:pPr>
              <w:spacing w:line="440" w:lineRule="exact"/>
              <w:rPr>
                <w:rFonts w:hint="eastAsia" w:ascii="方正仿宋_GB2312" w:hAnsi="方正仿宋_GB2312" w:eastAsia="方正仿宋_GB2312" w:cs="方正仿宋_GB2312"/>
                <w:sz w:val="21"/>
                <w:szCs w:val="21"/>
              </w:rPr>
            </w:pPr>
          </w:p>
        </w:tc>
        <w:tc>
          <w:tcPr>
            <w:tcW w:w="569" w:type="dxa"/>
            <w:vMerge w:val="continue"/>
            <w:noWrap w:val="0"/>
            <w:vAlign w:val="center"/>
          </w:tcPr>
          <w:p w14:paraId="504A22A0">
            <w:pPr>
              <w:spacing w:line="440" w:lineRule="exact"/>
              <w:jc w:val="center"/>
              <w:rPr>
                <w:rFonts w:hint="eastAsia" w:ascii="方正仿宋_GB2312" w:hAnsi="方正仿宋_GB2312" w:eastAsia="方正仿宋_GB2312" w:cs="方正仿宋_GB2312"/>
                <w:sz w:val="21"/>
                <w:szCs w:val="21"/>
              </w:rPr>
            </w:pPr>
          </w:p>
        </w:tc>
        <w:tc>
          <w:tcPr>
            <w:tcW w:w="992" w:type="dxa"/>
            <w:noWrap w:val="0"/>
            <w:vAlign w:val="center"/>
          </w:tcPr>
          <w:p w14:paraId="636CA2EF">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信誉</w:t>
            </w:r>
          </w:p>
        </w:tc>
        <w:tc>
          <w:tcPr>
            <w:tcW w:w="2268" w:type="dxa"/>
            <w:noWrap w:val="0"/>
            <w:vAlign w:val="center"/>
          </w:tcPr>
          <w:p w14:paraId="518A9A36">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不良行为记录</w:t>
            </w:r>
          </w:p>
          <w:p w14:paraId="56A19890">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w:t>
            </w:r>
            <w:r>
              <w:rPr>
                <w:rFonts w:hint="eastAsia" w:ascii="方正仿宋_GB2312" w:hAnsi="方正仿宋_GB2312" w:eastAsia="方正仿宋_GB2312" w:cs="方正仿宋_GB2312"/>
                <w:sz w:val="21"/>
                <w:szCs w:val="21"/>
                <w:lang w:val="en-US" w:eastAsia="zh-CN"/>
              </w:rPr>
              <w:t>2</w:t>
            </w:r>
            <w:r>
              <w:rPr>
                <w:rFonts w:hint="eastAsia" w:ascii="方正仿宋_GB2312" w:hAnsi="方正仿宋_GB2312" w:eastAsia="方正仿宋_GB2312" w:cs="方正仿宋_GB2312"/>
                <w:sz w:val="21"/>
                <w:szCs w:val="21"/>
              </w:rPr>
              <w:t>分）</w:t>
            </w:r>
          </w:p>
        </w:tc>
        <w:tc>
          <w:tcPr>
            <w:tcW w:w="5387" w:type="dxa"/>
            <w:noWrap w:val="0"/>
            <w:vAlign w:val="center"/>
          </w:tcPr>
          <w:p w14:paraId="25C6F068">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“公共信用信息报告”无不良行为记录得满分，有1项不良行为记录扣2分，最低为0分。</w:t>
            </w:r>
          </w:p>
        </w:tc>
      </w:tr>
      <w:tr w14:paraId="67A5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424" w:type="dxa"/>
            <w:vMerge w:val="continue"/>
            <w:tcBorders>
              <w:bottom w:val="single" w:color="auto" w:sz="4" w:space="0"/>
            </w:tcBorders>
            <w:noWrap w:val="0"/>
            <w:vAlign w:val="center"/>
          </w:tcPr>
          <w:p w14:paraId="00704DC0">
            <w:pPr>
              <w:spacing w:line="440" w:lineRule="exact"/>
              <w:rPr>
                <w:rFonts w:hint="eastAsia" w:ascii="方正仿宋_GB2312" w:hAnsi="方正仿宋_GB2312" w:eastAsia="方正仿宋_GB2312" w:cs="方正仿宋_GB2312"/>
                <w:sz w:val="21"/>
                <w:szCs w:val="21"/>
              </w:rPr>
            </w:pPr>
          </w:p>
        </w:tc>
        <w:tc>
          <w:tcPr>
            <w:tcW w:w="569" w:type="dxa"/>
            <w:vMerge w:val="continue"/>
            <w:tcBorders>
              <w:bottom w:val="single" w:color="auto" w:sz="4" w:space="0"/>
            </w:tcBorders>
            <w:noWrap w:val="0"/>
            <w:vAlign w:val="center"/>
          </w:tcPr>
          <w:p w14:paraId="4DBFEF2E">
            <w:pPr>
              <w:spacing w:line="440" w:lineRule="exact"/>
              <w:jc w:val="center"/>
              <w:rPr>
                <w:rFonts w:hint="eastAsia" w:ascii="方正仿宋_GB2312" w:hAnsi="方正仿宋_GB2312" w:eastAsia="方正仿宋_GB2312" w:cs="方正仿宋_GB2312"/>
                <w:sz w:val="21"/>
                <w:szCs w:val="21"/>
              </w:rPr>
            </w:pPr>
          </w:p>
        </w:tc>
        <w:tc>
          <w:tcPr>
            <w:tcW w:w="992" w:type="dxa"/>
            <w:noWrap w:val="0"/>
            <w:vAlign w:val="center"/>
          </w:tcPr>
          <w:p w14:paraId="64A55235">
            <w:pPr>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业绩</w:t>
            </w:r>
          </w:p>
        </w:tc>
        <w:tc>
          <w:tcPr>
            <w:tcW w:w="2268" w:type="dxa"/>
            <w:tcBorders>
              <w:bottom w:val="single" w:color="auto" w:sz="4" w:space="0"/>
            </w:tcBorders>
            <w:noWrap w:val="0"/>
            <w:vAlign w:val="center"/>
          </w:tcPr>
          <w:p w14:paraId="7733DB55">
            <w:pPr>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业绩</w:t>
            </w:r>
          </w:p>
          <w:p w14:paraId="5AD0B7DC">
            <w:pPr>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分）</w:t>
            </w:r>
          </w:p>
        </w:tc>
        <w:tc>
          <w:tcPr>
            <w:tcW w:w="5387" w:type="dxa"/>
            <w:tcBorders>
              <w:bottom w:val="single" w:color="auto" w:sz="4" w:space="0"/>
            </w:tcBorders>
            <w:noWrap w:val="0"/>
            <w:vAlign w:val="center"/>
          </w:tcPr>
          <w:p w14:paraId="284029C9">
            <w:pPr>
              <w:adjustRightInd w:val="0"/>
              <w:snapToGrid w:val="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近三年承担过与本采购项目类似工程项目业绩，1项业绩得</w:t>
            </w:r>
            <w:r>
              <w:rPr>
                <w:rFonts w:hint="eastAsia" w:ascii="方正仿宋_GB2312" w:hAnsi="方正仿宋_GB2312" w:eastAsia="方正仿宋_GB2312" w:cs="方正仿宋_GB2312"/>
                <w:sz w:val="21"/>
                <w:szCs w:val="21"/>
                <w:lang w:val="en-US" w:eastAsia="zh-CN"/>
              </w:rPr>
              <w:t>2</w:t>
            </w:r>
            <w:r>
              <w:rPr>
                <w:rFonts w:hint="eastAsia" w:ascii="方正仿宋_GB2312" w:hAnsi="方正仿宋_GB2312" w:eastAsia="方正仿宋_GB2312" w:cs="方正仿宋_GB2312"/>
                <w:sz w:val="21"/>
                <w:szCs w:val="21"/>
              </w:rPr>
              <w:t>分，累计不超过</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 xml:space="preserve">分。 </w:t>
            </w:r>
          </w:p>
        </w:tc>
      </w:tr>
      <w:tr w14:paraId="1803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jc w:val="center"/>
        </w:trPr>
        <w:tc>
          <w:tcPr>
            <w:tcW w:w="424" w:type="dxa"/>
            <w:vMerge w:val="continue"/>
            <w:tcBorders>
              <w:bottom w:val="single" w:color="auto" w:sz="4" w:space="0"/>
            </w:tcBorders>
            <w:noWrap w:val="0"/>
            <w:vAlign w:val="center"/>
          </w:tcPr>
          <w:p w14:paraId="4865CD0D">
            <w:pPr>
              <w:spacing w:line="440" w:lineRule="exact"/>
              <w:rPr>
                <w:rFonts w:hint="eastAsia" w:ascii="方正仿宋_GB2312" w:hAnsi="方正仿宋_GB2312" w:eastAsia="方正仿宋_GB2312" w:cs="方正仿宋_GB2312"/>
                <w:sz w:val="21"/>
                <w:szCs w:val="21"/>
              </w:rPr>
            </w:pPr>
          </w:p>
        </w:tc>
        <w:tc>
          <w:tcPr>
            <w:tcW w:w="569" w:type="dxa"/>
            <w:noWrap w:val="0"/>
            <w:vAlign w:val="center"/>
          </w:tcPr>
          <w:p w14:paraId="5E38253E">
            <w:pPr>
              <w:spacing w:line="440" w:lineRule="exact"/>
              <w:jc w:val="center"/>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rPr>
              <w:t>5</w:t>
            </w:r>
          </w:p>
        </w:tc>
        <w:tc>
          <w:tcPr>
            <w:tcW w:w="992" w:type="dxa"/>
            <w:noWrap w:val="0"/>
            <w:vAlign w:val="center"/>
          </w:tcPr>
          <w:p w14:paraId="5FAE4D34">
            <w:pPr>
              <w:jc w:val="distribute"/>
              <w:rPr>
                <w:rFonts w:hint="eastAsia" w:ascii="方正仿宋_GB2312" w:hAnsi="方正仿宋_GB2312" w:eastAsia="方正仿宋_GB2312" w:cs="方正仿宋_GB2312"/>
                <w:color w:val="auto"/>
                <w:sz w:val="21"/>
                <w:szCs w:val="21"/>
                <w:lang w:eastAsia="zh-CN"/>
              </w:rPr>
            </w:pPr>
            <w:r>
              <w:rPr>
                <w:rFonts w:hint="eastAsia" w:ascii="方正仿宋_GB2312" w:hAnsi="方正仿宋_GB2312" w:eastAsia="方正仿宋_GB2312" w:cs="方正仿宋_GB2312"/>
                <w:color w:val="auto"/>
                <w:sz w:val="21"/>
                <w:szCs w:val="21"/>
                <w:lang w:val="en-US" w:eastAsia="zh-CN"/>
              </w:rPr>
              <w:t>设计方案</w:t>
            </w:r>
          </w:p>
        </w:tc>
        <w:tc>
          <w:tcPr>
            <w:tcW w:w="2268" w:type="dxa"/>
            <w:tcBorders>
              <w:bottom w:val="single" w:color="auto" w:sz="4" w:space="0"/>
            </w:tcBorders>
            <w:noWrap w:val="0"/>
            <w:vAlign w:val="center"/>
          </w:tcPr>
          <w:p w14:paraId="3E2C171A">
            <w:pPr>
              <w:snapToGrid w:val="0"/>
              <w:jc w:val="distribute"/>
              <w:rPr>
                <w:rFonts w:hint="eastAsia"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设计方案</w:t>
            </w:r>
          </w:p>
          <w:p w14:paraId="092B2005">
            <w:pPr>
              <w:snapToGrid w:val="0"/>
              <w:jc w:val="distribute"/>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rPr>
              <w:t>（</w:t>
            </w:r>
            <w:r>
              <w:rPr>
                <w:rFonts w:hint="eastAsia" w:ascii="方正仿宋_GB2312" w:hAnsi="方正仿宋_GB2312" w:eastAsia="方正仿宋_GB2312" w:cs="方正仿宋_GB2312"/>
                <w:color w:val="auto"/>
                <w:sz w:val="21"/>
                <w:szCs w:val="21"/>
                <w:lang w:val="en-US" w:eastAsia="zh-CN"/>
              </w:rPr>
              <w:t>30</w:t>
            </w:r>
            <w:r>
              <w:rPr>
                <w:rFonts w:hint="eastAsia" w:ascii="方正仿宋_GB2312" w:hAnsi="方正仿宋_GB2312" w:eastAsia="方正仿宋_GB2312" w:cs="方正仿宋_GB2312"/>
                <w:color w:val="auto"/>
                <w:sz w:val="21"/>
                <w:szCs w:val="21"/>
              </w:rPr>
              <w:t>分）</w:t>
            </w:r>
          </w:p>
        </w:tc>
        <w:tc>
          <w:tcPr>
            <w:tcW w:w="5387" w:type="dxa"/>
            <w:tcBorders>
              <w:bottom w:val="single" w:color="auto" w:sz="4" w:space="0"/>
            </w:tcBorders>
            <w:noWrap w:val="0"/>
            <w:vAlign w:val="center"/>
          </w:tcPr>
          <w:p w14:paraId="46E19E4F">
            <w:pPr>
              <w:spacing w:before="24" w:line="240" w:lineRule="auto"/>
              <w:ind w:left="63"/>
              <w:jc w:val="left"/>
              <w:rPr>
                <w:rFonts w:hint="eastAsia" w:ascii="方正仿宋_GB2312" w:hAnsi="方正仿宋_GB2312" w:eastAsia="方正仿宋_GB2312" w:cs="方正仿宋_GB2312"/>
                <w:b w:val="0"/>
                <w:bCs/>
                <w:color w:val="auto"/>
                <w:sz w:val="21"/>
                <w:szCs w:val="21"/>
                <w:lang w:val="en-US" w:eastAsia="zh-CN"/>
              </w:rPr>
            </w:pPr>
            <w:r>
              <w:rPr>
                <w:rFonts w:hint="eastAsia" w:ascii="方正仿宋_GB2312" w:hAnsi="方正仿宋_GB2312" w:eastAsia="方正仿宋_GB2312" w:cs="方正仿宋_GB2312"/>
                <w:b w:val="0"/>
                <w:bCs/>
                <w:sz w:val="21"/>
                <w:szCs w:val="21"/>
              </w:rPr>
              <w:t>供应商需根据项目采购需求，深入了解</w:t>
            </w:r>
            <w:r>
              <w:rPr>
                <w:rFonts w:hint="eastAsia" w:ascii="方正仿宋_GB2312" w:hAnsi="方正仿宋_GB2312" w:eastAsia="方正仿宋_GB2312" w:cs="方正仿宋_GB2312"/>
                <w:b w:val="0"/>
                <w:bCs/>
                <w:sz w:val="21"/>
                <w:szCs w:val="21"/>
                <w:lang w:val="en-US" w:eastAsia="zh-CN"/>
              </w:rPr>
              <w:t>湖南铁道职业技术学院磁浮直线电磁驱动实验中心的相关文化建设的特定需求，</w:t>
            </w:r>
            <w:r>
              <w:rPr>
                <w:rFonts w:hint="eastAsia" w:ascii="方正仿宋_GB2312" w:hAnsi="方正仿宋_GB2312" w:eastAsia="方正仿宋_GB2312" w:cs="方正仿宋_GB2312"/>
                <w:b w:val="0"/>
                <w:bCs/>
                <w:sz w:val="21"/>
                <w:szCs w:val="21"/>
              </w:rPr>
              <w:t>针对</w:t>
            </w:r>
            <w:r>
              <w:rPr>
                <w:rFonts w:hint="eastAsia" w:ascii="方正仿宋_GB2312" w:hAnsi="方正仿宋_GB2312" w:eastAsia="方正仿宋_GB2312" w:cs="方正仿宋_GB2312"/>
                <w:b w:val="0"/>
                <w:bCs/>
                <w:sz w:val="21"/>
                <w:szCs w:val="21"/>
                <w:lang w:val="en-US" w:eastAsia="zh-CN"/>
              </w:rPr>
              <w:t>此文化建设项目</w:t>
            </w:r>
            <w:r>
              <w:rPr>
                <w:rFonts w:hint="eastAsia" w:ascii="方正仿宋_GB2312" w:hAnsi="方正仿宋_GB2312" w:eastAsia="方正仿宋_GB2312" w:cs="方正仿宋_GB2312"/>
                <w:b w:val="0"/>
                <w:bCs/>
                <w:sz w:val="21"/>
                <w:szCs w:val="21"/>
              </w:rPr>
              <w:t>，</w:t>
            </w:r>
            <w:r>
              <w:rPr>
                <w:rFonts w:hint="eastAsia" w:ascii="方正仿宋_GB2312" w:hAnsi="方正仿宋_GB2312" w:eastAsia="方正仿宋_GB2312" w:cs="方正仿宋_GB2312"/>
                <w:b w:val="0"/>
                <w:bCs/>
                <w:sz w:val="21"/>
                <w:szCs w:val="21"/>
                <w:lang w:val="en-US" w:eastAsia="zh-CN"/>
              </w:rPr>
              <w:t>配合建设项目清单内容，</w:t>
            </w:r>
            <w:r>
              <w:rPr>
                <w:rFonts w:hint="eastAsia" w:ascii="方正仿宋_GB2312" w:hAnsi="方正仿宋_GB2312" w:eastAsia="方正仿宋_GB2312" w:cs="方正仿宋_GB2312"/>
                <w:b w:val="0"/>
                <w:bCs/>
                <w:sz w:val="21"/>
                <w:szCs w:val="21"/>
              </w:rPr>
              <w:t>制定出有文化底蕴</w:t>
            </w:r>
            <w:r>
              <w:rPr>
                <w:rFonts w:hint="eastAsia" w:ascii="方正仿宋_GB2312" w:hAnsi="方正仿宋_GB2312" w:eastAsia="方正仿宋_GB2312" w:cs="方正仿宋_GB2312"/>
                <w:b w:val="0"/>
                <w:bCs/>
                <w:sz w:val="21"/>
                <w:szCs w:val="21"/>
                <w:lang w:eastAsia="zh-CN"/>
              </w:rPr>
              <w:t>、</w:t>
            </w:r>
            <w:r>
              <w:rPr>
                <w:rFonts w:hint="eastAsia" w:ascii="方正仿宋_GB2312" w:hAnsi="方正仿宋_GB2312" w:eastAsia="方正仿宋_GB2312" w:cs="方正仿宋_GB2312"/>
                <w:b w:val="0"/>
                <w:bCs/>
                <w:sz w:val="21"/>
                <w:szCs w:val="21"/>
              </w:rPr>
              <w:t>原</w:t>
            </w:r>
            <w:r>
              <w:rPr>
                <w:rFonts w:hint="eastAsia" w:ascii="方正仿宋_GB2312" w:hAnsi="方正仿宋_GB2312" w:eastAsia="方正仿宋_GB2312" w:cs="方正仿宋_GB2312"/>
                <w:b w:val="0"/>
                <w:bCs/>
                <w:sz w:val="21"/>
                <w:szCs w:val="21"/>
                <w:lang w:val="en-US" w:eastAsia="zh-CN"/>
              </w:rPr>
              <w:t>创且针对性强</w:t>
            </w:r>
            <w:r>
              <w:rPr>
                <w:rFonts w:hint="eastAsia" w:ascii="方正仿宋_GB2312" w:hAnsi="方正仿宋_GB2312" w:eastAsia="方正仿宋_GB2312" w:cs="方正仿宋_GB2312"/>
                <w:b w:val="0"/>
                <w:bCs/>
                <w:sz w:val="21"/>
                <w:szCs w:val="21"/>
                <w:highlight w:val="none"/>
              </w:rPr>
              <w:t>、</w:t>
            </w:r>
            <w:r>
              <w:rPr>
                <w:rFonts w:hint="eastAsia" w:ascii="方正仿宋_GB2312" w:hAnsi="方正仿宋_GB2312" w:eastAsia="方正仿宋_GB2312" w:cs="方正仿宋_GB2312"/>
                <w:b w:val="0"/>
                <w:bCs/>
                <w:sz w:val="21"/>
                <w:szCs w:val="21"/>
                <w:highlight w:val="none"/>
                <w:lang w:val="en-US" w:eastAsia="zh-CN"/>
              </w:rPr>
              <w:t>特点鲜明的文化建设</w:t>
            </w:r>
            <w:r>
              <w:rPr>
                <w:rFonts w:hint="eastAsia" w:ascii="方正仿宋_GB2312" w:hAnsi="方正仿宋_GB2312" w:eastAsia="方正仿宋_GB2312" w:cs="方正仿宋_GB2312"/>
                <w:b w:val="0"/>
                <w:bCs/>
                <w:sz w:val="21"/>
                <w:szCs w:val="21"/>
                <w:highlight w:val="none"/>
              </w:rPr>
              <w:t>方案</w:t>
            </w:r>
            <w:r>
              <w:rPr>
                <w:rFonts w:hint="eastAsia" w:ascii="方正仿宋_GB2312" w:hAnsi="方正仿宋_GB2312" w:eastAsia="方正仿宋_GB2312" w:cs="方正仿宋_GB2312"/>
                <w:b w:val="0"/>
                <w:bCs/>
                <w:sz w:val="21"/>
                <w:szCs w:val="21"/>
                <w:highlight w:val="none"/>
                <w:lang w:val="en-US" w:eastAsia="zh-CN"/>
              </w:rPr>
              <w:t>及整体效果图（彩色）</w:t>
            </w:r>
            <w:r>
              <w:rPr>
                <w:rFonts w:hint="eastAsia" w:ascii="方正仿宋_GB2312" w:hAnsi="方正仿宋_GB2312" w:eastAsia="方正仿宋_GB2312" w:cs="方正仿宋_GB2312"/>
                <w:b w:val="0"/>
                <w:bCs/>
                <w:sz w:val="21"/>
                <w:szCs w:val="21"/>
              </w:rPr>
              <w:t>，</w:t>
            </w:r>
            <w:r>
              <w:rPr>
                <w:rFonts w:hint="eastAsia" w:ascii="方正仿宋_GB2312" w:hAnsi="方正仿宋_GB2312" w:eastAsia="方正仿宋_GB2312" w:cs="方正仿宋_GB2312"/>
                <w:b w:val="0"/>
                <w:bCs/>
                <w:sz w:val="21"/>
                <w:szCs w:val="21"/>
                <w:lang w:val="en-US" w:eastAsia="zh-CN"/>
              </w:rPr>
              <w:t>项目评审小组根据方案的全面性、科学性、可行性</w:t>
            </w:r>
            <w:r>
              <w:rPr>
                <w:rFonts w:hint="eastAsia" w:ascii="方正仿宋_GB2312" w:hAnsi="方正仿宋_GB2312" w:eastAsia="方正仿宋_GB2312" w:cs="方正仿宋_GB2312"/>
                <w:b w:val="0"/>
                <w:bCs/>
                <w:color w:val="auto"/>
                <w:sz w:val="21"/>
                <w:szCs w:val="21"/>
                <w:lang w:val="en-US" w:eastAsia="zh-CN"/>
              </w:rPr>
              <w:t>、整体和谐性、美观性分别进行综合评分；</w:t>
            </w:r>
          </w:p>
          <w:p w14:paraId="5F3EF38C">
            <w:pPr>
              <w:adjustRightInd w:val="0"/>
              <w:snapToGrid w:val="0"/>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b w:val="0"/>
                <w:bCs/>
                <w:color w:val="auto"/>
                <w:sz w:val="21"/>
                <w:szCs w:val="21"/>
                <w:lang w:val="en-US" w:eastAsia="zh-CN"/>
              </w:rPr>
              <w:t>内容全面、详细、科学、可行性、整体和谐性、美观性强的计30分；内容较全面、较详细、较科学、可行性、整体和谐性、美观性较强的计20分；内容基本全面、基本可行、整体和谐性、美观性一般的计10分；内容不够全面、不够详细、可行性、整体</w:t>
            </w:r>
            <w:r>
              <w:rPr>
                <w:rFonts w:hint="eastAsia" w:ascii="方正仿宋_GB2312" w:hAnsi="方正仿宋_GB2312" w:eastAsia="方正仿宋_GB2312" w:cs="方正仿宋_GB2312"/>
                <w:bCs/>
                <w:color w:val="auto"/>
                <w:sz w:val="21"/>
                <w:szCs w:val="21"/>
                <w:lang w:val="en-US" w:eastAsia="zh-CN"/>
              </w:rPr>
              <w:t>和谐性、美观性不够强的</w:t>
            </w:r>
            <w:r>
              <w:rPr>
                <w:rFonts w:hint="eastAsia" w:ascii="方正仿宋_GB2312" w:hAnsi="方正仿宋_GB2312" w:eastAsia="方正仿宋_GB2312" w:cs="方正仿宋_GB2312"/>
                <w:bCs/>
                <w:sz w:val="21"/>
                <w:szCs w:val="21"/>
                <w:lang w:val="en-US" w:eastAsia="zh-CN"/>
              </w:rPr>
              <w:t>计5分；未提供的计0分。</w:t>
            </w:r>
          </w:p>
        </w:tc>
      </w:tr>
      <w:tr w14:paraId="561C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exact"/>
          <w:jc w:val="center"/>
        </w:trPr>
        <w:tc>
          <w:tcPr>
            <w:tcW w:w="424" w:type="dxa"/>
            <w:vMerge w:val="continue"/>
            <w:noWrap w:val="0"/>
            <w:vAlign w:val="center"/>
          </w:tcPr>
          <w:p w14:paraId="039D1AFB">
            <w:pPr>
              <w:spacing w:line="440" w:lineRule="exact"/>
              <w:rPr>
                <w:rFonts w:hint="eastAsia" w:ascii="方正仿宋_GB2312" w:hAnsi="方正仿宋_GB2312" w:eastAsia="方正仿宋_GB2312" w:cs="方正仿宋_GB2312"/>
                <w:sz w:val="21"/>
                <w:szCs w:val="21"/>
              </w:rPr>
            </w:pPr>
          </w:p>
        </w:tc>
        <w:tc>
          <w:tcPr>
            <w:tcW w:w="569" w:type="dxa"/>
            <w:noWrap w:val="0"/>
            <w:vAlign w:val="center"/>
          </w:tcPr>
          <w:p w14:paraId="47F52454">
            <w:pPr>
              <w:spacing w:line="440" w:lineRule="exact"/>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w:t>
            </w:r>
          </w:p>
        </w:tc>
        <w:tc>
          <w:tcPr>
            <w:tcW w:w="992" w:type="dxa"/>
            <w:noWrap w:val="0"/>
            <w:vAlign w:val="center"/>
          </w:tcPr>
          <w:p w14:paraId="74872DE4">
            <w:pP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施工方案及服务承诺</w:t>
            </w:r>
          </w:p>
        </w:tc>
        <w:tc>
          <w:tcPr>
            <w:tcW w:w="2268" w:type="dxa"/>
            <w:noWrap w:val="0"/>
            <w:vAlign w:val="center"/>
          </w:tcPr>
          <w:p w14:paraId="738359BF">
            <w:pPr>
              <w:adjustRightInd w:val="0"/>
              <w:snapToGrid w:val="0"/>
              <w:jc w:val="distribute"/>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施工方案及服务</w:t>
            </w:r>
            <w:r>
              <w:rPr>
                <w:rFonts w:hint="eastAsia" w:ascii="方正仿宋_GB2312" w:hAnsi="方正仿宋_GB2312" w:eastAsia="方正仿宋_GB2312" w:cs="方正仿宋_GB2312"/>
                <w:sz w:val="21"/>
                <w:szCs w:val="21"/>
              </w:rPr>
              <w:t>承诺（</w:t>
            </w:r>
            <w:r>
              <w:rPr>
                <w:rFonts w:hint="eastAsia" w:ascii="方正仿宋_GB2312" w:hAnsi="方正仿宋_GB2312" w:eastAsia="方正仿宋_GB2312" w:cs="方正仿宋_GB2312"/>
                <w:sz w:val="21"/>
                <w:szCs w:val="21"/>
                <w:lang w:val="en-US" w:eastAsia="zh-CN"/>
              </w:rPr>
              <w:t>20</w:t>
            </w:r>
            <w:r>
              <w:rPr>
                <w:rFonts w:hint="eastAsia" w:ascii="方正仿宋_GB2312" w:hAnsi="方正仿宋_GB2312" w:eastAsia="方正仿宋_GB2312" w:cs="方正仿宋_GB2312"/>
                <w:sz w:val="21"/>
                <w:szCs w:val="21"/>
              </w:rPr>
              <w:t>分）</w:t>
            </w:r>
          </w:p>
        </w:tc>
        <w:tc>
          <w:tcPr>
            <w:tcW w:w="5387" w:type="dxa"/>
            <w:noWrap w:val="0"/>
            <w:vAlign w:val="center"/>
          </w:tcPr>
          <w:p w14:paraId="1BF69BCC">
            <w:pPr>
              <w:numPr>
                <w:ilvl w:val="0"/>
                <w:numId w:val="2"/>
              </w:numPr>
              <w:adjustRightInd w:val="0"/>
              <w:snapToGrid w:val="0"/>
              <w:jc w:val="left"/>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施工方案：有完善可行的施工方案的得8至10分；施工方案可行性一般的得5至7分；施工方案欠佳的得02至4分；无施工方案的得0分。</w:t>
            </w:r>
          </w:p>
          <w:p w14:paraId="192450D2">
            <w:pPr>
              <w:numPr>
                <w:ilvl w:val="0"/>
                <w:numId w:val="2"/>
              </w:numPr>
              <w:adjustRightInd w:val="0"/>
              <w:snapToGrid w:val="0"/>
              <w:jc w:val="left"/>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服务承诺：承诺质保期年限最长和在质保期内响应维保服务的时间最及时的得10分，第二名得8分；第三名得6分；第四名得4分；第五名得2分。</w:t>
            </w:r>
          </w:p>
        </w:tc>
      </w:tr>
    </w:tbl>
    <w:p w14:paraId="37B64BB6"/>
    <w:p w14:paraId="1B107D1F">
      <w:pPr>
        <w:pStyle w:val="17"/>
        <w:ind w:left="0" w:leftChars="0" w:firstLine="0"/>
        <w:jc w:val="center"/>
        <w:rPr>
          <w:rFonts w:hint="eastAsia" w:ascii="宋体" w:hAnsi="宋体" w:eastAsia="仿宋" w:cs="宋体"/>
          <w:b/>
          <w:color w:val="333333"/>
          <w:kern w:val="0"/>
          <w:sz w:val="36"/>
          <w:szCs w:val="36"/>
        </w:rPr>
      </w:pPr>
    </w:p>
    <w:p w14:paraId="52B1B33F">
      <w:pPr>
        <w:rPr>
          <w:rFonts w:hint="eastAsia" w:ascii="宋体" w:hAnsi="宋体" w:eastAsia="仿宋" w:cs="宋体"/>
          <w:b/>
          <w:color w:val="333333"/>
          <w:kern w:val="0"/>
          <w:sz w:val="36"/>
          <w:szCs w:val="36"/>
        </w:rPr>
      </w:pPr>
    </w:p>
    <w:p w14:paraId="38D088E7">
      <w:pPr>
        <w:rPr>
          <w:rFonts w:hint="eastAsia" w:ascii="宋体" w:hAnsi="宋体" w:eastAsia="仿宋" w:cs="宋体"/>
          <w:b/>
          <w:color w:val="333333"/>
          <w:kern w:val="0"/>
          <w:sz w:val="36"/>
          <w:szCs w:val="36"/>
        </w:rPr>
      </w:pPr>
    </w:p>
    <w:p w14:paraId="2B92209A">
      <w:pPr>
        <w:rPr>
          <w:rFonts w:hint="eastAsia" w:ascii="宋体" w:hAnsi="宋体" w:eastAsia="仿宋" w:cs="宋体"/>
          <w:b/>
          <w:color w:val="333333"/>
          <w:kern w:val="0"/>
          <w:sz w:val="36"/>
          <w:szCs w:val="36"/>
        </w:rPr>
      </w:pPr>
    </w:p>
    <w:p w14:paraId="4A40A0D4">
      <w:pPr>
        <w:rPr>
          <w:rFonts w:hint="eastAsia" w:ascii="宋体" w:hAnsi="宋体" w:eastAsia="仿宋" w:cs="宋体"/>
          <w:b/>
          <w:color w:val="333333"/>
          <w:kern w:val="0"/>
          <w:sz w:val="36"/>
          <w:szCs w:val="36"/>
        </w:rPr>
      </w:pPr>
    </w:p>
    <w:p w14:paraId="4583F9B0">
      <w:pPr>
        <w:rPr>
          <w:rFonts w:hint="eastAsia" w:ascii="宋体" w:hAnsi="宋体" w:eastAsia="仿宋" w:cs="宋体"/>
          <w:b/>
          <w:color w:val="333333"/>
          <w:kern w:val="0"/>
          <w:sz w:val="36"/>
          <w:szCs w:val="36"/>
        </w:rPr>
      </w:pPr>
    </w:p>
    <w:p w14:paraId="46354DB1">
      <w:pPr>
        <w:rPr>
          <w:rFonts w:hint="eastAsia" w:ascii="宋体" w:hAnsi="宋体" w:eastAsia="仿宋" w:cs="宋体"/>
          <w:b/>
          <w:color w:val="333333"/>
          <w:kern w:val="0"/>
          <w:sz w:val="36"/>
          <w:szCs w:val="36"/>
        </w:rPr>
      </w:pPr>
    </w:p>
    <w:p w14:paraId="0E5C89D2">
      <w:pPr>
        <w:rPr>
          <w:rFonts w:hint="eastAsia" w:ascii="宋体" w:hAnsi="宋体" w:eastAsia="仿宋" w:cs="宋体"/>
          <w:b/>
          <w:color w:val="333333"/>
          <w:kern w:val="0"/>
          <w:sz w:val="36"/>
          <w:szCs w:val="36"/>
        </w:rPr>
      </w:pP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7"/>
        <w:ind w:left="0" w:leftChars="0" w:firstLine="0"/>
      </w:pPr>
    </w:p>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33EE1F5B">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CBF23D6">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5A51534C">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7E06D33">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74209065">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075A172B">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2A4002D5">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31A9949">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443A8D9">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1F7B581E">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241CF2E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7E5181DA">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51DAD6C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3BCD9F85">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08DE34B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BA60C6A">
      <w:pPr>
        <w:pStyle w:val="11"/>
        <w:adjustRightInd w:val="0"/>
        <w:snapToGrid w:val="0"/>
        <w:spacing w:line="360" w:lineRule="auto"/>
        <w:rPr>
          <w:rFonts w:hint="eastAsia" w:ascii="仿宋_GB2312" w:hAnsi="宋体" w:eastAsia="仿宋_GB2312"/>
          <w:b/>
        </w:rPr>
      </w:pPr>
    </w:p>
    <w:p w14:paraId="708DFB7E">
      <w:pPr>
        <w:pStyle w:val="11"/>
        <w:adjustRightInd w:val="0"/>
        <w:snapToGrid w:val="0"/>
        <w:spacing w:line="360" w:lineRule="auto"/>
        <w:rPr>
          <w:rFonts w:hint="eastAsia" w:ascii="仿宋_GB2312" w:hAnsi="宋体" w:eastAsia="仿宋_GB2312"/>
          <w:b/>
        </w:rPr>
      </w:pP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F5415D5">
      <w:pPr>
        <w:adjustRightInd w:val="0"/>
        <w:snapToGrid w:val="0"/>
        <w:spacing w:line="360" w:lineRule="auto"/>
        <w:ind w:right="24"/>
        <w:rPr>
          <w:szCs w:val="21"/>
        </w:rPr>
      </w:pPr>
    </w:p>
    <w:p w14:paraId="7059BBE5">
      <w:pPr>
        <w:adjustRightInd w:val="0"/>
        <w:snapToGrid w:val="0"/>
        <w:spacing w:line="360" w:lineRule="auto"/>
        <w:ind w:right="24"/>
        <w:rPr>
          <w:rFonts w:hint="eastAsia" w:ascii="仿宋" w:hAnsi="仿宋" w:eastAsia="仿宋"/>
          <w:bCs/>
          <w:sz w:val="24"/>
          <w:szCs w:val="24"/>
        </w:rPr>
      </w:pPr>
    </w:p>
    <w:p w14:paraId="4554310B">
      <w:pPr>
        <w:adjustRightInd w:val="0"/>
        <w:snapToGrid w:val="0"/>
        <w:spacing w:line="360" w:lineRule="auto"/>
        <w:ind w:right="24"/>
        <w:rPr>
          <w:rFonts w:hint="eastAsia" w:ascii="仿宋" w:hAnsi="仿宋" w:eastAsia="仿宋"/>
          <w:bCs/>
          <w:sz w:val="24"/>
          <w:szCs w:val="24"/>
        </w:rPr>
      </w:pPr>
    </w:p>
    <w:p w14:paraId="61DD1A35">
      <w:pPr>
        <w:adjustRightInd w:val="0"/>
        <w:snapToGrid w:val="0"/>
        <w:spacing w:line="360" w:lineRule="auto"/>
        <w:ind w:right="24"/>
        <w:rPr>
          <w:rFonts w:hint="eastAsia" w:ascii="仿宋" w:hAnsi="仿宋" w:eastAsia="仿宋"/>
          <w:bCs/>
          <w:sz w:val="24"/>
          <w:szCs w:val="24"/>
        </w:rPr>
      </w:pPr>
    </w:p>
    <w:p w14:paraId="3D086330">
      <w:pPr>
        <w:adjustRightInd w:val="0"/>
        <w:snapToGrid w:val="0"/>
        <w:spacing w:line="360" w:lineRule="auto"/>
        <w:ind w:right="24"/>
        <w:rPr>
          <w:rFonts w:hint="eastAsia" w:ascii="仿宋" w:hAnsi="仿宋" w:eastAsia="仿宋"/>
          <w:bCs/>
          <w:sz w:val="24"/>
          <w:szCs w:val="24"/>
        </w:rPr>
      </w:pPr>
    </w:p>
    <w:p w14:paraId="151BFAE6">
      <w:pPr>
        <w:adjustRightInd w:val="0"/>
        <w:snapToGrid w:val="0"/>
        <w:spacing w:line="360" w:lineRule="auto"/>
        <w:ind w:right="24"/>
        <w:rPr>
          <w:rFonts w:hint="eastAsia" w:ascii="仿宋" w:hAnsi="仿宋" w:eastAsia="仿宋"/>
          <w:bCs/>
          <w:sz w:val="24"/>
          <w:szCs w:val="24"/>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07702774">
      <w:pPr>
        <w:spacing w:line="360" w:lineRule="exact"/>
        <w:rPr>
          <w:rFonts w:ascii="仿宋_GB2312" w:eastAsia="仿宋_GB2312"/>
          <w:b/>
          <w:sz w:val="24"/>
          <w:szCs w:val="24"/>
        </w:rPr>
      </w:pPr>
    </w:p>
    <w:p w14:paraId="4092D2BC">
      <w:pPr>
        <w:spacing w:line="360" w:lineRule="exact"/>
        <w:rPr>
          <w:rFonts w:ascii="仿宋_GB2312" w:eastAsia="仿宋_GB2312"/>
          <w:b/>
          <w:sz w:val="24"/>
          <w:szCs w:val="24"/>
        </w:rPr>
      </w:pPr>
    </w:p>
    <w:p w14:paraId="78DEAE4A">
      <w:pPr>
        <w:spacing w:line="360" w:lineRule="exact"/>
        <w:rPr>
          <w:rFonts w:ascii="仿宋_GB2312" w:eastAsia="仿宋_GB2312"/>
          <w:b/>
          <w:sz w:val="24"/>
          <w:szCs w:val="24"/>
        </w:rPr>
      </w:pPr>
    </w:p>
    <w:p w14:paraId="10CB8852"/>
    <w:p w14:paraId="7F870902"/>
    <w:p w14:paraId="78DBABB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附件</w:t>
      </w:r>
      <w:r>
        <w:rPr>
          <w:rFonts w:hint="eastAsia" w:ascii="仿宋" w:hAnsi="仿宋" w:eastAsia="仿宋"/>
          <w:bCs/>
          <w:sz w:val="24"/>
          <w:szCs w:val="24"/>
          <w:lang w:val="en-US" w:eastAsia="zh-CN"/>
        </w:rPr>
        <w:t>4</w:t>
      </w:r>
      <w:r>
        <w:rPr>
          <w:rFonts w:hint="eastAsia" w:ascii="仿宋" w:hAnsi="仿宋" w:eastAsia="仿宋"/>
          <w:bCs/>
          <w:sz w:val="24"/>
          <w:szCs w:val="24"/>
        </w:rPr>
        <w:t>：</w:t>
      </w:r>
    </w:p>
    <w:p w14:paraId="033553B5">
      <w:pPr>
        <w:ind w:firstLine="3855" w:firstLineChars="1200"/>
        <w:jc w:val="both"/>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7"/>
        <w:rPr>
          <w:rFonts w:hint="eastAsia" w:ascii="仿宋" w:hAnsi="仿宋" w:eastAsia="仿宋"/>
        </w:rPr>
      </w:pPr>
    </w:p>
    <w:p w14:paraId="5550980C">
      <w:pPr>
        <w:pStyle w:val="1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040" w:right="1486" w:bottom="91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Times New Roman (正文 CS 字体)">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2"/>
      </w:rPr>
    </w:pPr>
    <w:r>
      <w:fldChar w:fldCharType="begin"/>
    </w:r>
    <w:r>
      <w:rPr>
        <w:rStyle w:val="22"/>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76D4"/>
    <w:multiLevelType w:val="multilevel"/>
    <w:tmpl w:val="FBFE76D4"/>
    <w:lvl w:ilvl="0" w:tentative="0">
      <w:start w:val="1"/>
      <w:numFmt w:val="decimal"/>
      <w:lvlText w:val="%1."/>
      <w:lvlJc w:val="left"/>
      <w:pPr>
        <w:ind w:left="432" w:hanging="432"/>
      </w:pPr>
      <w:rPr>
        <w:rFonts w:hint="default" w:ascii="宋体" w:hAnsi="宋体" w:eastAsia="宋体" w:cs="宋体"/>
      </w:rPr>
    </w:lvl>
    <w:lvl w:ilvl="1" w:tentative="0">
      <w:start w:val="1"/>
      <w:numFmt w:val="decimal"/>
      <w:lvlText w:val="%1.%2"/>
      <w:lvlJc w:val="left"/>
      <w:pPr>
        <w:ind w:left="576" w:hanging="576"/>
      </w:pPr>
      <w:rPr>
        <w:rFonts w:hint="default" w:ascii="宋体" w:hAnsi="宋体" w:eastAsia="宋体" w:cs="宋体"/>
      </w:rPr>
    </w:lvl>
    <w:lvl w:ilvl="2" w:tentative="0">
      <w:start w:val="1"/>
      <w:numFmt w:val="decimal"/>
      <w:pStyle w:val="4"/>
      <w:lvlText w:val="%1.%2.%3"/>
      <w:lvlJc w:val="left"/>
      <w:pPr>
        <w:ind w:left="720" w:hanging="720"/>
      </w:pPr>
      <w:rPr>
        <w:rFonts w:hint="default" w:ascii="宋体" w:hAnsi="宋体" w:eastAsia="宋体" w:cs="宋体"/>
      </w:rPr>
    </w:lvl>
    <w:lvl w:ilvl="3" w:tentative="0">
      <w:start w:val="1"/>
      <w:numFmt w:val="decimal"/>
      <w:lvlText w:val="%1.%2.%3.%4"/>
      <w:lvlJc w:val="left"/>
      <w:pPr>
        <w:ind w:left="864" w:hanging="864"/>
      </w:pPr>
      <w:rPr>
        <w:rFonts w:hint="default" w:ascii="宋体" w:hAnsi="宋体" w:eastAsia="宋体" w:cs="宋体"/>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1">
    <w:nsid w:val="662D058C"/>
    <w:multiLevelType w:val="singleLevel"/>
    <w:tmpl w:val="662D058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0E55EA"/>
    <w:rsid w:val="017442FA"/>
    <w:rsid w:val="0215299B"/>
    <w:rsid w:val="044E0E32"/>
    <w:rsid w:val="05997E8B"/>
    <w:rsid w:val="066D3445"/>
    <w:rsid w:val="07FB6BDB"/>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32607A"/>
    <w:rsid w:val="144F1BCA"/>
    <w:rsid w:val="14FD6A90"/>
    <w:rsid w:val="15455939"/>
    <w:rsid w:val="15B12877"/>
    <w:rsid w:val="16D36F75"/>
    <w:rsid w:val="16FC64CC"/>
    <w:rsid w:val="172E31C9"/>
    <w:rsid w:val="17307592"/>
    <w:rsid w:val="17C3509D"/>
    <w:rsid w:val="1998697F"/>
    <w:rsid w:val="19CE05F3"/>
    <w:rsid w:val="19E54DD6"/>
    <w:rsid w:val="1A07140F"/>
    <w:rsid w:val="1A514D80"/>
    <w:rsid w:val="1A7D2861"/>
    <w:rsid w:val="1B451A26"/>
    <w:rsid w:val="1B9B73B3"/>
    <w:rsid w:val="1BB90E2F"/>
    <w:rsid w:val="1D444728"/>
    <w:rsid w:val="1E4F7829"/>
    <w:rsid w:val="1F2B2044"/>
    <w:rsid w:val="1F9951FF"/>
    <w:rsid w:val="201D3E7D"/>
    <w:rsid w:val="202D76F6"/>
    <w:rsid w:val="20746BB2"/>
    <w:rsid w:val="21DF356B"/>
    <w:rsid w:val="21E64000"/>
    <w:rsid w:val="22FB1D2D"/>
    <w:rsid w:val="230265FB"/>
    <w:rsid w:val="23E9602A"/>
    <w:rsid w:val="242B03F0"/>
    <w:rsid w:val="24F13006"/>
    <w:rsid w:val="26E533CB"/>
    <w:rsid w:val="295D104C"/>
    <w:rsid w:val="29B665AC"/>
    <w:rsid w:val="29D15596"/>
    <w:rsid w:val="2A7725E1"/>
    <w:rsid w:val="2B473D61"/>
    <w:rsid w:val="2BD27227"/>
    <w:rsid w:val="2CB01DDA"/>
    <w:rsid w:val="2D0F4D53"/>
    <w:rsid w:val="2D460049"/>
    <w:rsid w:val="2DE7298C"/>
    <w:rsid w:val="3163566D"/>
    <w:rsid w:val="31D8203D"/>
    <w:rsid w:val="31FA2FC3"/>
    <w:rsid w:val="3248523C"/>
    <w:rsid w:val="333E6870"/>
    <w:rsid w:val="353327D7"/>
    <w:rsid w:val="35956011"/>
    <w:rsid w:val="35A3072E"/>
    <w:rsid w:val="35BA60CE"/>
    <w:rsid w:val="37C84CB4"/>
    <w:rsid w:val="37CE1367"/>
    <w:rsid w:val="38CA49CD"/>
    <w:rsid w:val="39D54C2E"/>
    <w:rsid w:val="3A731769"/>
    <w:rsid w:val="3A7601BF"/>
    <w:rsid w:val="3B3140E6"/>
    <w:rsid w:val="3B8763FC"/>
    <w:rsid w:val="3C0E61D6"/>
    <w:rsid w:val="3D912B45"/>
    <w:rsid w:val="3DC92B7D"/>
    <w:rsid w:val="3E7013C9"/>
    <w:rsid w:val="3F2D1069"/>
    <w:rsid w:val="404D79B1"/>
    <w:rsid w:val="40CF23D7"/>
    <w:rsid w:val="411058C0"/>
    <w:rsid w:val="413277CA"/>
    <w:rsid w:val="41A31919"/>
    <w:rsid w:val="42507548"/>
    <w:rsid w:val="457F75CA"/>
    <w:rsid w:val="46CA0328"/>
    <w:rsid w:val="471A6376"/>
    <w:rsid w:val="473C62ED"/>
    <w:rsid w:val="495E1E55"/>
    <w:rsid w:val="4A6C57DD"/>
    <w:rsid w:val="4A842484"/>
    <w:rsid w:val="4ACE4B79"/>
    <w:rsid w:val="4ADA413D"/>
    <w:rsid w:val="4C811ECE"/>
    <w:rsid w:val="4C8E75EA"/>
    <w:rsid w:val="4CD64AED"/>
    <w:rsid w:val="4DC61E27"/>
    <w:rsid w:val="4DEA6AA2"/>
    <w:rsid w:val="4DF74D1B"/>
    <w:rsid w:val="505E5526"/>
    <w:rsid w:val="50C025FA"/>
    <w:rsid w:val="51CA3B38"/>
    <w:rsid w:val="52F65EE9"/>
    <w:rsid w:val="53425821"/>
    <w:rsid w:val="54260108"/>
    <w:rsid w:val="543D7D43"/>
    <w:rsid w:val="54413194"/>
    <w:rsid w:val="54570630"/>
    <w:rsid w:val="554E608A"/>
    <w:rsid w:val="567D5FDA"/>
    <w:rsid w:val="56D36709"/>
    <w:rsid w:val="56EB5013"/>
    <w:rsid w:val="57A557E8"/>
    <w:rsid w:val="57DD4F82"/>
    <w:rsid w:val="59337A15"/>
    <w:rsid w:val="5A2C0199"/>
    <w:rsid w:val="5A865DA5"/>
    <w:rsid w:val="5B3B1FAA"/>
    <w:rsid w:val="5BEA43D9"/>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42E2649"/>
    <w:rsid w:val="645C6759"/>
    <w:rsid w:val="66DC6D4D"/>
    <w:rsid w:val="676905E0"/>
    <w:rsid w:val="67FD9C9A"/>
    <w:rsid w:val="68B735CD"/>
    <w:rsid w:val="6A400653"/>
    <w:rsid w:val="6A7F45BF"/>
    <w:rsid w:val="6B5A68F5"/>
    <w:rsid w:val="6BBF5D79"/>
    <w:rsid w:val="6BC9041D"/>
    <w:rsid w:val="6BFD69B2"/>
    <w:rsid w:val="6D6E12AC"/>
    <w:rsid w:val="6DAB7F02"/>
    <w:rsid w:val="6F8B7C47"/>
    <w:rsid w:val="719E17CE"/>
    <w:rsid w:val="71CD20B4"/>
    <w:rsid w:val="721B23EA"/>
    <w:rsid w:val="72567DE8"/>
    <w:rsid w:val="72C16AF2"/>
    <w:rsid w:val="72FA6ED8"/>
    <w:rsid w:val="73A76E7D"/>
    <w:rsid w:val="74A23383"/>
    <w:rsid w:val="75730384"/>
    <w:rsid w:val="75C6265A"/>
    <w:rsid w:val="76146976"/>
    <w:rsid w:val="78401AE9"/>
    <w:rsid w:val="7B4E5EDA"/>
    <w:rsid w:val="7BEB3862"/>
    <w:rsid w:val="7C7B7C1A"/>
    <w:rsid w:val="7D210FAE"/>
    <w:rsid w:val="7DE95B7F"/>
    <w:rsid w:val="7DF64DA9"/>
    <w:rsid w:val="7E151C77"/>
    <w:rsid w:val="FFA7DA90"/>
    <w:rsid w:val="FFD4B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29"/>
    <w:qFormat/>
    <w:uiPriority w:val="0"/>
    <w:pPr>
      <w:keepNext/>
      <w:keepLines/>
      <w:spacing w:before="480"/>
      <w:jc w:val="center"/>
      <w:outlineLvl w:val="0"/>
    </w:pPr>
    <w:rPr>
      <w:rFonts w:ascii="Cambria" w:hAnsi="Cambria" w:eastAsia="华文中宋"/>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widowControl w:val="0"/>
      <w:numPr>
        <w:ilvl w:val="2"/>
        <w:numId w:val="1"/>
      </w:numPr>
      <w:spacing w:before="240" w:after="120" w:line="415" w:lineRule="auto"/>
      <w:ind w:firstLineChars="0"/>
      <w:jc w:val="left"/>
      <w:outlineLvl w:val="2"/>
    </w:pPr>
    <w:rPr>
      <w:rFonts w:ascii="Calibri" w:hAnsi="Calibri" w:cs="Times New Roman (正文 CS 字体)"/>
      <w:b/>
      <w:bCs/>
      <w:kern w:val="2"/>
      <w:sz w:val="28"/>
      <w:szCs w:val="40"/>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link w:val="41"/>
    <w:qFormat/>
    <w:uiPriority w:val="99"/>
    <w:pPr>
      <w:spacing w:after="120" w:line="480" w:lineRule="auto"/>
      <w:ind w:left="420" w:leftChars="200"/>
    </w:pPr>
    <w:rPr>
      <w:kern w:val="0"/>
      <w:sz w:val="24"/>
    </w:rPr>
  </w:style>
  <w:style w:type="paragraph" w:styleId="9">
    <w:name w:val="Document Map"/>
    <w:basedOn w:val="1"/>
    <w:link w:val="25"/>
    <w:semiHidden/>
    <w:unhideWhenUsed/>
    <w:qFormat/>
    <w:uiPriority w:val="99"/>
    <w:rPr>
      <w:rFonts w:ascii="宋体"/>
      <w:sz w:val="18"/>
      <w:szCs w:val="18"/>
    </w:rPr>
  </w:style>
  <w:style w:type="paragraph" w:styleId="10">
    <w:name w:val="Body Text"/>
    <w:basedOn w:val="1"/>
    <w:next w:val="1"/>
    <w:link w:val="37"/>
    <w:qFormat/>
    <w:uiPriority w:val="0"/>
    <w:pPr>
      <w:spacing w:after="120"/>
    </w:pPr>
    <w:rPr>
      <w:rFonts w:ascii="Times New Roman" w:hAnsi="Times New Roman"/>
      <w:szCs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rPr>
      <w:sz w:val="24"/>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7"/>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page number"/>
    <w:basedOn w:val="20"/>
    <w:qFormat/>
    <w:uiPriority w:val="0"/>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9"/>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5"/>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10"/>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8"/>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table" w:customStyle="1" w:styleId="45">
    <w:name w:val="网格型1"/>
    <w:basedOn w:val="18"/>
    <w:autoRedefine/>
    <w:qFormat/>
    <w:uiPriority w:val="0"/>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6">
    <w:name w:val="font112"/>
    <w:basedOn w:val="20"/>
    <w:qFormat/>
    <w:uiPriority w:val="0"/>
    <w:rPr>
      <w:rFonts w:ascii="Arial" w:hAnsi="Arial" w:cs="Arial"/>
      <w:color w:val="000000"/>
      <w:sz w:val="21"/>
      <w:szCs w:val="21"/>
      <w:u w:val="none"/>
    </w:rPr>
  </w:style>
  <w:style w:type="character" w:customStyle="1" w:styleId="47">
    <w:name w:val="font51"/>
    <w:basedOn w:val="20"/>
    <w:qFormat/>
    <w:uiPriority w:val="0"/>
    <w:rPr>
      <w:rFonts w:hint="eastAsia"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524</Words>
  <Characters>527</Characters>
  <Lines>31</Lines>
  <Paragraphs>9</Paragraphs>
  <TotalTime>4</TotalTime>
  <ScaleCrop>false</ScaleCrop>
  <LinksUpToDate>false</LinksUpToDate>
  <CharactersWithSpaces>545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WPS_1728797045</cp:lastModifiedBy>
  <cp:lastPrinted>2025-09-30T13:39:00Z</cp:lastPrinted>
  <dcterms:modified xsi:type="dcterms:W3CDTF">2026-06-01T01:08:30Z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4CB59E6DD9B441B7A71C3ED4C66F939D_13</vt:lpwstr>
  </property>
  <property fmtid="{D5CDD505-2E9C-101B-9397-08002B2CF9AE}" pid="4" name="KSOTemplateDocerSaveRecord">
    <vt:lpwstr>eyJoZGlkIjoiM2ExNGYyYWU4ZDIwNjg4YmMwNGYzNjFjYWQ2NzE2MWIiLCJ1c2VySWQiOiIxNjQ0NjA1MDIwIn0=</vt:lpwstr>
  </property>
</Properties>
</file>