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9DB74">
      <w:pPr>
        <w:adjustRightInd w:val="0"/>
        <w:snapToGrid w:val="0"/>
        <w:spacing w:line="360" w:lineRule="auto"/>
        <w:ind w:firstLine="405"/>
        <w:rPr>
          <w:rFonts w:ascii="仿宋_GB2312" w:hAnsi="华文中宋" w:eastAsia="仿宋_GB2312"/>
          <w:b/>
          <w:sz w:val="84"/>
          <w:szCs w:val="84"/>
        </w:rPr>
      </w:pPr>
    </w:p>
    <w:p w14:paraId="6CB1D41E">
      <w:pPr>
        <w:pStyle w:val="10"/>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2EE7730B">
      <w:pPr>
        <w:pStyle w:val="10"/>
        <w:adjustRightInd w:val="0"/>
        <w:snapToGrid w:val="0"/>
        <w:spacing w:line="360" w:lineRule="auto"/>
        <w:ind w:left="846" w:leftChars="403" w:firstLine="157" w:firstLineChars="49"/>
        <w:rPr>
          <w:rFonts w:ascii="黑体" w:hAnsi="黑体" w:eastAsia="黑体"/>
          <w:b/>
          <w:sz w:val="32"/>
          <w:szCs w:val="32"/>
        </w:rPr>
      </w:pPr>
    </w:p>
    <w:p w14:paraId="5D656F44">
      <w:pPr>
        <w:pStyle w:val="10"/>
        <w:adjustRightInd w:val="0"/>
        <w:snapToGrid w:val="0"/>
        <w:spacing w:line="360" w:lineRule="auto"/>
        <w:ind w:left="846" w:leftChars="403" w:firstLine="157" w:firstLineChars="49"/>
        <w:rPr>
          <w:rFonts w:ascii="黑体" w:hAnsi="黑体" w:eastAsia="黑体"/>
          <w:b/>
          <w:sz w:val="32"/>
          <w:szCs w:val="32"/>
        </w:rPr>
      </w:pPr>
    </w:p>
    <w:p w14:paraId="2144F3BA">
      <w:pPr>
        <w:pStyle w:val="10"/>
        <w:adjustRightInd w:val="0"/>
        <w:snapToGrid w:val="0"/>
        <w:spacing w:line="360" w:lineRule="auto"/>
        <w:ind w:left="846" w:leftChars="403" w:firstLine="157" w:firstLineChars="49"/>
        <w:rPr>
          <w:rFonts w:ascii="黑体" w:hAnsi="黑体" w:eastAsia="黑体"/>
          <w:b/>
          <w:sz w:val="32"/>
          <w:szCs w:val="32"/>
        </w:rPr>
      </w:pPr>
    </w:p>
    <w:p w14:paraId="069259D2">
      <w:pPr>
        <w:pStyle w:val="10"/>
        <w:adjustRightInd w:val="0"/>
        <w:snapToGrid w:val="0"/>
        <w:spacing w:line="360" w:lineRule="auto"/>
        <w:ind w:left="846" w:leftChars="403" w:firstLine="157" w:firstLineChars="49"/>
        <w:rPr>
          <w:rFonts w:ascii="黑体" w:hAnsi="黑体" w:eastAsia="黑体"/>
          <w:b/>
          <w:sz w:val="32"/>
          <w:szCs w:val="32"/>
        </w:rPr>
      </w:pPr>
    </w:p>
    <w:p w14:paraId="45C8F1FA">
      <w:pPr>
        <w:pStyle w:val="10"/>
        <w:adjustRightInd w:val="0"/>
        <w:snapToGrid w:val="0"/>
        <w:spacing w:line="360" w:lineRule="auto"/>
        <w:ind w:left="846" w:leftChars="403" w:firstLine="157" w:firstLineChars="49"/>
        <w:rPr>
          <w:rFonts w:ascii="黑体" w:hAnsi="黑体" w:eastAsia="黑体"/>
          <w:b/>
          <w:sz w:val="32"/>
          <w:szCs w:val="32"/>
        </w:rPr>
      </w:pPr>
    </w:p>
    <w:p w14:paraId="085DEDA4">
      <w:pPr>
        <w:pStyle w:val="39"/>
        <w:ind w:firstLine="320" w:firstLineChars="100"/>
        <w:jc w:val="both"/>
        <w:rPr>
          <w:rFonts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校方责任险项目</w:t>
      </w:r>
    </w:p>
    <w:p w14:paraId="1203B189">
      <w:pPr>
        <w:pStyle w:val="10"/>
        <w:adjustRightInd w:val="0"/>
        <w:snapToGrid w:val="0"/>
        <w:spacing w:before="156" w:beforeLines="50" w:after="156" w:afterLines="50"/>
        <w:ind w:left="2559" w:leftChars="152" w:hanging="2240" w:hangingChars="700"/>
        <w:rPr>
          <w:rFonts w:ascii="黑体" w:hAnsi="黑体" w:eastAsia="黑体"/>
          <w:sz w:val="32"/>
          <w:szCs w:val="32"/>
        </w:rPr>
      </w:pPr>
    </w:p>
    <w:p w14:paraId="24DDA6C3">
      <w:pPr>
        <w:pStyle w:val="10"/>
        <w:adjustRightInd w:val="0"/>
        <w:snapToGrid w:val="0"/>
        <w:spacing w:before="156" w:beforeLines="50" w:after="156"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21730D43">
      <w:pPr>
        <w:pStyle w:val="10"/>
        <w:adjustRightInd w:val="0"/>
        <w:snapToGrid w:val="0"/>
        <w:spacing w:line="440" w:lineRule="exact"/>
        <w:jc w:val="center"/>
        <w:rPr>
          <w:rFonts w:ascii="黑体" w:hAnsi="黑体" w:eastAsia="黑体"/>
          <w:b/>
          <w:sz w:val="32"/>
        </w:rPr>
      </w:pPr>
    </w:p>
    <w:p w14:paraId="335FE4CD">
      <w:pPr>
        <w:pStyle w:val="10"/>
        <w:adjustRightInd w:val="0"/>
        <w:snapToGrid w:val="0"/>
        <w:spacing w:line="440" w:lineRule="exact"/>
        <w:jc w:val="center"/>
        <w:rPr>
          <w:rFonts w:ascii="黑体" w:hAnsi="黑体" w:eastAsia="黑体"/>
          <w:b/>
          <w:sz w:val="32"/>
        </w:rPr>
      </w:pPr>
    </w:p>
    <w:p w14:paraId="53545B50">
      <w:pPr>
        <w:pStyle w:val="10"/>
        <w:adjustRightInd w:val="0"/>
        <w:snapToGrid w:val="0"/>
        <w:spacing w:line="440" w:lineRule="exact"/>
        <w:jc w:val="center"/>
        <w:rPr>
          <w:rFonts w:ascii="黑体" w:hAnsi="黑体" w:eastAsia="黑体"/>
          <w:b/>
          <w:sz w:val="32"/>
        </w:rPr>
      </w:pPr>
    </w:p>
    <w:p w14:paraId="5C254093">
      <w:pPr>
        <w:pStyle w:val="10"/>
        <w:adjustRightInd w:val="0"/>
        <w:snapToGrid w:val="0"/>
        <w:spacing w:line="440" w:lineRule="exact"/>
        <w:jc w:val="center"/>
        <w:rPr>
          <w:rFonts w:ascii="黑体" w:hAnsi="黑体" w:eastAsia="黑体"/>
          <w:b/>
          <w:sz w:val="32"/>
        </w:rPr>
      </w:pPr>
    </w:p>
    <w:p w14:paraId="197796E2">
      <w:pPr>
        <w:pStyle w:val="10"/>
        <w:adjustRightInd w:val="0"/>
        <w:snapToGrid w:val="0"/>
        <w:spacing w:line="440" w:lineRule="exact"/>
        <w:jc w:val="center"/>
        <w:rPr>
          <w:rFonts w:ascii="黑体" w:hAnsi="黑体" w:eastAsia="黑体"/>
          <w:b/>
          <w:sz w:val="32"/>
        </w:rPr>
      </w:pPr>
    </w:p>
    <w:p w14:paraId="5954F4D1">
      <w:pPr>
        <w:pStyle w:val="10"/>
        <w:adjustRightInd w:val="0"/>
        <w:snapToGrid w:val="0"/>
        <w:spacing w:line="440" w:lineRule="exact"/>
        <w:jc w:val="center"/>
        <w:rPr>
          <w:rFonts w:ascii="黑体" w:hAnsi="黑体" w:eastAsia="黑体"/>
          <w:b/>
          <w:sz w:val="32"/>
        </w:rPr>
      </w:pPr>
    </w:p>
    <w:p w14:paraId="2CB91E53">
      <w:pPr>
        <w:pStyle w:val="10"/>
        <w:adjustRightInd w:val="0"/>
        <w:snapToGrid w:val="0"/>
        <w:spacing w:line="440" w:lineRule="exact"/>
        <w:jc w:val="center"/>
        <w:rPr>
          <w:rFonts w:ascii="黑体" w:hAnsi="黑体" w:eastAsia="黑体"/>
          <w:b/>
          <w:sz w:val="32"/>
        </w:rPr>
      </w:pPr>
    </w:p>
    <w:p w14:paraId="1B6A73AF">
      <w:pPr>
        <w:pStyle w:val="10"/>
        <w:adjustRightInd w:val="0"/>
        <w:snapToGrid w:val="0"/>
        <w:spacing w:line="440" w:lineRule="exact"/>
        <w:jc w:val="center"/>
        <w:rPr>
          <w:rFonts w:ascii="黑体" w:hAnsi="黑体" w:eastAsia="黑体"/>
          <w:b/>
          <w:sz w:val="32"/>
        </w:rPr>
      </w:pPr>
    </w:p>
    <w:p w14:paraId="5301A364">
      <w:pPr>
        <w:pStyle w:val="10"/>
        <w:adjustRightInd w:val="0"/>
        <w:snapToGrid w:val="0"/>
        <w:spacing w:line="440" w:lineRule="exact"/>
        <w:jc w:val="center"/>
        <w:rPr>
          <w:rFonts w:ascii="黑体" w:hAnsi="黑体" w:eastAsia="黑体"/>
          <w:b/>
          <w:sz w:val="32"/>
        </w:rPr>
      </w:pPr>
    </w:p>
    <w:p w14:paraId="69B3D28B">
      <w:pPr>
        <w:spacing w:line="360" w:lineRule="auto"/>
        <w:jc w:val="center"/>
        <w:rPr>
          <w:rFonts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八</w:t>
      </w:r>
      <w:r>
        <w:rPr>
          <w:rFonts w:ascii="黑体" w:hAnsi="黑体" w:eastAsia="黑体"/>
          <w:sz w:val="32"/>
          <w:szCs w:val="32"/>
        </w:rPr>
        <w:t>月</w:t>
      </w:r>
    </w:p>
    <w:p w14:paraId="617EEB03">
      <w:pPr>
        <w:pStyle w:val="15"/>
      </w:pPr>
    </w:p>
    <w:p w14:paraId="786BE5CC">
      <w:pPr>
        <w:pStyle w:val="15"/>
        <w:rPr>
          <w:szCs w:val="22"/>
        </w:rPr>
      </w:pPr>
    </w:p>
    <w:p w14:paraId="626481E1">
      <w:pPr>
        <w:jc w:val="center"/>
        <w:outlineLvl w:val="0"/>
        <w:rPr>
          <w:rFonts w:ascii="黑体" w:hAnsi="黑体" w:eastAsia="黑体" w:cs="宋体"/>
          <w:b/>
          <w:bCs/>
          <w:color w:val="000000"/>
          <w:spacing w:val="-20"/>
          <w:kern w:val="36"/>
          <w:sz w:val="36"/>
          <w:szCs w:val="36"/>
        </w:rPr>
      </w:pPr>
      <w:r>
        <w:rPr>
          <w:rFonts w:hint="eastAsia" w:ascii="黑体" w:hAnsi="黑体" w:eastAsia="黑体"/>
          <w:b/>
          <w:sz w:val="36"/>
          <w:szCs w:val="36"/>
        </w:rPr>
        <w:t>湖南铁道职业技术学院校方责任险项目询比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1D9582C3">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校方责任险项目需进行采购，现采用发布公告方式，邀请符合资格条件的供应商参与采购活动。</w:t>
      </w:r>
    </w:p>
    <w:p w14:paraId="5FE53222">
      <w:pPr>
        <w:snapToGrid w:val="0"/>
        <w:spacing w:line="360" w:lineRule="auto"/>
        <w:ind w:firstLine="482" w:firstLineChars="200"/>
        <w:jc w:val="left"/>
        <w:rPr>
          <w:rFonts w:ascii="仿宋" w:hAnsi="仿宋" w:eastAsia="仿宋" w:cs="仿宋"/>
          <w:b/>
          <w:bCs/>
          <w:color w:val="333333"/>
          <w:kern w:val="0"/>
          <w:sz w:val="24"/>
          <w:szCs w:val="24"/>
        </w:rPr>
      </w:pPr>
      <w:bookmarkStart w:id="0" w:name="_Toc31662_WPSOffice_Level2"/>
      <w:bookmarkStart w:id="1" w:name="_Toc26475"/>
      <w:bookmarkStart w:id="2" w:name="_Toc3564"/>
      <w:bookmarkStart w:id="3" w:name="_Toc17794_WPSOffice_Level2"/>
      <w:bookmarkStart w:id="4" w:name="_Toc4659"/>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6A56195E">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1.项目名称：湖南铁道职业技术学院校方责任险项目</w:t>
      </w:r>
    </w:p>
    <w:p w14:paraId="02F07770">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2.项目概况</w:t>
      </w:r>
      <w:r>
        <w:rPr>
          <w:rFonts w:hint="eastAsia" w:ascii="仿宋" w:hAnsi="仿宋" w:eastAsia="仿宋"/>
          <w:sz w:val="24"/>
          <w:szCs w:val="24"/>
          <w:lang w:eastAsia="zh-CN"/>
        </w:rPr>
        <w:t>：</w:t>
      </w:r>
      <w:r>
        <w:rPr>
          <w:rFonts w:hint="eastAsia" w:ascii="仿宋" w:hAnsi="仿宋" w:eastAsia="仿宋"/>
          <w:sz w:val="24"/>
          <w:szCs w:val="24"/>
        </w:rPr>
        <w:t xml:space="preserve"> 为健全我校风险管理体系，转移办学过程中因意外事故导致的法律责任风险，保障我校师生安全和合法权益，根据国家相关法律法规及教育主管部门要求，现公开采购校园方责任保险服务。</w:t>
      </w:r>
    </w:p>
    <w:p w14:paraId="6D12C41A">
      <w:pPr>
        <w:pStyle w:val="15"/>
        <w:numPr>
          <w:ilvl w:val="0"/>
          <w:numId w:val="1"/>
        </w:numPr>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服务内容：</w:t>
      </w:r>
    </w:p>
    <w:p w14:paraId="566342D4">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（1）保险对象：2025年秋季实际在校在籍学生(</w:t>
      </w:r>
      <w:r>
        <w:rPr>
          <w:rFonts w:hint="eastAsia" w:ascii="仿宋" w:hAnsi="仿宋" w:eastAsia="仿宋"/>
          <w:sz w:val="24"/>
          <w:szCs w:val="24"/>
          <w:lang w:val="en-US" w:eastAsia="zh-CN"/>
        </w:rPr>
        <w:t>预计</w:t>
      </w:r>
      <w:r>
        <w:rPr>
          <w:rFonts w:hint="eastAsia" w:ascii="仿宋" w:hAnsi="仿宋" w:eastAsia="仿宋"/>
          <w:sz w:val="24"/>
          <w:szCs w:val="24"/>
        </w:rPr>
        <w:t>12000人)；</w:t>
      </w:r>
    </w:p>
    <w:p w14:paraId="085DEF41">
      <w:pPr>
        <w:widowControl/>
        <w:spacing w:line="360" w:lineRule="auto"/>
        <w:ind w:firstLine="480" w:firstLineChars="200"/>
        <w:jc w:val="left"/>
        <w:rPr>
          <w:rFonts w:hint="eastAsia" w:ascii="仿宋" w:hAnsi="仿宋" w:eastAsia="仿宋" w:cs="仿宋"/>
          <w:bCs/>
          <w:sz w:val="24"/>
          <w:highlight w:val="red"/>
        </w:rPr>
      </w:pPr>
      <w:r>
        <w:rPr>
          <w:rFonts w:hint="eastAsia" w:ascii="仿宋" w:hAnsi="仿宋" w:eastAsia="仿宋"/>
          <w:sz w:val="24"/>
          <w:szCs w:val="24"/>
        </w:rPr>
        <w:t>（2）保险责任：</w:t>
      </w:r>
      <w:r>
        <w:rPr>
          <w:rFonts w:hint="eastAsia" w:ascii="仿宋" w:hAnsi="仿宋" w:eastAsia="仿宋" w:cs="仿宋"/>
          <w:bCs/>
          <w:sz w:val="24"/>
          <w:highlight w:val="red"/>
        </w:rPr>
        <w:t>在本保险期间和本保单明细表中列明的保险区域范围内，被保险人在其校（园）内或由其统一组织并带领下的校（园）外活动中（限中国境内，港澳台地区除外），由于疏忽或过失造成下列依照中华人民共和国法律（不包括港澳台地区法律）应由被保险人承担的经济赔偿责任，保险人负责赔偿：</w:t>
      </w:r>
    </w:p>
    <w:p w14:paraId="515470AC">
      <w:pPr>
        <w:widowControl/>
        <w:spacing w:line="360" w:lineRule="auto"/>
        <w:ind w:firstLine="480" w:firstLineChars="200"/>
        <w:jc w:val="left"/>
        <w:rPr>
          <w:rFonts w:hint="eastAsia" w:ascii="仿宋" w:hAnsi="仿宋" w:eastAsia="仿宋" w:cs="仿宋"/>
          <w:bCs/>
          <w:sz w:val="24"/>
          <w:highlight w:val="red"/>
        </w:rPr>
      </w:pPr>
      <w:r>
        <w:rPr>
          <w:rFonts w:hint="eastAsia" w:ascii="仿宋" w:hAnsi="仿宋" w:eastAsia="仿宋" w:cs="仿宋"/>
          <w:bCs/>
          <w:sz w:val="24"/>
          <w:highlight w:val="red"/>
        </w:rPr>
        <w:t>注册学生的人身伤亡或财产损失；</w:t>
      </w:r>
    </w:p>
    <w:p w14:paraId="302729A3">
      <w:pPr>
        <w:widowControl/>
        <w:spacing w:line="360" w:lineRule="auto"/>
        <w:ind w:firstLine="480" w:firstLineChars="200"/>
        <w:jc w:val="left"/>
        <w:rPr>
          <w:rFonts w:hint="eastAsia" w:ascii="仿宋" w:hAnsi="仿宋" w:eastAsia="仿宋" w:cs="仿宋"/>
          <w:bCs/>
          <w:sz w:val="24"/>
          <w:highlight w:val="red"/>
        </w:rPr>
      </w:pPr>
      <w:r>
        <w:rPr>
          <w:rFonts w:hint="eastAsia" w:ascii="仿宋" w:hAnsi="仿宋" w:eastAsia="仿宋" w:cs="仿宋"/>
          <w:bCs/>
          <w:sz w:val="24"/>
          <w:highlight w:val="red"/>
        </w:rPr>
        <w:t>事先经保险人书面同意的仲裁或诉讼费用。</w:t>
      </w:r>
    </w:p>
    <w:p w14:paraId="60B4932A">
      <w:pPr>
        <w:pStyle w:val="15"/>
        <w:snapToGrid w:val="0"/>
        <w:spacing w:before="0" w:beforeAutospacing="0" w:after="0" w:line="360" w:lineRule="auto"/>
        <w:ind w:left="0" w:leftChars="0" w:firstLine="480" w:firstLineChars="200"/>
        <w:jc w:val="left"/>
        <w:rPr>
          <w:sz w:val="24"/>
        </w:rPr>
      </w:pPr>
      <w:r>
        <w:rPr>
          <w:rFonts w:hint="eastAsia" w:ascii="仿宋" w:hAnsi="仿宋" w:eastAsia="仿宋"/>
          <w:sz w:val="24"/>
          <w:szCs w:val="24"/>
        </w:rPr>
        <w:t>（3）保障内容：</w:t>
      </w:r>
    </w:p>
    <w:tbl>
      <w:tblPr>
        <w:tblStyle w:val="16"/>
        <w:tblW w:w="8926" w:type="dxa"/>
        <w:tblInd w:w="0" w:type="dxa"/>
        <w:tblLayout w:type="fixed"/>
        <w:tblCellMar>
          <w:top w:w="0" w:type="dxa"/>
          <w:left w:w="108" w:type="dxa"/>
          <w:bottom w:w="0" w:type="dxa"/>
          <w:right w:w="108" w:type="dxa"/>
        </w:tblCellMar>
      </w:tblPr>
      <w:tblGrid>
        <w:gridCol w:w="576"/>
        <w:gridCol w:w="696"/>
        <w:gridCol w:w="1227"/>
        <w:gridCol w:w="2316"/>
        <w:gridCol w:w="1276"/>
        <w:gridCol w:w="1418"/>
        <w:gridCol w:w="1417"/>
      </w:tblGrid>
      <w:tr w14:paraId="59D0920E">
        <w:tblPrEx>
          <w:tblCellMar>
            <w:top w:w="0" w:type="dxa"/>
            <w:left w:w="108" w:type="dxa"/>
            <w:bottom w:w="0" w:type="dxa"/>
            <w:right w:w="108" w:type="dxa"/>
          </w:tblCellMar>
        </w:tblPrEx>
        <w:trPr>
          <w:trHeight w:val="405" w:hRule="atLeast"/>
        </w:trPr>
        <w:tc>
          <w:tcPr>
            <w:tcW w:w="1272"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89DE492">
            <w:pPr>
              <w:widowControl/>
              <w:jc w:val="center"/>
              <w:rPr>
                <w:rFonts w:ascii="仿宋" w:hAnsi="仿宋" w:eastAsia="仿宋"/>
                <w:sz w:val="24"/>
                <w:szCs w:val="24"/>
              </w:rPr>
            </w:pPr>
            <w:r>
              <w:rPr>
                <w:rFonts w:hint="eastAsia" w:ascii="仿宋" w:hAnsi="仿宋" w:eastAsia="仿宋"/>
                <w:sz w:val="24"/>
                <w:szCs w:val="24"/>
              </w:rPr>
              <w:t>保障项目</w:t>
            </w:r>
          </w:p>
        </w:tc>
        <w:tc>
          <w:tcPr>
            <w:tcW w:w="1227" w:type="dxa"/>
            <w:tcBorders>
              <w:top w:val="single" w:color="auto" w:sz="4" w:space="0"/>
              <w:left w:val="nil"/>
              <w:bottom w:val="single" w:color="auto" w:sz="4" w:space="0"/>
              <w:right w:val="single" w:color="auto" w:sz="4" w:space="0"/>
            </w:tcBorders>
            <w:noWrap/>
            <w:vAlign w:val="center"/>
          </w:tcPr>
          <w:p w14:paraId="3400A724">
            <w:pPr>
              <w:widowControl/>
              <w:jc w:val="center"/>
              <w:rPr>
                <w:rFonts w:ascii="仿宋" w:hAnsi="仿宋" w:eastAsia="仿宋"/>
                <w:sz w:val="24"/>
                <w:szCs w:val="24"/>
              </w:rPr>
            </w:pPr>
            <w:r>
              <w:rPr>
                <w:rFonts w:hint="eastAsia" w:ascii="仿宋" w:hAnsi="仿宋" w:eastAsia="仿宋"/>
                <w:sz w:val="24"/>
                <w:szCs w:val="24"/>
              </w:rPr>
              <w:t>保费标准</w:t>
            </w:r>
          </w:p>
        </w:tc>
        <w:tc>
          <w:tcPr>
            <w:tcW w:w="2316" w:type="dxa"/>
            <w:vMerge w:val="restart"/>
            <w:tcBorders>
              <w:top w:val="single" w:color="auto" w:sz="4" w:space="0"/>
              <w:left w:val="single" w:color="auto" w:sz="4" w:space="0"/>
              <w:bottom w:val="single" w:color="auto" w:sz="4" w:space="0"/>
              <w:right w:val="single" w:color="auto" w:sz="4" w:space="0"/>
            </w:tcBorders>
            <w:noWrap/>
            <w:vAlign w:val="center"/>
          </w:tcPr>
          <w:p w14:paraId="316A01D6">
            <w:pPr>
              <w:widowControl/>
              <w:jc w:val="center"/>
              <w:rPr>
                <w:rFonts w:ascii="仿宋" w:hAnsi="仿宋" w:eastAsia="仿宋"/>
                <w:sz w:val="24"/>
                <w:szCs w:val="24"/>
              </w:rPr>
            </w:pPr>
            <w:r>
              <w:rPr>
                <w:rFonts w:hint="eastAsia" w:ascii="仿宋" w:hAnsi="仿宋" w:eastAsia="仿宋"/>
                <w:sz w:val="24"/>
                <w:szCs w:val="24"/>
              </w:rPr>
              <w:t>释义</w:t>
            </w:r>
          </w:p>
        </w:tc>
        <w:tc>
          <w:tcPr>
            <w:tcW w:w="4111" w:type="dxa"/>
            <w:gridSpan w:val="3"/>
            <w:tcBorders>
              <w:top w:val="single" w:color="auto" w:sz="4" w:space="0"/>
              <w:left w:val="nil"/>
              <w:bottom w:val="single" w:color="auto" w:sz="4" w:space="0"/>
              <w:right w:val="single" w:color="auto" w:sz="4" w:space="0"/>
            </w:tcBorders>
            <w:noWrap/>
            <w:vAlign w:val="center"/>
          </w:tcPr>
          <w:p w14:paraId="331C65EB">
            <w:pPr>
              <w:widowControl/>
              <w:jc w:val="center"/>
              <w:rPr>
                <w:rFonts w:ascii="仿宋" w:hAnsi="仿宋" w:eastAsia="仿宋"/>
                <w:sz w:val="24"/>
                <w:szCs w:val="24"/>
              </w:rPr>
            </w:pPr>
            <w:r>
              <w:rPr>
                <w:rFonts w:hint="eastAsia" w:ascii="仿宋" w:hAnsi="仿宋" w:eastAsia="仿宋"/>
                <w:sz w:val="24"/>
                <w:szCs w:val="24"/>
              </w:rPr>
              <w:t>保障额度</w:t>
            </w:r>
          </w:p>
        </w:tc>
      </w:tr>
      <w:tr w14:paraId="6418B9B1">
        <w:tblPrEx>
          <w:tblCellMar>
            <w:top w:w="0" w:type="dxa"/>
            <w:left w:w="108" w:type="dxa"/>
            <w:bottom w:w="0" w:type="dxa"/>
            <w:right w:w="108" w:type="dxa"/>
          </w:tblCellMar>
        </w:tblPrEx>
        <w:trPr>
          <w:trHeight w:val="600" w:hRule="atLeast"/>
        </w:trPr>
        <w:tc>
          <w:tcPr>
            <w:tcW w:w="127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42058CF">
            <w:pPr>
              <w:widowControl/>
              <w:jc w:val="left"/>
              <w:rPr>
                <w:rFonts w:ascii="仿宋" w:hAnsi="仿宋" w:eastAsia="仿宋"/>
                <w:sz w:val="24"/>
                <w:szCs w:val="24"/>
              </w:rPr>
            </w:pPr>
          </w:p>
        </w:tc>
        <w:tc>
          <w:tcPr>
            <w:tcW w:w="1227" w:type="dxa"/>
            <w:tcBorders>
              <w:top w:val="nil"/>
              <w:left w:val="nil"/>
              <w:bottom w:val="single" w:color="auto" w:sz="4" w:space="0"/>
              <w:right w:val="single" w:color="auto" w:sz="4" w:space="0"/>
            </w:tcBorders>
            <w:noWrap/>
            <w:vAlign w:val="center"/>
          </w:tcPr>
          <w:p w14:paraId="19526464">
            <w:pPr>
              <w:widowControl/>
              <w:jc w:val="center"/>
              <w:rPr>
                <w:rFonts w:ascii="仿宋" w:hAnsi="仿宋" w:eastAsia="仿宋"/>
                <w:sz w:val="24"/>
                <w:szCs w:val="24"/>
              </w:rPr>
            </w:pPr>
            <w:r>
              <w:rPr>
                <w:rFonts w:hint="eastAsia" w:ascii="仿宋" w:hAnsi="仿宋" w:eastAsia="仿宋"/>
                <w:sz w:val="24"/>
                <w:szCs w:val="24"/>
              </w:rPr>
              <w:t>10元/人/半年</w:t>
            </w:r>
          </w:p>
        </w:tc>
        <w:tc>
          <w:tcPr>
            <w:tcW w:w="2316" w:type="dxa"/>
            <w:vMerge w:val="continue"/>
            <w:tcBorders>
              <w:top w:val="single" w:color="auto" w:sz="4" w:space="0"/>
              <w:left w:val="single" w:color="auto" w:sz="4" w:space="0"/>
              <w:bottom w:val="single" w:color="auto" w:sz="4" w:space="0"/>
              <w:right w:val="single" w:color="auto" w:sz="4" w:space="0"/>
            </w:tcBorders>
            <w:noWrap/>
            <w:vAlign w:val="center"/>
          </w:tcPr>
          <w:p w14:paraId="1474B21B">
            <w:pPr>
              <w:widowControl/>
              <w:jc w:val="left"/>
              <w:rPr>
                <w:rFonts w:ascii="仿宋" w:hAnsi="仿宋" w:eastAsia="仿宋"/>
                <w:sz w:val="24"/>
                <w:szCs w:val="24"/>
              </w:rPr>
            </w:pPr>
          </w:p>
        </w:tc>
        <w:tc>
          <w:tcPr>
            <w:tcW w:w="1276" w:type="dxa"/>
            <w:tcBorders>
              <w:top w:val="nil"/>
              <w:left w:val="nil"/>
              <w:bottom w:val="single" w:color="auto" w:sz="4" w:space="0"/>
              <w:right w:val="single" w:color="auto" w:sz="4" w:space="0"/>
            </w:tcBorders>
            <w:noWrap/>
            <w:vAlign w:val="center"/>
          </w:tcPr>
          <w:p w14:paraId="5F514C8B">
            <w:pPr>
              <w:widowControl/>
              <w:jc w:val="center"/>
              <w:rPr>
                <w:rFonts w:ascii="仿宋" w:hAnsi="仿宋" w:eastAsia="仿宋"/>
                <w:sz w:val="24"/>
                <w:szCs w:val="24"/>
              </w:rPr>
            </w:pPr>
            <w:r>
              <w:rPr>
                <w:rFonts w:hint="eastAsia" w:ascii="仿宋" w:hAnsi="仿宋" w:eastAsia="仿宋"/>
                <w:sz w:val="24"/>
                <w:szCs w:val="24"/>
              </w:rPr>
              <w:t>每生每年</w:t>
            </w:r>
            <w:r>
              <w:rPr>
                <w:rFonts w:hint="eastAsia" w:ascii="仿宋" w:hAnsi="仿宋" w:eastAsia="仿宋"/>
                <w:sz w:val="24"/>
                <w:szCs w:val="24"/>
              </w:rPr>
              <w:br w:type="textWrapping"/>
            </w:r>
            <w:r>
              <w:rPr>
                <w:rFonts w:hint="eastAsia" w:ascii="仿宋" w:hAnsi="仿宋" w:eastAsia="仿宋"/>
                <w:sz w:val="24"/>
                <w:szCs w:val="24"/>
              </w:rPr>
              <w:t>累计限额</w:t>
            </w:r>
          </w:p>
        </w:tc>
        <w:tc>
          <w:tcPr>
            <w:tcW w:w="1418" w:type="dxa"/>
            <w:tcBorders>
              <w:top w:val="nil"/>
              <w:left w:val="nil"/>
              <w:bottom w:val="single" w:color="auto" w:sz="4" w:space="0"/>
              <w:right w:val="single" w:color="auto" w:sz="4" w:space="0"/>
            </w:tcBorders>
            <w:noWrap/>
            <w:vAlign w:val="center"/>
          </w:tcPr>
          <w:p w14:paraId="5D571AC4">
            <w:pPr>
              <w:widowControl/>
              <w:jc w:val="center"/>
              <w:rPr>
                <w:rFonts w:ascii="仿宋" w:hAnsi="仿宋" w:eastAsia="仿宋"/>
                <w:sz w:val="24"/>
                <w:szCs w:val="24"/>
              </w:rPr>
            </w:pPr>
            <w:r>
              <w:rPr>
                <w:rFonts w:hint="eastAsia" w:ascii="仿宋" w:hAnsi="仿宋" w:eastAsia="仿宋"/>
                <w:sz w:val="24"/>
                <w:szCs w:val="24"/>
              </w:rPr>
              <w:t>每校</w:t>
            </w:r>
            <w:r>
              <w:rPr>
                <w:rFonts w:hint="eastAsia" w:ascii="仿宋" w:hAnsi="仿宋" w:eastAsia="仿宋"/>
                <w:sz w:val="24"/>
                <w:szCs w:val="24"/>
              </w:rPr>
              <w:br w:type="textWrapping"/>
            </w:r>
            <w:r>
              <w:rPr>
                <w:rFonts w:hint="eastAsia" w:ascii="仿宋" w:hAnsi="仿宋" w:eastAsia="仿宋"/>
                <w:sz w:val="24"/>
                <w:szCs w:val="24"/>
              </w:rPr>
              <w:t>每次限额</w:t>
            </w:r>
          </w:p>
        </w:tc>
        <w:tc>
          <w:tcPr>
            <w:tcW w:w="1417" w:type="dxa"/>
            <w:tcBorders>
              <w:top w:val="nil"/>
              <w:left w:val="nil"/>
              <w:bottom w:val="single" w:color="auto" w:sz="4" w:space="0"/>
              <w:right w:val="single" w:color="auto" w:sz="4" w:space="0"/>
            </w:tcBorders>
            <w:noWrap/>
            <w:vAlign w:val="center"/>
          </w:tcPr>
          <w:p w14:paraId="1B836CB5">
            <w:pPr>
              <w:widowControl/>
              <w:jc w:val="center"/>
              <w:rPr>
                <w:rFonts w:ascii="仿宋" w:hAnsi="仿宋" w:eastAsia="仿宋"/>
                <w:sz w:val="24"/>
                <w:szCs w:val="24"/>
              </w:rPr>
            </w:pPr>
            <w:r>
              <w:rPr>
                <w:rFonts w:hint="eastAsia" w:ascii="仿宋" w:hAnsi="仿宋" w:eastAsia="仿宋"/>
                <w:sz w:val="24"/>
                <w:szCs w:val="24"/>
              </w:rPr>
              <w:t>每校全年</w:t>
            </w:r>
            <w:r>
              <w:rPr>
                <w:rFonts w:hint="eastAsia" w:ascii="仿宋" w:hAnsi="仿宋" w:eastAsia="仿宋"/>
                <w:sz w:val="24"/>
                <w:szCs w:val="24"/>
              </w:rPr>
              <w:br w:type="textWrapping"/>
            </w:r>
            <w:r>
              <w:rPr>
                <w:rFonts w:hint="eastAsia" w:ascii="仿宋" w:hAnsi="仿宋" w:eastAsia="仿宋"/>
                <w:sz w:val="24"/>
                <w:szCs w:val="24"/>
              </w:rPr>
              <w:t>累计限额</w:t>
            </w:r>
          </w:p>
        </w:tc>
      </w:tr>
      <w:tr w14:paraId="558EA014">
        <w:tblPrEx>
          <w:tblCellMar>
            <w:top w:w="0" w:type="dxa"/>
            <w:left w:w="108" w:type="dxa"/>
            <w:bottom w:w="0" w:type="dxa"/>
            <w:right w:w="108" w:type="dxa"/>
          </w:tblCellMar>
        </w:tblPrEx>
        <w:trPr>
          <w:trHeight w:val="84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1A07F210">
            <w:pPr>
              <w:widowControl/>
              <w:jc w:val="center"/>
              <w:rPr>
                <w:rFonts w:ascii="仿宋" w:hAnsi="仿宋" w:eastAsia="仿宋"/>
                <w:sz w:val="24"/>
                <w:szCs w:val="24"/>
              </w:rPr>
            </w:pPr>
            <w:r>
              <w:rPr>
                <w:rFonts w:hint="eastAsia" w:ascii="仿宋" w:hAnsi="仿宋" w:eastAsia="仿宋"/>
                <w:sz w:val="24"/>
                <w:szCs w:val="24"/>
              </w:rPr>
              <w:t>校园责任</w:t>
            </w:r>
          </w:p>
        </w:tc>
        <w:tc>
          <w:tcPr>
            <w:tcW w:w="1227" w:type="dxa"/>
            <w:vMerge w:val="restart"/>
            <w:tcBorders>
              <w:top w:val="nil"/>
              <w:left w:val="single" w:color="auto" w:sz="4" w:space="0"/>
              <w:bottom w:val="single" w:color="000000" w:sz="4" w:space="0"/>
              <w:right w:val="single" w:color="auto" w:sz="4" w:space="0"/>
            </w:tcBorders>
            <w:noWrap/>
            <w:vAlign w:val="center"/>
          </w:tcPr>
          <w:p w14:paraId="20804216">
            <w:pPr>
              <w:widowControl/>
              <w:jc w:val="center"/>
              <w:rPr>
                <w:rFonts w:ascii="仿宋" w:hAnsi="仿宋" w:eastAsia="仿宋"/>
                <w:sz w:val="24"/>
                <w:szCs w:val="24"/>
              </w:rPr>
            </w:pPr>
            <w:r>
              <w:rPr>
                <w:rFonts w:hint="eastAsia" w:ascii="仿宋" w:hAnsi="仿宋" w:eastAsia="仿宋"/>
                <w:sz w:val="24"/>
                <w:szCs w:val="24"/>
              </w:rPr>
              <w:t>主险</w:t>
            </w:r>
            <w:r>
              <w:rPr>
                <w:rFonts w:hint="eastAsia" w:ascii="仿宋" w:hAnsi="仿宋" w:eastAsia="仿宋"/>
                <w:sz w:val="24"/>
                <w:szCs w:val="24"/>
              </w:rPr>
              <w:br w:type="textWrapping"/>
            </w:r>
          </w:p>
        </w:tc>
        <w:tc>
          <w:tcPr>
            <w:tcW w:w="2316" w:type="dxa"/>
            <w:tcBorders>
              <w:top w:val="nil"/>
              <w:left w:val="nil"/>
              <w:bottom w:val="single" w:color="auto" w:sz="4" w:space="0"/>
              <w:right w:val="single" w:color="auto" w:sz="4" w:space="0"/>
            </w:tcBorders>
            <w:noWrap/>
            <w:vAlign w:val="center"/>
          </w:tcPr>
          <w:p w14:paraId="14BED078">
            <w:pPr>
              <w:widowControl/>
              <w:jc w:val="left"/>
              <w:rPr>
                <w:rFonts w:ascii="仿宋" w:hAnsi="仿宋" w:eastAsia="仿宋"/>
                <w:sz w:val="24"/>
                <w:szCs w:val="24"/>
              </w:rPr>
            </w:pPr>
            <w:r>
              <w:rPr>
                <w:rFonts w:hint="eastAsia" w:ascii="仿宋" w:hAnsi="仿宋" w:eastAsia="仿宋"/>
                <w:sz w:val="24"/>
                <w:szCs w:val="24"/>
              </w:rPr>
              <w:t>按保险公司报备保险监管部门的校(园)方责任保险条款产品执行和承担保险责任。</w:t>
            </w:r>
          </w:p>
        </w:tc>
        <w:tc>
          <w:tcPr>
            <w:tcW w:w="1276" w:type="dxa"/>
            <w:tcBorders>
              <w:top w:val="nil"/>
              <w:left w:val="nil"/>
              <w:bottom w:val="single" w:color="auto" w:sz="4" w:space="0"/>
              <w:right w:val="single" w:color="auto" w:sz="4" w:space="0"/>
            </w:tcBorders>
            <w:noWrap/>
            <w:vAlign w:val="center"/>
          </w:tcPr>
          <w:p w14:paraId="59032306">
            <w:pPr>
              <w:widowControl/>
              <w:jc w:val="center"/>
              <w:rPr>
                <w:rFonts w:ascii="仿宋" w:hAnsi="仿宋" w:eastAsia="仿宋"/>
                <w:sz w:val="24"/>
                <w:szCs w:val="24"/>
              </w:rPr>
            </w:pPr>
            <w:r>
              <w:rPr>
                <w:rFonts w:hint="eastAsia" w:ascii="仿宋" w:hAnsi="仿宋" w:eastAsia="仿宋"/>
                <w:sz w:val="24"/>
                <w:szCs w:val="24"/>
              </w:rPr>
              <w:t>90万元</w:t>
            </w:r>
          </w:p>
        </w:tc>
        <w:tc>
          <w:tcPr>
            <w:tcW w:w="1418" w:type="dxa"/>
            <w:tcBorders>
              <w:top w:val="nil"/>
              <w:left w:val="nil"/>
              <w:bottom w:val="single" w:color="auto" w:sz="4" w:space="0"/>
              <w:right w:val="single" w:color="auto" w:sz="4" w:space="0"/>
            </w:tcBorders>
            <w:noWrap/>
            <w:vAlign w:val="center"/>
          </w:tcPr>
          <w:p w14:paraId="7A81ADA8">
            <w:pPr>
              <w:widowControl/>
              <w:jc w:val="center"/>
              <w:rPr>
                <w:rFonts w:ascii="仿宋" w:hAnsi="仿宋" w:eastAsia="仿宋"/>
                <w:sz w:val="24"/>
                <w:szCs w:val="24"/>
              </w:rPr>
            </w:pPr>
            <w:r>
              <w:rPr>
                <w:rFonts w:hint="eastAsia" w:ascii="仿宋" w:hAnsi="仿宋" w:eastAsia="仿宋"/>
                <w:sz w:val="24"/>
                <w:szCs w:val="24"/>
              </w:rPr>
              <w:t>800万元</w:t>
            </w:r>
          </w:p>
        </w:tc>
        <w:tc>
          <w:tcPr>
            <w:tcW w:w="1417" w:type="dxa"/>
            <w:tcBorders>
              <w:top w:val="nil"/>
              <w:left w:val="nil"/>
              <w:bottom w:val="single" w:color="auto" w:sz="4" w:space="0"/>
              <w:right w:val="single" w:color="auto" w:sz="4" w:space="0"/>
            </w:tcBorders>
            <w:noWrap/>
            <w:vAlign w:val="center"/>
          </w:tcPr>
          <w:p w14:paraId="3CE52692">
            <w:pPr>
              <w:widowControl/>
              <w:jc w:val="center"/>
              <w:rPr>
                <w:rFonts w:ascii="仿宋" w:hAnsi="仿宋" w:eastAsia="仿宋"/>
                <w:sz w:val="24"/>
                <w:szCs w:val="24"/>
              </w:rPr>
            </w:pPr>
            <w:r>
              <w:rPr>
                <w:rFonts w:hint="eastAsia" w:ascii="仿宋" w:hAnsi="仿宋" w:eastAsia="仿宋"/>
                <w:sz w:val="24"/>
                <w:szCs w:val="24"/>
              </w:rPr>
              <w:t>1500万元</w:t>
            </w:r>
          </w:p>
        </w:tc>
      </w:tr>
      <w:tr w14:paraId="53956682">
        <w:tblPrEx>
          <w:tblCellMar>
            <w:top w:w="0" w:type="dxa"/>
            <w:left w:w="108" w:type="dxa"/>
            <w:bottom w:w="0" w:type="dxa"/>
            <w:right w:w="108" w:type="dxa"/>
          </w:tblCellMar>
        </w:tblPrEx>
        <w:trPr>
          <w:trHeight w:val="870" w:hRule="atLeast"/>
        </w:trPr>
        <w:tc>
          <w:tcPr>
            <w:tcW w:w="576" w:type="dxa"/>
            <w:vMerge w:val="restart"/>
            <w:tcBorders>
              <w:top w:val="nil"/>
              <w:left w:val="single" w:color="auto" w:sz="4" w:space="0"/>
              <w:bottom w:val="single" w:color="auto" w:sz="4" w:space="0"/>
              <w:right w:val="single" w:color="auto" w:sz="4" w:space="0"/>
            </w:tcBorders>
            <w:noWrap/>
            <w:vAlign w:val="center"/>
          </w:tcPr>
          <w:p w14:paraId="5F6CDC95">
            <w:pPr>
              <w:widowControl/>
              <w:jc w:val="center"/>
              <w:rPr>
                <w:rFonts w:ascii="仿宋" w:hAnsi="仿宋" w:eastAsia="仿宋"/>
                <w:sz w:val="24"/>
                <w:szCs w:val="24"/>
              </w:rPr>
            </w:pPr>
            <w:r>
              <w:rPr>
                <w:rFonts w:hint="eastAsia" w:ascii="仿宋" w:hAnsi="仿宋" w:eastAsia="仿宋"/>
                <w:sz w:val="24"/>
                <w:szCs w:val="24"/>
              </w:rPr>
              <w:t>校外</w:t>
            </w:r>
            <w:r>
              <w:rPr>
                <w:rFonts w:hint="eastAsia" w:ascii="仿宋" w:hAnsi="仿宋" w:eastAsia="仿宋"/>
                <w:sz w:val="24"/>
                <w:szCs w:val="24"/>
              </w:rPr>
              <w:br w:type="textWrapping"/>
            </w:r>
            <w:r>
              <w:rPr>
                <w:rFonts w:hint="eastAsia" w:ascii="仿宋" w:hAnsi="仿宋" w:eastAsia="仿宋"/>
                <w:sz w:val="24"/>
                <w:szCs w:val="24"/>
              </w:rPr>
              <w:t>责任</w:t>
            </w:r>
            <w:r>
              <w:rPr>
                <w:rFonts w:hint="eastAsia" w:ascii="仿宋" w:hAnsi="仿宋" w:eastAsia="仿宋"/>
                <w:sz w:val="24"/>
                <w:szCs w:val="24"/>
              </w:rPr>
              <w:br w:type="textWrapping"/>
            </w:r>
            <w:r>
              <w:rPr>
                <w:rFonts w:hint="eastAsia" w:ascii="仿宋" w:hAnsi="仿宋" w:eastAsia="仿宋"/>
                <w:sz w:val="24"/>
                <w:szCs w:val="24"/>
              </w:rPr>
              <w:t>(由学    校组织</w:t>
            </w:r>
            <w:r>
              <w:rPr>
                <w:rFonts w:hint="eastAsia" w:ascii="仿宋" w:hAnsi="仿宋" w:eastAsia="仿宋"/>
                <w:sz w:val="24"/>
                <w:szCs w:val="24"/>
              </w:rPr>
              <w:br w:type="textWrapping"/>
            </w:r>
            <w:r>
              <w:rPr>
                <w:rFonts w:hint="eastAsia" w:ascii="仿宋" w:hAnsi="仿宋" w:eastAsia="仿宋"/>
                <w:sz w:val="24"/>
                <w:szCs w:val="24"/>
              </w:rPr>
              <w:t>的)</w:t>
            </w:r>
          </w:p>
        </w:tc>
        <w:tc>
          <w:tcPr>
            <w:tcW w:w="696" w:type="dxa"/>
            <w:tcBorders>
              <w:top w:val="nil"/>
              <w:left w:val="nil"/>
              <w:bottom w:val="single" w:color="auto" w:sz="4" w:space="0"/>
              <w:right w:val="single" w:color="auto" w:sz="4" w:space="0"/>
            </w:tcBorders>
            <w:noWrap/>
            <w:vAlign w:val="center"/>
          </w:tcPr>
          <w:p w14:paraId="3A9029D9">
            <w:pPr>
              <w:widowControl/>
              <w:jc w:val="center"/>
              <w:rPr>
                <w:rFonts w:ascii="仿宋" w:hAnsi="仿宋" w:eastAsia="仿宋"/>
                <w:sz w:val="24"/>
                <w:szCs w:val="24"/>
              </w:rPr>
            </w:pPr>
            <w:r>
              <w:rPr>
                <w:rFonts w:hint="eastAsia" w:ascii="仿宋" w:hAnsi="仿宋" w:eastAsia="仿宋"/>
                <w:sz w:val="24"/>
                <w:szCs w:val="24"/>
              </w:rPr>
              <w:t>研学</w:t>
            </w:r>
            <w:r>
              <w:rPr>
                <w:rFonts w:hint="eastAsia" w:ascii="仿宋" w:hAnsi="仿宋" w:eastAsia="仿宋"/>
                <w:sz w:val="24"/>
                <w:szCs w:val="24"/>
              </w:rPr>
              <w:br w:type="textWrapping"/>
            </w:r>
            <w:r>
              <w:rPr>
                <w:rFonts w:hint="eastAsia" w:ascii="仿宋" w:hAnsi="仿宋" w:eastAsia="仿宋"/>
                <w:sz w:val="24"/>
                <w:szCs w:val="24"/>
              </w:rPr>
              <w:t>旅行</w:t>
            </w:r>
          </w:p>
        </w:tc>
        <w:tc>
          <w:tcPr>
            <w:tcW w:w="1227" w:type="dxa"/>
            <w:vMerge w:val="continue"/>
            <w:tcBorders>
              <w:top w:val="nil"/>
              <w:left w:val="single" w:color="auto" w:sz="4" w:space="0"/>
              <w:bottom w:val="single" w:color="000000" w:sz="4" w:space="0"/>
              <w:right w:val="single" w:color="auto" w:sz="4" w:space="0"/>
            </w:tcBorders>
            <w:noWrap/>
            <w:vAlign w:val="center"/>
          </w:tcPr>
          <w:p w14:paraId="350E5D51">
            <w:pPr>
              <w:widowControl/>
              <w:jc w:val="left"/>
              <w:rPr>
                <w:rFonts w:ascii="仿宋" w:hAnsi="仿宋" w:eastAsia="仿宋"/>
                <w:sz w:val="24"/>
                <w:szCs w:val="24"/>
              </w:rPr>
            </w:pPr>
          </w:p>
        </w:tc>
        <w:tc>
          <w:tcPr>
            <w:tcW w:w="2316" w:type="dxa"/>
            <w:tcBorders>
              <w:top w:val="nil"/>
              <w:left w:val="nil"/>
              <w:bottom w:val="single" w:color="auto" w:sz="4" w:space="0"/>
              <w:right w:val="single" w:color="auto" w:sz="4" w:space="0"/>
            </w:tcBorders>
            <w:noWrap/>
            <w:vAlign w:val="center"/>
          </w:tcPr>
          <w:p w14:paraId="0AA8172C">
            <w:pPr>
              <w:widowControl/>
              <w:jc w:val="left"/>
              <w:rPr>
                <w:rFonts w:ascii="仿宋" w:hAnsi="仿宋" w:eastAsia="仿宋"/>
                <w:sz w:val="24"/>
                <w:szCs w:val="24"/>
              </w:rPr>
            </w:pPr>
            <w:r>
              <w:rPr>
                <w:rFonts w:hint="eastAsia" w:ascii="仿宋" w:hAnsi="仿宋" w:eastAsia="仿宋"/>
                <w:sz w:val="24"/>
                <w:szCs w:val="24"/>
              </w:rPr>
              <w:t>教育部等11 部委文件要求(教基一[2016)8号)开展的研学旅行活动。</w:t>
            </w:r>
          </w:p>
        </w:tc>
        <w:tc>
          <w:tcPr>
            <w:tcW w:w="1276" w:type="dxa"/>
            <w:tcBorders>
              <w:top w:val="nil"/>
              <w:left w:val="nil"/>
              <w:bottom w:val="single" w:color="auto" w:sz="4" w:space="0"/>
              <w:right w:val="single" w:color="auto" w:sz="4" w:space="0"/>
            </w:tcBorders>
            <w:noWrap/>
            <w:vAlign w:val="center"/>
          </w:tcPr>
          <w:p w14:paraId="285EC1DD">
            <w:pPr>
              <w:widowControl/>
              <w:jc w:val="center"/>
              <w:rPr>
                <w:rFonts w:ascii="仿宋" w:hAnsi="仿宋" w:eastAsia="仿宋"/>
                <w:sz w:val="24"/>
                <w:szCs w:val="24"/>
              </w:rPr>
            </w:pPr>
            <w:r>
              <w:rPr>
                <w:rFonts w:hint="eastAsia" w:ascii="仿宋" w:hAnsi="仿宋" w:eastAsia="仿宋"/>
                <w:sz w:val="24"/>
                <w:szCs w:val="24"/>
              </w:rPr>
              <w:t>90万元</w:t>
            </w:r>
          </w:p>
        </w:tc>
        <w:tc>
          <w:tcPr>
            <w:tcW w:w="1418" w:type="dxa"/>
            <w:tcBorders>
              <w:top w:val="nil"/>
              <w:left w:val="nil"/>
              <w:bottom w:val="single" w:color="auto" w:sz="4" w:space="0"/>
              <w:right w:val="single" w:color="auto" w:sz="4" w:space="0"/>
            </w:tcBorders>
            <w:noWrap/>
            <w:vAlign w:val="center"/>
          </w:tcPr>
          <w:p w14:paraId="51E13671">
            <w:pPr>
              <w:widowControl/>
              <w:jc w:val="center"/>
              <w:rPr>
                <w:rFonts w:ascii="仿宋" w:hAnsi="仿宋" w:eastAsia="仿宋"/>
                <w:sz w:val="24"/>
                <w:szCs w:val="24"/>
              </w:rPr>
            </w:pPr>
            <w:r>
              <w:rPr>
                <w:rFonts w:hint="eastAsia" w:ascii="仿宋" w:hAnsi="仿宋" w:eastAsia="仿宋"/>
                <w:sz w:val="24"/>
                <w:szCs w:val="24"/>
              </w:rPr>
              <w:t>800万元</w:t>
            </w:r>
          </w:p>
        </w:tc>
        <w:tc>
          <w:tcPr>
            <w:tcW w:w="1417" w:type="dxa"/>
            <w:tcBorders>
              <w:top w:val="nil"/>
              <w:left w:val="nil"/>
              <w:bottom w:val="single" w:color="auto" w:sz="4" w:space="0"/>
              <w:right w:val="single" w:color="auto" w:sz="4" w:space="0"/>
            </w:tcBorders>
            <w:noWrap/>
            <w:vAlign w:val="center"/>
          </w:tcPr>
          <w:p w14:paraId="00E2B1D0">
            <w:pPr>
              <w:widowControl/>
              <w:jc w:val="center"/>
              <w:rPr>
                <w:rFonts w:ascii="仿宋" w:hAnsi="仿宋" w:eastAsia="仿宋"/>
                <w:sz w:val="24"/>
                <w:szCs w:val="24"/>
              </w:rPr>
            </w:pPr>
            <w:r>
              <w:rPr>
                <w:rFonts w:hint="eastAsia" w:ascii="仿宋" w:hAnsi="仿宋" w:eastAsia="仿宋"/>
                <w:sz w:val="24"/>
                <w:szCs w:val="24"/>
              </w:rPr>
              <w:t>1500万元</w:t>
            </w:r>
          </w:p>
        </w:tc>
      </w:tr>
      <w:tr w14:paraId="0CB34A78">
        <w:tblPrEx>
          <w:tblCellMar>
            <w:top w:w="0" w:type="dxa"/>
            <w:left w:w="108" w:type="dxa"/>
            <w:bottom w:w="0" w:type="dxa"/>
            <w:right w:w="108" w:type="dxa"/>
          </w:tblCellMar>
        </w:tblPrEx>
        <w:trPr>
          <w:trHeight w:val="1110" w:hRule="atLeast"/>
        </w:trPr>
        <w:tc>
          <w:tcPr>
            <w:tcW w:w="576" w:type="dxa"/>
            <w:vMerge w:val="continue"/>
            <w:tcBorders>
              <w:top w:val="nil"/>
              <w:left w:val="single" w:color="auto" w:sz="4" w:space="0"/>
              <w:bottom w:val="single" w:color="auto" w:sz="4" w:space="0"/>
              <w:right w:val="single" w:color="auto" w:sz="4" w:space="0"/>
            </w:tcBorders>
            <w:noWrap/>
            <w:vAlign w:val="center"/>
          </w:tcPr>
          <w:p w14:paraId="3BBEF07F">
            <w:pPr>
              <w:widowControl/>
              <w:jc w:val="left"/>
              <w:rPr>
                <w:rFonts w:ascii="仿宋" w:hAnsi="仿宋" w:eastAsia="仿宋"/>
                <w:sz w:val="24"/>
                <w:szCs w:val="24"/>
              </w:rPr>
            </w:pPr>
          </w:p>
        </w:tc>
        <w:tc>
          <w:tcPr>
            <w:tcW w:w="696" w:type="dxa"/>
            <w:tcBorders>
              <w:top w:val="nil"/>
              <w:left w:val="nil"/>
              <w:bottom w:val="single" w:color="auto" w:sz="4" w:space="0"/>
              <w:right w:val="single" w:color="auto" w:sz="4" w:space="0"/>
            </w:tcBorders>
            <w:noWrap/>
            <w:vAlign w:val="center"/>
          </w:tcPr>
          <w:p w14:paraId="542F2FC9">
            <w:pPr>
              <w:widowControl/>
              <w:jc w:val="center"/>
              <w:rPr>
                <w:rFonts w:ascii="仿宋" w:hAnsi="仿宋" w:eastAsia="仿宋"/>
                <w:sz w:val="24"/>
                <w:szCs w:val="24"/>
              </w:rPr>
            </w:pPr>
            <w:r>
              <w:rPr>
                <w:rFonts w:hint="eastAsia" w:ascii="仿宋" w:hAnsi="仿宋" w:eastAsia="仿宋"/>
                <w:sz w:val="24"/>
                <w:szCs w:val="24"/>
              </w:rPr>
              <w:t>校外</w:t>
            </w:r>
            <w:r>
              <w:rPr>
                <w:rFonts w:hint="eastAsia" w:ascii="仿宋" w:hAnsi="仿宋" w:eastAsia="仿宋"/>
                <w:sz w:val="24"/>
                <w:szCs w:val="24"/>
              </w:rPr>
              <w:br w:type="textWrapping"/>
            </w:r>
            <w:r>
              <w:rPr>
                <w:rFonts w:hint="eastAsia" w:ascii="仿宋" w:hAnsi="仿宋" w:eastAsia="仿宋"/>
                <w:sz w:val="24"/>
                <w:szCs w:val="24"/>
              </w:rPr>
              <w:t>拓展</w:t>
            </w:r>
          </w:p>
        </w:tc>
        <w:tc>
          <w:tcPr>
            <w:tcW w:w="1227" w:type="dxa"/>
            <w:vMerge w:val="continue"/>
            <w:tcBorders>
              <w:top w:val="nil"/>
              <w:left w:val="single" w:color="auto" w:sz="4" w:space="0"/>
              <w:bottom w:val="single" w:color="000000" w:sz="4" w:space="0"/>
              <w:right w:val="single" w:color="auto" w:sz="4" w:space="0"/>
            </w:tcBorders>
            <w:noWrap/>
            <w:vAlign w:val="center"/>
          </w:tcPr>
          <w:p w14:paraId="39F6CCD4">
            <w:pPr>
              <w:widowControl/>
              <w:jc w:val="left"/>
              <w:rPr>
                <w:rFonts w:ascii="仿宋" w:hAnsi="仿宋" w:eastAsia="仿宋"/>
                <w:sz w:val="24"/>
                <w:szCs w:val="24"/>
              </w:rPr>
            </w:pPr>
          </w:p>
        </w:tc>
        <w:tc>
          <w:tcPr>
            <w:tcW w:w="2316" w:type="dxa"/>
            <w:tcBorders>
              <w:top w:val="nil"/>
              <w:left w:val="nil"/>
              <w:bottom w:val="single" w:color="auto" w:sz="4" w:space="0"/>
              <w:right w:val="single" w:color="auto" w:sz="4" w:space="0"/>
            </w:tcBorders>
            <w:noWrap/>
            <w:vAlign w:val="center"/>
          </w:tcPr>
          <w:p w14:paraId="285F370E">
            <w:pPr>
              <w:widowControl/>
              <w:jc w:val="left"/>
              <w:rPr>
                <w:rFonts w:ascii="仿宋" w:hAnsi="仿宋" w:eastAsia="仿宋"/>
                <w:sz w:val="24"/>
                <w:szCs w:val="24"/>
              </w:rPr>
            </w:pPr>
            <w:r>
              <w:rPr>
                <w:rFonts w:hint="eastAsia" w:ascii="仿宋" w:hAnsi="仿宋" w:eastAsia="仿宋"/>
                <w:sz w:val="24"/>
                <w:szCs w:val="24"/>
              </w:rPr>
              <w:t>综合实践基地等校外教育活动</w:t>
            </w:r>
            <w:r>
              <w:rPr>
                <w:rFonts w:hint="eastAsia" w:ascii="仿宋" w:hAnsi="仿宋" w:eastAsia="仿宋"/>
                <w:sz w:val="24"/>
                <w:szCs w:val="24"/>
                <w:lang w:eastAsia="zh-CN"/>
              </w:rPr>
              <w:t>：</w:t>
            </w:r>
            <w:r>
              <w:rPr>
                <w:rFonts w:hint="eastAsia" w:ascii="仿宋" w:hAnsi="仿宋" w:eastAsia="仿宋"/>
                <w:sz w:val="24"/>
                <w:szCs w:val="24"/>
              </w:rPr>
              <w:t>其他短期拓展项目,如军训、体能训练、生存训练、野外露营、野炊等。</w:t>
            </w:r>
          </w:p>
        </w:tc>
        <w:tc>
          <w:tcPr>
            <w:tcW w:w="1276" w:type="dxa"/>
            <w:tcBorders>
              <w:top w:val="nil"/>
              <w:left w:val="nil"/>
              <w:bottom w:val="single" w:color="auto" w:sz="4" w:space="0"/>
              <w:right w:val="single" w:color="auto" w:sz="4" w:space="0"/>
            </w:tcBorders>
            <w:noWrap/>
            <w:vAlign w:val="center"/>
          </w:tcPr>
          <w:p w14:paraId="67CC3FE6">
            <w:pPr>
              <w:widowControl/>
              <w:jc w:val="center"/>
              <w:rPr>
                <w:rFonts w:ascii="仿宋" w:hAnsi="仿宋" w:eastAsia="仿宋"/>
                <w:sz w:val="24"/>
                <w:szCs w:val="24"/>
              </w:rPr>
            </w:pPr>
            <w:r>
              <w:rPr>
                <w:rFonts w:hint="eastAsia" w:ascii="仿宋" w:hAnsi="仿宋" w:eastAsia="仿宋"/>
                <w:sz w:val="24"/>
                <w:szCs w:val="24"/>
              </w:rPr>
              <w:t>90万元</w:t>
            </w:r>
          </w:p>
        </w:tc>
        <w:tc>
          <w:tcPr>
            <w:tcW w:w="1418" w:type="dxa"/>
            <w:tcBorders>
              <w:top w:val="nil"/>
              <w:left w:val="nil"/>
              <w:bottom w:val="single" w:color="auto" w:sz="4" w:space="0"/>
              <w:right w:val="single" w:color="auto" w:sz="4" w:space="0"/>
            </w:tcBorders>
            <w:noWrap/>
            <w:vAlign w:val="center"/>
          </w:tcPr>
          <w:p w14:paraId="2672BDBE">
            <w:pPr>
              <w:widowControl/>
              <w:jc w:val="center"/>
              <w:rPr>
                <w:rFonts w:ascii="仿宋" w:hAnsi="仿宋" w:eastAsia="仿宋"/>
                <w:sz w:val="24"/>
                <w:szCs w:val="24"/>
              </w:rPr>
            </w:pPr>
            <w:r>
              <w:rPr>
                <w:rFonts w:hint="eastAsia" w:ascii="仿宋" w:hAnsi="仿宋" w:eastAsia="仿宋"/>
                <w:sz w:val="24"/>
                <w:szCs w:val="24"/>
              </w:rPr>
              <w:t>800万元</w:t>
            </w:r>
          </w:p>
        </w:tc>
        <w:tc>
          <w:tcPr>
            <w:tcW w:w="1417" w:type="dxa"/>
            <w:tcBorders>
              <w:top w:val="nil"/>
              <w:left w:val="nil"/>
              <w:bottom w:val="single" w:color="auto" w:sz="4" w:space="0"/>
              <w:right w:val="single" w:color="auto" w:sz="4" w:space="0"/>
            </w:tcBorders>
            <w:noWrap/>
            <w:vAlign w:val="center"/>
          </w:tcPr>
          <w:p w14:paraId="39B94036">
            <w:pPr>
              <w:widowControl/>
              <w:jc w:val="center"/>
              <w:rPr>
                <w:rFonts w:ascii="仿宋" w:hAnsi="仿宋" w:eastAsia="仿宋"/>
                <w:sz w:val="24"/>
                <w:szCs w:val="24"/>
              </w:rPr>
            </w:pPr>
            <w:r>
              <w:rPr>
                <w:rFonts w:hint="eastAsia" w:ascii="仿宋" w:hAnsi="仿宋" w:eastAsia="仿宋"/>
                <w:sz w:val="24"/>
                <w:szCs w:val="24"/>
              </w:rPr>
              <w:t>1500万元</w:t>
            </w:r>
          </w:p>
        </w:tc>
      </w:tr>
      <w:tr w14:paraId="4BFBCD6B">
        <w:tblPrEx>
          <w:tblCellMar>
            <w:top w:w="0" w:type="dxa"/>
            <w:left w:w="108" w:type="dxa"/>
            <w:bottom w:w="0" w:type="dxa"/>
            <w:right w:w="108" w:type="dxa"/>
          </w:tblCellMar>
        </w:tblPrEx>
        <w:trPr>
          <w:trHeight w:val="840" w:hRule="atLeast"/>
        </w:trPr>
        <w:tc>
          <w:tcPr>
            <w:tcW w:w="576" w:type="dxa"/>
            <w:vMerge w:val="continue"/>
            <w:tcBorders>
              <w:top w:val="nil"/>
              <w:left w:val="single" w:color="auto" w:sz="4" w:space="0"/>
              <w:bottom w:val="single" w:color="auto" w:sz="4" w:space="0"/>
              <w:right w:val="single" w:color="auto" w:sz="4" w:space="0"/>
            </w:tcBorders>
            <w:noWrap/>
            <w:vAlign w:val="center"/>
          </w:tcPr>
          <w:p w14:paraId="7E35971A">
            <w:pPr>
              <w:widowControl/>
              <w:jc w:val="left"/>
              <w:rPr>
                <w:rFonts w:ascii="仿宋" w:hAnsi="仿宋" w:eastAsia="仿宋"/>
                <w:sz w:val="24"/>
                <w:szCs w:val="24"/>
              </w:rPr>
            </w:pPr>
          </w:p>
        </w:tc>
        <w:tc>
          <w:tcPr>
            <w:tcW w:w="696" w:type="dxa"/>
            <w:tcBorders>
              <w:top w:val="nil"/>
              <w:left w:val="nil"/>
              <w:bottom w:val="single" w:color="auto" w:sz="4" w:space="0"/>
              <w:right w:val="single" w:color="auto" w:sz="4" w:space="0"/>
            </w:tcBorders>
            <w:noWrap/>
            <w:vAlign w:val="center"/>
          </w:tcPr>
          <w:p w14:paraId="51911FC9">
            <w:pPr>
              <w:widowControl/>
              <w:jc w:val="center"/>
              <w:rPr>
                <w:rFonts w:ascii="仿宋" w:hAnsi="仿宋" w:eastAsia="仿宋"/>
                <w:sz w:val="24"/>
                <w:szCs w:val="24"/>
              </w:rPr>
            </w:pPr>
            <w:r>
              <w:rPr>
                <w:rFonts w:hint="eastAsia" w:ascii="仿宋" w:hAnsi="仿宋" w:eastAsia="仿宋"/>
                <w:sz w:val="24"/>
                <w:szCs w:val="24"/>
              </w:rPr>
              <w:t>劳动</w:t>
            </w:r>
            <w:r>
              <w:rPr>
                <w:rFonts w:hint="eastAsia" w:ascii="仿宋" w:hAnsi="仿宋" w:eastAsia="仿宋"/>
                <w:sz w:val="24"/>
                <w:szCs w:val="24"/>
              </w:rPr>
              <w:br w:type="textWrapping"/>
            </w:r>
            <w:r>
              <w:rPr>
                <w:rFonts w:hint="eastAsia" w:ascii="仿宋" w:hAnsi="仿宋" w:eastAsia="仿宋"/>
                <w:sz w:val="24"/>
                <w:szCs w:val="24"/>
              </w:rPr>
              <w:t>体验</w:t>
            </w:r>
          </w:p>
        </w:tc>
        <w:tc>
          <w:tcPr>
            <w:tcW w:w="1227" w:type="dxa"/>
            <w:vMerge w:val="continue"/>
            <w:tcBorders>
              <w:top w:val="nil"/>
              <w:left w:val="single" w:color="auto" w:sz="4" w:space="0"/>
              <w:bottom w:val="single" w:color="000000" w:sz="4" w:space="0"/>
              <w:right w:val="single" w:color="auto" w:sz="4" w:space="0"/>
            </w:tcBorders>
            <w:noWrap/>
            <w:vAlign w:val="center"/>
          </w:tcPr>
          <w:p w14:paraId="3751AF9F">
            <w:pPr>
              <w:widowControl/>
              <w:jc w:val="left"/>
              <w:rPr>
                <w:rFonts w:ascii="仿宋" w:hAnsi="仿宋" w:eastAsia="仿宋"/>
                <w:sz w:val="24"/>
                <w:szCs w:val="24"/>
              </w:rPr>
            </w:pPr>
          </w:p>
        </w:tc>
        <w:tc>
          <w:tcPr>
            <w:tcW w:w="2316" w:type="dxa"/>
            <w:tcBorders>
              <w:top w:val="nil"/>
              <w:left w:val="nil"/>
              <w:bottom w:val="single" w:color="auto" w:sz="4" w:space="0"/>
              <w:right w:val="single" w:color="auto" w:sz="4" w:space="0"/>
            </w:tcBorders>
            <w:noWrap/>
            <w:vAlign w:val="center"/>
          </w:tcPr>
          <w:p w14:paraId="687665FD">
            <w:pPr>
              <w:widowControl/>
              <w:jc w:val="left"/>
              <w:rPr>
                <w:rFonts w:ascii="仿宋" w:hAnsi="仿宋" w:eastAsia="仿宋"/>
                <w:sz w:val="24"/>
                <w:szCs w:val="24"/>
              </w:rPr>
            </w:pPr>
            <w:r>
              <w:rPr>
                <w:rFonts w:hint="eastAsia" w:ascii="仿宋" w:hAnsi="仿宋" w:eastAsia="仿宋"/>
                <w:sz w:val="24"/>
                <w:szCs w:val="24"/>
              </w:rPr>
              <w:t>劳动实践场所的各种劳动、义务劳动、环境卫生劳动,校内外劳动教育、公益类活动等。</w:t>
            </w:r>
          </w:p>
        </w:tc>
        <w:tc>
          <w:tcPr>
            <w:tcW w:w="1276" w:type="dxa"/>
            <w:tcBorders>
              <w:top w:val="nil"/>
              <w:left w:val="nil"/>
              <w:bottom w:val="single" w:color="auto" w:sz="4" w:space="0"/>
              <w:right w:val="single" w:color="auto" w:sz="4" w:space="0"/>
            </w:tcBorders>
            <w:noWrap/>
            <w:vAlign w:val="center"/>
          </w:tcPr>
          <w:p w14:paraId="7BA3CF4E">
            <w:pPr>
              <w:widowControl/>
              <w:jc w:val="center"/>
              <w:rPr>
                <w:rFonts w:ascii="仿宋" w:hAnsi="仿宋" w:eastAsia="仿宋"/>
                <w:sz w:val="24"/>
                <w:szCs w:val="24"/>
              </w:rPr>
            </w:pPr>
            <w:r>
              <w:rPr>
                <w:rFonts w:hint="eastAsia" w:ascii="仿宋" w:hAnsi="仿宋" w:eastAsia="仿宋"/>
                <w:sz w:val="24"/>
                <w:szCs w:val="24"/>
              </w:rPr>
              <w:t>90万元</w:t>
            </w:r>
          </w:p>
        </w:tc>
        <w:tc>
          <w:tcPr>
            <w:tcW w:w="1418" w:type="dxa"/>
            <w:tcBorders>
              <w:top w:val="nil"/>
              <w:left w:val="nil"/>
              <w:bottom w:val="single" w:color="auto" w:sz="4" w:space="0"/>
              <w:right w:val="single" w:color="auto" w:sz="4" w:space="0"/>
            </w:tcBorders>
            <w:noWrap/>
            <w:vAlign w:val="center"/>
          </w:tcPr>
          <w:p w14:paraId="58BBAEA8">
            <w:pPr>
              <w:widowControl/>
              <w:jc w:val="center"/>
              <w:rPr>
                <w:rFonts w:ascii="仿宋" w:hAnsi="仿宋" w:eastAsia="仿宋"/>
                <w:sz w:val="24"/>
                <w:szCs w:val="24"/>
              </w:rPr>
            </w:pPr>
            <w:r>
              <w:rPr>
                <w:rFonts w:hint="eastAsia" w:ascii="仿宋" w:hAnsi="仿宋" w:eastAsia="仿宋"/>
                <w:sz w:val="24"/>
                <w:szCs w:val="24"/>
              </w:rPr>
              <w:t>800万元</w:t>
            </w:r>
          </w:p>
        </w:tc>
        <w:tc>
          <w:tcPr>
            <w:tcW w:w="1417" w:type="dxa"/>
            <w:tcBorders>
              <w:top w:val="nil"/>
              <w:left w:val="nil"/>
              <w:bottom w:val="single" w:color="auto" w:sz="4" w:space="0"/>
              <w:right w:val="single" w:color="auto" w:sz="4" w:space="0"/>
            </w:tcBorders>
            <w:noWrap/>
            <w:vAlign w:val="center"/>
          </w:tcPr>
          <w:p w14:paraId="6A34FCEC">
            <w:pPr>
              <w:widowControl/>
              <w:jc w:val="center"/>
              <w:rPr>
                <w:rFonts w:ascii="仿宋" w:hAnsi="仿宋" w:eastAsia="仿宋"/>
                <w:sz w:val="24"/>
                <w:szCs w:val="24"/>
              </w:rPr>
            </w:pPr>
            <w:r>
              <w:rPr>
                <w:rFonts w:hint="eastAsia" w:ascii="仿宋" w:hAnsi="仿宋" w:eastAsia="仿宋"/>
                <w:sz w:val="24"/>
                <w:szCs w:val="24"/>
              </w:rPr>
              <w:t>1200万元</w:t>
            </w:r>
          </w:p>
        </w:tc>
      </w:tr>
      <w:tr w14:paraId="5BB5BE13">
        <w:tblPrEx>
          <w:tblCellMar>
            <w:top w:w="0" w:type="dxa"/>
            <w:left w:w="108" w:type="dxa"/>
            <w:bottom w:w="0" w:type="dxa"/>
            <w:right w:w="108" w:type="dxa"/>
          </w:tblCellMar>
        </w:tblPrEx>
        <w:trPr>
          <w:trHeight w:val="600" w:hRule="atLeast"/>
        </w:trPr>
        <w:tc>
          <w:tcPr>
            <w:tcW w:w="576" w:type="dxa"/>
            <w:vMerge w:val="continue"/>
            <w:tcBorders>
              <w:top w:val="nil"/>
              <w:left w:val="single" w:color="auto" w:sz="4" w:space="0"/>
              <w:bottom w:val="single" w:color="auto" w:sz="4" w:space="0"/>
              <w:right w:val="single" w:color="auto" w:sz="4" w:space="0"/>
            </w:tcBorders>
            <w:noWrap/>
            <w:vAlign w:val="center"/>
          </w:tcPr>
          <w:p w14:paraId="72D8130C">
            <w:pPr>
              <w:widowControl/>
              <w:jc w:val="left"/>
              <w:rPr>
                <w:rFonts w:ascii="仿宋" w:hAnsi="仿宋" w:eastAsia="仿宋"/>
                <w:sz w:val="24"/>
                <w:szCs w:val="24"/>
              </w:rPr>
            </w:pPr>
          </w:p>
        </w:tc>
        <w:tc>
          <w:tcPr>
            <w:tcW w:w="696" w:type="dxa"/>
            <w:tcBorders>
              <w:top w:val="nil"/>
              <w:left w:val="nil"/>
              <w:bottom w:val="single" w:color="auto" w:sz="4" w:space="0"/>
              <w:right w:val="single" w:color="auto" w:sz="4" w:space="0"/>
            </w:tcBorders>
            <w:noWrap/>
            <w:vAlign w:val="center"/>
          </w:tcPr>
          <w:p w14:paraId="6ED08A0E">
            <w:pPr>
              <w:widowControl/>
              <w:jc w:val="center"/>
              <w:rPr>
                <w:rFonts w:ascii="仿宋" w:hAnsi="仿宋" w:eastAsia="仿宋"/>
                <w:sz w:val="24"/>
                <w:szCs w:val="24"/>
              </w:rPr>
            </w:pPr>
            <w:r>
              <w:rPr>
                <w:rFonts w:hint="eastAsia" w:ascii="仿宋" w:hAnsi="仿宋" w:eastAsia="仿宋"/>
                <w:sz w:val="24"/>
                <w:szCs w:val="24"/>
              </w:rPr>
              <w:t>课外</w:t>
            </w:r>
            <w:r>
              <w:rPr>
                <w:rFonts w:hint="eastAsia" w:ascii="仿宋" w:hAnsi="仿宋" w:eastAsia="仿宋"/>
                <w:sz w:val="24"/>
                <w:szCs w:val="24"/>
              </w:rPr>
              <w:br w:type="textWrapping"/>
            </w:r>
            <w:r>
              <w:rPr>
                <w:rFonts w:hint="eastAsia" w:ascii="仿宋" w:hAnsi="仿宋" w:eastAsia="仿宋"/>
                <w:sz w:val="24"/>
                <w:szCs w:val="24"/>
              </w:rPr>
              <w:t>活动</w:t>
            </w:r>
          </w:p>
        </w:tc>
        <w:tc>
          <w:tcPr>
            <w:tcW w:w="1227" w:type="dxa"/>
            <w:vMerge w:val="continue"/>
            <w:tcBorders>
              <w:top w:val="nil"/>
              <w:left w:val="single" w:color="auto" w:sz="4" w:space="0"/>
              <w:bottom w:val="single" w:color="000000" w:sz="4" w:space="0"/>
              <w:right w:val="single" w:color="auto" w:sz="4" w:space="0"/>
            </w:tcBorders>
            <w:noWrap/>
            <w:vAlign w:val="center"/>
          </w:tcPr>
          <w:p w14:paraId="4DBD1157">
            <w:pPr>
              <w:widowControl/>
              <w:jc w:val="left"/>
              <w:rPr>
                <w:rFonts w:ascii="仿宋" w:hAnsi="仿宋" w:eastAsia="仿宋"/>
                <w:sz w:val="24"/>
                <w:szCs w:val="24"/>
              </w:rPr>
            </w:pPr>
          </w:p>
        </w:tc>
        <w:tc>
          <w:tcPr>
            <w:tcW w:w="2316" w:type="dxa"/>
            <w:tcBorders>
              <w:top w:val="nil"/>
              <w:left w:val="nil"/>
              <w:bottom w:val="single" w:color="auto" w:sz="4" w:space="0"/>
              <w:right w:val="single" w:color="auto" w:sz="4" w:space="0"/>
            </w:tcBorders>
            <w:noWrap/>
            <w:vAlign w:val="center"/>
          </w:tcPr>
          <w:p w14:paraId="5F43FB2A">
            <w:pPr>
              <w:widowControl/>
              <w:jc w:val="left"/>
              <w:rPr>
                <w:rFonts w:ascii="仿宋" w:hAnsi="仿宋" w:eastAsia="仿宋"/>
                <w:sz w:val="24"/>
                <w:szCs w:val="24"/>
              </w:rPr>
            </w:pPr>
            <w:r>
              <w:rPr>
                <w:rFonts w:hint="eastAsia" w:ascii="仿宋" w:hAnsi="仿宋" w:eastAsia="仿宋"/>
                <w:sz w:val="24"/>
                <w:szCs w:val="24"/>
              </w:rPr>
              <w:t>第二课堂、写生采风、课外情景教育,课外体育活动等。</w:t>
            </w:r>
          </w:p>
        </w:tc>
        <w:tc>
          <w:tcPr>
            <w:tcW w:w="1276" w:type="dxa"/>
            <w:tcBorders>
              <w:top w:val="nil"/>
              <w:left w:val="nil"/>
              <w:bottom w:val="single" w:color="auto" w:sz="4" w:space="0"/>
              <w:right w:val="single" w:color="auto" w:sz="4" w:space="0"/>
            </w:tcBorders>
            <w:noWrap/>
            <w:vAlign w:val="center"/>
          </w:tcPr>
          <w:p w14:paraId="1A236811">
            <w:pPr>
              <w:widowControl/>
              <w:jc w:val="center"/>
              <w:rPr>
                <w:rFonts w:ascii="仿宋" w:hAnsi="仿宋" w:eastAsia="仿宋"/>
                <w:sz w:val="24"/>
                <w:szCs w:val="24"/>
              </w:rPr>
            </w:pPr>
            <w:r>
              <w:rPr>
                <w:rFonts w:hint="eastAsia" w:ascii="仿宋" w:hAnsi="仿宋" w:eastAsia="仿宋"/>
                <w:sz w:val="24"/>
                <w:szCs w:val="24"/>
              </w:rPr>
              <w:t>90万元</w:t>
            </w:r>
          </w:p>
        </w:tc>
        <w:tc>
          <w:tcPr>
            <w:tcW w:w="1418" w:type="dxa"/>
            <w:tcBorders>
              <w:top w:val="nil"/>
              <w:left w:val="nil"/>
              <w:bottom w:val="single" w:color="auto" w:sz="4" w:space="0"/>
              <w:right w:val="single" w:color="auto" w:sz="4" w:space="0"/>
            </w:tcBorders>
            <w:noWrap/>
            <w:vAlign w:val="center"/>
          </w:tcPr>
          <w:p w14:paraId="7DF855EA">
            <w:pPr>
              <w:widowControl/>
              <w:jc w:val="center"/>
              <w:rPr>
                <w:rFonts w:ascii="仿宋" w:hAnsi="仿宋" w:eastAsia="仿宋"/>
                <w:sz w:val="24"/>
                <w:szCs w:val="24"/>
              </w:rPr>
            </w:pPr>
            <w:r>
              <w:rPr>
                <w:rFonts w:hint="eastAsia" w:ascii="仿宋" w:hAnsi="仿宋" w:eastAsia="仿宋"/>
                <w:sz w:val="24"/>
                <w:szCs w:val="24"/>
              </w:rPr>
              <w:t>800万元</w:t>
            </w:r>
          </w:p>
        </w:tc>
        <w:tc>
          <w:tcPr>
            <w:tcW w:w="1417" w:type="dxa"/>
            <w:tcBorders>
              <w:top w:val="nil"/>
              <w:left w:val="nil"/>
              <w:bottom w:val="single" w:color="auto" w:sz="4" w:space="0"/>
              <w:right w:val="single" w:color="auto" w:sz="4" w:space="0"/>
            </w:tcBorders>
            <w:noWrap/>
            <w:vAlign w:val="center"/>
          </w:tcPr>
          <w:p w14:paraId="1BCCF2DD">
            <w:pPr>
              <w:widowControl/>
              <w:jc w:val="center"/>
              <w:rPr>
                <w:rFonts w:ascii="仿宋" w:hAnsi="仿宋" w:eastAsia="仿宋"/>
                <w:sz w:val="24"/>
                <w:szCs w:val="24"/>
              </w:rPr>
            </w:pPr>
            <w:r>
              <w:rPr>
                <w:rFonts w:hint="eastAsia" w:ascii="仿宋" w:hAnsi="仿宋" w:eastAsia="仿宋"/>
                <w:sz w:val="24"/>
                <w:szCs w:val="24"/>
              </w:rPr>
              <w:t>1200万元</w:t>
            </w:r>
          </w:p>
        </w:tc>
      </w:tr>
      <w:tr w14:paraId="0D0CA2F7">
        <w:tblPrEx>
          <w:tblCellMar>
            <w:top w:w="0" w:type="dxa"/>
            <w:left w:w="108" w:type="dxa"/>
            <w:bottom w:w="0" w:type="dxa"/>
            <w:right w:w="108" w:type="dxa"/>
          </w:tblCellMar>
        </w:tblPrEx>
        <w:trPr>
          <w:trHeight w:val="840" w:hRule="atLeast"/>
        </w:trPr>
        <w:tc>
          <w:tcPr>
            <w:tcW w:w="576" w:type="dxa"/>
            <w:vMerge w:val="continue"/>
            <w:tcBorders>
              <w:top w:val="nil"/>
              <w:left w:val="single" w:color="auto" w:sz="4" w:space="0"/>
              <w:bottom w:val="single" w:color="auto" w:sz="4" w:space="0"/>
              <w:right w:val="single" w:color="auto" w:sz="4" w:space="0"/>
            </w:tcBorders>
            <w:noWrap/>
            <w:vAlign w:val="center"/>
          </w:tcPr>
          <w:p w14:paraId="4EA8729C">
            <w:pPr>
              <w:widowControl/>
              <w:jc w:val="left"/>
              <w:rPr>
                <w:rFonts w:ascii="仿宋" w:hAnsi="仿宋" w:eastAsia="仿宋"/>
                <w:sz w:val="24"/>
                <w:szCs w:val="24"/>
              </w:rPr>
            </w:pPr>
          </w:p>
        </w:tc>
        <w:tc>
          <w:tcPr>
            <w:tcW w:w="696" w:type="dxa"/>
            <w:tcBorders>
              <w:top w:val="nil"/>
              <w:left w:val="nil"/>
              <w:bottom w:val="single" w:color="auto" w:sz="4" w:space="0"/>
              <w:right w:val="single" w:color="auto" w:sz="4" w:space="0"/>
            </w:tcBorders>
            <w:noWrap/>
            <w:vAlign w:val="center"/>
          </w:tcPr>
          <w:p w14:paraId="21884EB9">
            <w:pPr>
              <w:widowControl/>
              <w:jc w:val="center"/>
              <w:rPr>
                <w:rFonts w:ascii="仿宋" w:hAnsi="仿宋" w:eastAsia="仿宋"/>
                <w:sz w:val="24"/>
                <w:szCs w:val="24"/>
              </w:rPr>
            </w:pPr>
            <w:r>
              <w:rPr>
                <w:rFonts w:hint="eastAsia" w:ascii="仿宋" w:hAnsi="仿宋" w:eastAsia="仿宋"/>
                <w:sz w:val="24"/>
                <w:szCs w:val="24"/>
              </w:rPr>
              <w:t>其他</w:t>
            </w:r>
            <w:r>
              <w:rPr>
                <w:rFonts w:hint="eastAsia" w:ascii="仿宋" w:hAnsi="仿宋" w:eastAsia="仿宋"/>
                <w:sz w:val="24"/>
                <w:szCs w:val="24"/>
              </w:rPr>
              <w:br w:type="textWrapping"/>
            </w:r>
            <w:r>
              <w:rPr>
                <w:rFonts w:hint="eastAsia" w:ascii="仿宋" w:hAnsi="仿宋" w:eastAsia="仿宋"/>
                <w:sz w:val="24"/>
                <w:szCs w:val="24"/>
              </w:rPr>
              <w:t>活动</w:t>
            </w:r>
          </w:p>
        </w:tc>
        <w:tc>
          <w:tcPr>
            <w:tcW w:w="1227" w:type="dxa"/>
            <w:vMerge w:val="continue"/>
            <w:tcBorders>
              <w:top w:val="nil"/>
              <w:left w:val="single" w:color="auto" w:sz="4" w:space="0"/>
              <w:bottom w:val="single" w:color="000000" w:sz="4" w:space="0"/>
              <w:right w:val="single" w:color="auto" w:sz="4" w:space="0"/>
            </w:tcBorders>
            <w:noWrap/>
            <w:vAlign w:val="center"/>
          </w:tcPr>
          <w:p w14:paraId="0CA79743">
            <w:pPr>
              <w:widowControl/>
              <w:jc w:val="left"/>
              <w:rPr>
                <w:rFonts w:ascii="仿宋" w:hAnsi="仿宋" w:eastAsia="仿宋"/>
                <w:sz w:val="24"/>
                <w:szCs w:val="24"/>
              </w:rPr>
            </w:pPr>
          </w:p>
        </w:tc>
        <w:tc>
          <w:tcPr>
            <w:tcW w:w="2316" w:type="dxa"/>
            <w:tcBorders>
              <w:top w:val="nil"/>
              <w:left w:val="nil"/>
              <w:bottom w:val="single" w:color="auto" w:sz="4" w:space="0"/>
              <w:right w:val="single" w:color="auto" w:sz="4" w:space="0"/>
            </w:tcBorders>
            <w:noWrap/>
            <w:vAlign w:val="center"/>
          </w:tcPr>
          <w:p w14:paraId="39A6F470">
            <w:pPr>
              <w:widowControl/>
              <w:jc w:val="left"/>
              <w:rPr>
                <w:rFonts w:ascii="仿宋" w:hAnsi="仿宋" w:eastAsia="仿宋"/>
                <w:sz w:val="24"/>
                <w:szCs w:val="24"/>
              </w:rPr>
            </w:pPr>
            <w:r>
              <w:rPr>
                <w:rFonts w:hint="eastAsia" w:ascii="仿宋" w:hAnsi="仿宋" w:eastAsia="仿宋"/>
                <w:sz w:val="24"/>
                <w:szCs w:val="24"/>
              </w:rPr>
              <w:t>学校统一组织或安排的其他校外非教育类活动,学生自愿</w:t>
            </w:r>
            <w:r>
              <w:rPr>
                <w:rFonts w:hint="eastAsia" w:ascii="仿宋" w:hAnsi="仿宋" w:eastAsia="仿宋"/>
                <w:sz w:val="24"/>
                <w:szCs w:val="24"/>
              </w:rPr>
              <w:br w:type="textWrapping"/>
            </w:r>
            <w:r>
              <w:rPr>
                <w:rFonts w:hint="eastAsia" w:ascii="仿宋" w:hAnsi="仿宋" w:eastAsia="仿宋"/>
                <w:sz w:val="24"/>
                <w:szCs w:val="24"/>
              </w:rPr>
              <w:t>参与的活动等。</w:t>
            </w:r>
          </w:p>
        </w:tc>
        <w:tc>
          <w:tcPr>
            <w:tcW w:w="1276" w:type="dxa"/>
            <w:tcBorders>
              <w:top w:val="nil"/>
              <w:left w:val="nil"/>
              <w:bottom w:val="single" w:color="auto" w:sz="4" w:space="0"/>
              <w:right w:val="single" w:color="auto" w:sz="4" w:space="0"/>
            </w:tcBorders>
            <w:noWrap/>
            <w:vAlign w:val="center"/>
          </w:tcPr>
          <w:p w14:paraId="161B7ABE">
            <w:pPr>
              <w:widowControl/>
              <w:jc w:val="center"/>
              <w:rPr>
                <w:rFonts w:ascii="仿宋" w:hAnsi="仿宋" w:eastAsia="仿宋"/>
                <w:sz w:val="24"/>
                <w:szCs w:val="24"/>
              </w:rPr>
            </w:pPr>
            <w:r>
              <w:rPr>
                <w:rFonts w:hint="eastAsia" w:ascii="仿宋" w:hAnsi="仿宋" w:eastAsia="仿宋"/>
                <w:sz w:val="24"/>
                <w:szCs w:val="24"/>
              </w:rPr>
              <w:t>70万元</w:t>
            </w:r>
          </w:p>
        </w:tc>
        <w:tc>
          <w:tcPr>
            <w:tcW w:w="1418" w:type="dxa"/>
            <w:tcBorders>
              <w:top w:val="nil"/>
              <w:left w:val="nil"/>
              <w:bottom w:val="single" w:color="auto" w:sz="4" w:space="0"/>
              <w:right w:val="single" w:color="auto" w:sz="4" w:space="0"/>
            </w:tcBorders>
            <w:noWrap/>
            <w:vAlign w:val="center"/>
          </w:tcPr>
          <w:p w14:paraId="44B71B0A">
            <w:pPr>
              <w:widowControl/>
              <w:jc w:val="center"/>
              <w:rPr>
                <w:rFonts w:ascii="仿宋" w:hAnsi="仿宋" w:eastAsia="仿宋"/>
                <w:sz w:val="24"/>
                <w:szCs w:val="24"/>
              </w:rPr>
            </w:pPr>
            <w:r>
              <w:rPr>
                <w:rFonts w:hint="eastAsia" w:ascii="仿宋" w:hAnsi="仿宋" w:eastAsia="仿宋"/>
                <w:sz w:val="24"/>
                <w:szCs w:val="24"/>
              </w:rPr>
              <w:t>800万元</w:t>
            </w:r>
          </w:p>
        </w:tc>
        <w:tc>
          <w:tcPr>
            <w:tcW w:w="1417" w:type="dxa"/>
            <w:tcBorders>
              <w:top w:val="nil"/>
              <w:left w:val="nil"/>
              <w:bottom w:val="single" w:color="auto" w:sz="4" w:space="0"/>
              <w:right w:val="single" w:color="auto" w:sz="4" w:space="0"/>
            </w:tcBorders>
            <w:noWrap/>
            <w:vAlign w:val="center"/>
          </w:tcPr>
          <w:p w14:paraId="48CE74FC">
            <w:pPr>
              <w:widowControl/>
              <w:jc w:val="center"/>
              <w:rPr>
                <w:rFonts w:ascii="仿宋" w:hAnsi="仿宋" w:eastAsia="仿宋"/>
                <w:sz w:val="24"/>
                <w:szCs w:val="24"/>
              </w:rPr>
            </w:pPr>
            <w:r>
              <w:rPr>
                <w:rFonts w:hint="eastAsia" w:ascii="仿宋" w:hAnsi="仿宋" w:eastAsia="仿宋"/>
                <w:sz w:val="24"/>
                <w:szCs w:val="24"/>
              </w:rPr>
              <w:t>1200万元</w:t>
            </w:r>
          </w:p>
        </w:tc>
      </w:tr>
      <w:tr w14:paraId="2B753D73">
        <w:tblPrEx>
          <w:tblCellMar>
            <w:top w:w="0" w:type="dxa"/>
            <w:left w:w="108" w:type="dxa"/>
            <w:bottom w:w="0" w:type="dxa"/>
            <w:right w:w="108" w:type="dxa"/>
          </w:tblCellMar>
        </w:tblPrEx>
        <w:trPr>
          <w:trHeight w:val="222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42E55F01">
            <w:pPr>
              <w:widowControl/>
              <w:jc w:val="center"/>
              <w:rPr>
                <w:rFonts w:ascii="仿宋" w:hAnsi="仿宋" w:eastAsia="仿宋"/>
                <w:sz w:val="24"/>
                <w:szCs w:val="24"/>
              </w:rPr>
            </w:pPr>
            <w:r>
              <w:rPr>
                <w:rFonts w:hint="eastAsia" w:ascii="仿宋" w:hAnsi="仿宋" w:eastAsia="仿宋"/>
                <w:sz w:val="24"/>
                <w:szCs w:val="24"/>
              </w:rPr>
              <w:t>校园延伸</w:t>
            </w:r>
          </w:p>
        </w:tc>
        <w:tc>
          <w:tcPr>
            <w:tcW w:w="1227" w:type="dxa"/>
            <w:vMerge w:val="continue"/>
            <w:tcBorders>
              <w:top w:val="nil"/>
              <w:left w:val="single" w:color="auto" w:sz="4" w:space="0"/>
              <w:bottom w:val="single" w:color="000000" w:sz="4" w:space="0"/>
              <w:right w:val="single" w:color="auto" w:sz="4" w:space="0"/>
            </w:tcBorders>
            <w:noWrap/>
            <w:vAlign w:val="center"/>
          </w:tcPr>
          <w:p w14:paraId="7F72C378">
            <w:pPr>
              <w:widowControl/>
              <w:jc w:val="left"/>
              <w:rPr>
                <w:rFonts w:ascii="仿宋" w:hAnsi="仿宋" w:eastAsia="仿宋"/>
                <w:sz w:val="24"/>
                <w:szCs w:val="24"/>
              </w:rPr>
            </w:pPr>
          </w:p>
        </w:tc>
        <w:tc>
          <w:tcPr>
            <w:tcW w:w="2316" w:type="dxa"/>
            <w:tcBorders>
              <w:top w:val="nil"/>
              <w:left w:val="nil"/>
              <w:bottom w:val="single" w:color="auto" w:sz="4" w:space="0"/>
              <w:right w:val="single" w:color="auto" w:sz="4" w:space="0"/>
            </w:tcBorders>
            <w:noWrap/>
            <w:vAlign w:val="center"/>
          </w:tcPr>
          <w:p w14:paraId="345F4773">
            <w:pPr>
              <w:widowControl/>
              <w:jc w:val="left"/>
              <w:rPr>
                <w:rFonts w:ascii="仿宋" w:hAnsi="仿宋" w:eastAsia="仿宋"/>
                <w:sz w:val="24"/>
                <w:szCs w:val="24"/>
              </w:rPr>
            </w:pPr>
            <w:r>
              <w:rPr>
                <w:rFonts w:hint="eastAsia" w:ascii="仿宋" w:hAnsi="仿宋" w:eastAsia="仿宋"/>
                <w:sz w:val="24"/>
                <w:szCs w:val="24"/>
              </w:rPr>
              <w:t>上下学途中因被保险人疏忽或过失导致学生的人身伤亡(学生因乘坐校车发生的事故除外)</w:t>
            </w:r>
            <w:r>
              <w:rPr>
                <w:rFonts w:hint="eastAsia" w:ascii="仿宋" w:hAnsi="仿宋" w:eastAsia="仿宋"/>
                <w:sz w:val="24"/>
                <w:szCs w:val="24"/>
                <w:lang w:eastAsia="zh-CN"/>
              </w:rPr>
              <w:t>：</w:t>
            </w:r>
            <w:r>
              <w:rPr>
                <w:rFonts w:hint="eastAsia" w:ascii="仿宋" w:hAnsi="仿宋" w:eastAsia="仿宋"/>
                <w:sz w:val="24"/>
                <w:szCs w:val="24"/>
              </w:rPr>
              <w:t>放学后、节假日自行滞留学校在校内发生的伤害事故；学校组织或开展运动类教学或比赛过程中突发</w:t>
            </w:r>
            <w:r>
              <w:rPr>
                <w:rFonts w:hint="eastAsia" w:ascii="仿宋" w:hAnsi="仿宋" w:eastAsia="仿宋"/>
                <w:sz w:val="24"/>
                <w:szCs w:val="24"/>
                <w:lang w:eastAsia="zh-CN"/>
              </w:rPr>
              <w:t>猝事</w:t>
            </w:r>
            <w:r>
              <w:rPr>
                <w:rFonts w:hint="eastAsia" w:ascii="仿宋" w:hAnsi="仿宋" w:eastAsia="仿宋"/>
                <w:sz w:val="24"/>
                <w:szCs w:val="24"/>
              </w:rPr>
              <w:t>；校园内建筑附属物或装置饰等的外物伤害。</w:t>
            </w:r>
          </w:p>
        </w:tc>
        <w:tc>
          <w:tcPr>
            <w:tcW w:w="1276" w:type="dxa"/>
            <w:tcBorders>
              <w:top w:val="nil"/>
              <w:left w:val="nil"/>
              <w:bottom w:val="single" w:color="auto" w:sz="4" w:space="0"/>
              <w:right w:val="single" w:color="auto" w:sz="4" w:space="0"/>
            </w:tcBorders>
            <w:noWrap/>
            <w:vAlign w:val="center"/>
          </w:tcPr>
          <w:p w14:paraId="0B335AF4">
            <w:pPr>
              <w:widowControl/>
              <w:jc w:val="center"/>
              <w:rPr>
                <w:rFonts w:ascii="仿宋" w:hAnsi="仿宋" w:eastAsia="仿宋"/>
                <w:sz w:val="24"/>
                <w:szCs w:val="24"/>
              </w:rPr>
            </w:pPr>
            <w:r>
              <w:rPr>
                <w:rFonts w:hint="eastAsia" w:ascii="仿宋" w:hAnsi="仿宋" w:eastAsia="仿宋"/>
                <w:sz w:val="24"/>
                <w:szCs w:val="24"/>
              </w:rPr>
              <w:t>50万元</w:t>
            </w:r>
          </w:p>
        </w:tc>
        <w:tc>
          <w:tcPr>
            <w:tcW w:w="1418" w:type="dxa"/>
            <w:tcBorders>
              <w:top w:val="nil"/>
              <w:left w:val="nil"/>
              <w:bottom w:val="single" w:color="auto" w:sz="4" w:space="0"/>
              <w:right w:val="single" w:color="auto" w:sz="4" w:space="0"/>
            </w:tcBorders>
            <w:noWrap/>
            <w:vAlign w:val="center"/>
          </w:tcPr>
          <w:p w14:paraId="087EB5EC">
            <w:pPr>
              <w:widowControl/>
              <w:jc w:val="center"/>
              <w:rPr>
                <w:rFonts w:ascii="仿宋" w:hAnsi="仿宋" w:eastAsia="仿宋"/>
                <w:sz w:val="24"/>
                <w:szCs w:val="24"/>
              </w:rPr>
            </w:pPr>
            <w:r>
              <w:rPr>
                <w:rFonts w:hint="eastAsia" w:ascii="仿宋" w:hAnsi="仿宋" w:eastAsia="仿宋"/>
                <w:sz w:val="24"/>
                <w:szCs w:val="24"/>
              </w:rPr>
              <w:t>450万元</w:t>
            </w:r>
          </w:p>
        </w:tc>
        <w:tc>
          <w:tcPr>
            <w:tcW w:w="1417" w:type="dxa"/>
            <w:tcBorders>
              <w:top w:val="nil"/>
              <w:left w:val="nil"/>
              <w:bottom w:val="single" w:color="auto" w:sz="4" w:space="0"/>
              <w:right w:val="single" w:color="auto" w:sz="4" w:space="0"/>
            </w:tcBorders>
            <w:noWrap/>
            <w:vAlign w:val="center"/>
          </w:tcPr>
          <w:p w14:paraId="50FF48AE">
            <w:pPr>
              <w:widowControl/>
              <w:jc w:val="center"/>
              <w:rPr>
                <w:rFonts w:ascii="仿宋" w:hAnsi="仿宋" w:eastAsia="仿宋"/>
                <w:sz w:val="24"/>
                <w:szCs w:val="24"/>
              </w:rPr>
            </w:pPr>
            <w:r>
              <w:rPr>
                <w:rFonts w:hint="eastAsia" w:ascii="仿宋" w:hAnsi="仿宋" w:eastAsia="仿宋"/>
                <w:sz w:val="24"/>
                <w:szCs w:val="24"/>
              </w:rPr>
              <w:t>1200万元</w:t>
            </w:r>
          </w:p>
        </w:tc>
      </w:tr>
      <w:tr w14:paraId="43024328">
        <w:tblPrEx>
          <w:tblCellMar>
            <w:top w:w="0" w:type="dxa"/>
            <w:left w:w="108" w:type="dxa"/>
            <w:bottom w:w="0" w:type="dxa"/>
            <w:right w:w="108" w:type="dxa"/>
          </w:tblCellMar>
        </w:tblPrEx>
        <w:trPr>
          <w:trHeight w:val="57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3A3BDB34">
            <w:pPr>
              <w:widowControl/>
              <w:jc w:val="center"/>
              <w:rPr>
                <w:rFonts w:ascii="仿宋" w:hAnsi="仿宋" w:eastAsia="仿宋"/>
                <w:sz w:val="24"/>
                <w:szCs w:val="24"/>
              </w:rPr>
            </w:pPr>
            <w:r>
              <w:rPr>
                <w:rFonts w:hint="eastAsia" w:ascii="仿宋" w:hAnsi="仿宋" w:eastAsia="仿宋"/>
                <w:sz w:val="24"/>
                <w:szCs w:val="24"/>
              </w:rPr>
              <w:t>第三方侵害</w:t>
            </w:r>
          </w:p>
        </w:tc>
        <w:tc>
          <w:tcPr>
            <w:tcW w:w="1227" w:type="dxa"/>
            <w:vMerge w:val="continue"/>
            <w:tcBorders>
              <w:top w:val="nil"/>
              <w:left w:val="single" w:color="auto" w:sz="4" w:space="0"/>
              <w:bottom w:val="single" w:color="000000" w:sz="4" w:space="0"/>
              <w:right w:val="single" w:color="auto" w:sz="4" w:space="0"/>
            </w:tcBorders>
            <w:noWrap/>
            <w:vAlign w:val="center"/>
          </w:tcPr>
          <w:p w14:paraId="74A14924">
            <w:pPr>
              <w:widowControl/>
              <w:jc w:val="left"/>
              <w:rPr>
                <w:rFonts w:ascii="仿宋" w:hAnsi="仿宋" w:eastAsia="仿宋"/>
                <w:sz w:val="24"/>
                <w:szCs w:val="24"/>
              </w:rPr>
            </w:pPr>
          </w:p>
        </w:tc>
        <w:tc>
          <w:tcPr>
            <w:tcW w:w="2316" w:type="dxa"/>
            <w:tcBorders>
              <w:top w:val="nil"/>
              <w:left w:val="nil"/>
              <w:bottom w:val="single" w:color="auto" w:sz="4" w:space="0"/>
              <w:right w:val="single" w:color="auto" w:sz="4" w:space="0"/>
            </w:tcBorders>
            <w:noWrap/>
            <w:vAlign w:val="center"/>
          </w:tcPr>
          <w:p w14:paraId="0926CDC6">
            <w:pPr>
              <w:widowControl/>
              <w:jc w:val="left"/>
              <w:rPr>
                <w:rFonts w:ascii="仿宋" w:hAnsi="仿宋" w:eastAsia="仿宋"/>
                <w:sz w:val="24"/>
                <w:szCs w:val="24"/>
              </w:rPr>
            </w:pPr>
            <w:r>
              <w:rPr>
                <w:rFonts w:hint="eastAsia" w:ascii="仿宋" w:hAnsi="仿宋" w:eastAsia="仿宋"/>
                <w:sz w:val="24"/>
                <w:szCs w:val="24"/>
              </w:rPr>
              <w:t>校园内受到第三方侵害、动物攻击,外物伤害等。</w:t>
            </w:r>
          </w:p>
        </w:tc>
        <w:tc>
          <w:tcPr>
            <w:tcW w:w="1276" w:type="dxa"/>
            <w:tcBorders>
              <w:top w:val="nil"/>
              <w:left w:val="nil"/>
              <w:bottom w:val="single" w:color="auto" w:sz="4" w:space="0"/>
              <w:right w:val="single" w:color="auto" w:sz="4" w:space="0"/>
            </w:tcBorders>
            <w:noWrap/>
            <w:vAlign w:val="center"/>
          </w:tcPr>
          <w:p w14:paraId="6BF6FE79">
            <w:pPr>
              <w:widowControl/>
              <w:jc w:val="center"/>
              <w:rPr>
                <w:rFonts w:ascii="仿宋" w:hAnsi="仿宋" w:eastAsia="仿宋"/>
                <w:sz w:val="24"/>
                <w:szCs w:val="24"/>
              </w:rPr>
            </w:pPr>
            <w:r>
              <w:rPr>
                <w:rFonts w:hint="eastAsia" w:ascii="仿宋" w:hAnsi="仿宋" w:eastAsia="仿宋"/>
                <w:sz w:val="24"/>
                <w:szCs w:val="24"/>
              </w:rPr>
              <w:t>60万元</w:t>
            </w:r>
          </w:p>
        </w:tc>
        <w:tc>
          <w:tcPr>
            <w:tcW w:w="1418" w:type="dxa"/>
            <w:tcBorders>
              <w:top w:val="nil"/>
              <w:left w:val="nil"/>
              <w:bottom w:val="single" w:color="auto" w:sz="4" w:space="0"/>
              <w:right w:val="single" w:color="auto" w:sz="4" w:space="0"/>
            </w:tcBorders>
            <w:noWrap/>
            <w:vAlign w:val="center"/>
          </w:tcPr>
          <w:p w14:paraId="1AD87D11">
            <w:pPr>
              <w:widowControl/>
              <w:jc w:val="center"/>
              <w:rPr>
                <w:rFonts w:ascii="仿宋" w:hAnsi="仿宋" w:eastAsia="仿宋"/>
                <w:sz w:val="24"/>
                <w:szCs w:val="24"/>
              </w:rPr>
            </w:pPr>
            <w:r>
              <w:rPr>
                <w:rFonts w:hint="eastAsia" w:ascii="仿宋" w:hAnsi="仿宋" w:eastAsia="仿宋"/>
                <w:sz w:val="24"/>
                <w:szCs w:val="24"/>
              </w:rPr>
              <w:t>450万元</w:t>
            </w:r>
          </w:p>
        </w:tc>
        <w:tc>
          <w:tcPr>
            <w:tcW w:w="1417" w:type="dxa"/>
            <w:tcBorders>
              <w:top w:val="nil"/>
              <w:left w:val="nil"/>
              <w:bottom w:val="single" w:color="auto" w:sz="4" w:space="0"/>
              <w:right w:val="single" w:color="auto" w:sz="4" w:space="0"/>
            </w:tcBorders>
            <w:noWrap/>
            <w:vAlign w:val="center"/>
          </w:tcPr>
          <w:p w14:paraId="1DAB6849">
            <w:pPr>
              <w:widowControl/>
              <w:jc w:val="center"/>
              <w:rPr>
                <w:rFonts w:ascii="仿宋" w:hAnsi="仿宋" w:eastAsia="仿宋"/>
                <w:sz w:val="24"/>
                <w:szCs w:val="24"/>
              </w:rPr>
            </w:pPr>
            <w:r>
              <w:rPr>
                <w:rFonts w:hint="eastAsia" w:ascii="仿宋" w:hAnsi="仿宋" w:eastAsia="仿宋"/>
                <w:sz w:val="24"/>
                <w:szCs w:val="24"/>
              </w:rPr>
              <w:t>1200万元</w:t>
            </w:r>
          </w:p>
        </w:tc>
      </w:tr>
      <w:tr w14:paraId="5153F91B">
        <w:tblPrEx>
          <w:tblCellMar>
            <w:top w:w="0" w:type="dxa"/>
            <w:left w:w="108" w:type="dxa"/>
            <w:bottom w:w="0" w:type="dxa"/>
            <w:right w:w="108" w:type="dxa"/>
          </w:tblCellMar>
        </w:tblPrEx>
        <w:trPr>
          <w:trHeight w:val="108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4FE293F4">
            <w:pPr>
              <w:widowControl/>
              <w:jc w:val="center"/>
              <w:rPr>
                <w:rFonts w:ascii="仿宋" w:hAnsi="仿宋" w:eastAsia="仿宋"/>
                <w:sz w:val="24"/>
                <w:szCs w:val="24"/>
              </w:rPr>
            </w:pPr>
            <w:r>
              <w:rPr>
                <w:rFonts w:hint="eastAsia" w:ascii="仿宋" w:hAnsi="仿宋" w:eastAsia="仿宋"/>
                <w:sz w:val="24"/>
                <w:szCs w:val="24"/>
              </w:rPr>
              <w:t>附加       无过失责任</w:t>
            </w:r>
          </w:p>
        </w:tc>
        <w:tc>
          <w:tcPr>
            <w:tcW w:w="1227" w:type="dxa"/>
            <w:tcBorders>
              <w:top w:val="nil"/>
              <w:left w:val="nil"/>
              <w:bottom w:val="single" w:color="auto" w:sz="4" w:space="0"/>
              <w:right w:val="single" w:color="auto" w:sz="4" w:space="0"/>
            </w:tcBorders>
            <w:noWrap/>
            <w:vAlign w:val="center"/>
          </w:tcPr>
          <w:p w14:paraId="5D7B8E5B">
            <w:pPr>
              <w:widowControl/>
              <w:jc w:val="center"/>
              <w:rPr>
                <w:rFonts w:ascii="仿宋" w:hAnsi="仿宋" w:eastAsia="仿宋"/>
                <w:sz w:val="24"/>
                <w:szCs w:val="24"/>
              </w:rPr>
            </w:pPr>
            <w:r>
              <w:rPr>
                <w:rFonts w:hint="eastAsia" w:ascii="仿宋" w:hAnsi="仿宋" w:eastAsia="仿宋"/>
                <w:sz w:val="24"/>
                <w:szCs w:val="24"/>
              </w:rPr>
              <w:t xml:space="preserve">附加险               </w:t>
            </w:r>
          </w:p>
        </w:tc>
        <w:tc>
          <w:tcPr>
            <w:tcW w:w="2316" w:type="dxa"/>
            <w:tcBorders>
              <w:top w:val="nil"/>
              <w:left w:val="nil"/>
              <w:bottom w:val="single" w:color="auto" w:sz="4" w:space="0"/>
              <w:right w:val="single" w:color="auto" w:sz="4" w:space="0"/>
            </w:tcBorders>
            <w:noWrap/>
            <w:vAlign w:val="center"/>
          </w:tcPr>
          <w:p w14:paraId="5EC40205">
            <w:pPr>
              <w:widowControl/>
              <w:jc w:val="left"/>
              <w:rPr>
                <w:rFonts w:ascii="仿宋" w:hAnsi="仿宋" w:eastAsia="仿宋"/>
                <w:sz w:val="24"/>
                <w:szCs w:val="24"/>
              </w:rPr>
            </w:pPr>
            <w:r>
              <w:rPr>
                <w:rFonts w:hint="eastAsia" w:ascii="仿宋" w:hAnsi="仿宋" w:eastAsia="仿宋"/>
                <w:sz w:val="24"/>
                <w:szCs w:val="24"/>
              </w:rPr>
              <w:t>按保险公司报备保险监管部门的校（园）方责任保险附加校（园）方无过失责任保险条款执行。</w:t>
            </w:r>
          </w:p>
        </w:tc>
        <w:tc>
          <w:tcPr>
            <w:tcW w:w="1276" w:type="dxa"/>
            <w:tcBorders>
              <w:top w:val="nil"/>
              <w:left w:val="nil"/>
              <w:bottom w:val="single" w:color="auto" w:sz="4" w:space="0"/>
              <w:right w:val="single" w:color="auto" w:sz="4" w:space="0"/>
            </w:tcBorders>
            <w:noWrap/>
            <w:vAlign w:val="center"/>
          </w:tcPr>
          <w:p w14:paraId="6FD56635">
            <w:pPr>
              <w:widowControl/>
              <w:jc w:val="center"/>
              <w:rPr>
                <w:rFonts w:ascii="仿宋" w:hAnsi="仿宋" w:eastAsia="仿宋"/>
                <w:sz w:val="24"/>
                <w:szCs w:val="24"/>
              </w:rPr>
            </w:pPr>
            <w:r>
              <w:rPr>
                <w:rFonts w:hint="eastAsia" w:ascii="仿宋" w:hAnsi="仿宋" w:eastAsia="仿宋"/>
                <w:sz w:val="24"/>
                <w:szCs w:val="24"/>
              </w:rPr>
              <w:t>20万元</w:t>
            </w:r>
          </w:p>
        </w:tc>
        <w:tc>
          <w:tcPr>
            <w:tcW w:w="1418" w:type="dxa"/>
            <w:tcBorders>
              <w:top w:val="nil"/>
              <w:left w:val="nil"/>
              <w:bottom w:val="single" w:color="auto" w:sz="4" w:space="0"/>
              <w:right w:val="single" w:color="auto" w:sz="4" w:space="0"/>
            </w:tcBorders>
            <w:noWrap/>
            <w:vAlign w:val="center"/>
          </w:tcPr>
          <w:p w14:paraId="10A741A4">
            <w:pPr>
              <w:widowControl/>
              <w:jc w:val="center"/>
              <w:rPr>
                <w:rFonts w:ascii="仿宋" w:hAnsi="仿宋" w:eastAsia="仿宋"/>
                <w:sz w:val="24"/>
                <w:szCs w:val="24"/>
              </w:rPr>
            </w:pPr>
            <w:r>
              <w:rPr>
                <w:rFonts w:hint="eastAsia" w:ascii="仿宋" w:hAnsi="仿宋" w:eastAsia="仿宋"/>
                <w:sz w:val="24"/>
                <w:szCs w:val="24"/>
              </w:rPr>
              <w:t>150万元</w:t>
            </w:r>
          </w:p>
        </w:tc>
        <w:tc>
          <w:tcPr>
            <w:tcW w:w="1417" w:type="dxa"/>
            <w:tcBorders>
              <w:top w:val="nil"/>
              <w:left w:val="nil"/>
              <w:bottom w:val="single" w:color="auto" w:sz="4" w:space="0"/>
              <w:right w:val="single" w:color="auto" w:sz="4" w:space="0"/>
            </w:tcBorders>
            <w:noWrap/>
            <w:vAlign w:val="center"/>
          </w:tcPr>
          <w:p w14:paraId="3EC2717D">
            <w:pPr>
              <w:widowControl/>
              <w:jc w:val="center"/>
              <w:rPr>
                <w:rFonts w:ascii="仿宋" w:hAnsi="仿宋" w:eastAsia="仿宋"/>
                <w:sz w:val="24"/>
                <w:szCs w:val="24"/>
              </w:rPr>
            </w:pPr>
            <w:r>
              <w:rPr>
                <w:rFonts w:hint="eastAsia" w:ascii="仿宋" w:hAnsi="仿宋" w:eastAsia="仿宋"/>
                <w:sz w:val="24"/>
                <w:szCs w:val="24"/>
              </w:rPr>
              <w:t>300万元</w:t>
            </w:r>
          </w:p>
        </w:tc>
      </w:tr>
    </w:tbl>
    <w:p w14:paraId="1929F356"/>
    <w:p w14:paraId="2D3F112F">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sz w:val="24"/>
          <w:szCs w:val="24"/>
          <w:lang w:val="en-US" w:eastAsia="zh-CN"/>
        </w:rPr>
        <w:t>4.</w:t>
      </w:r>
      <w:r>
        <w:rPr>
          <w:rFonts w:hint="eastAsia" w:ascii="仿宋" w:hAnsi="仿宋" w:eastAsia="仿宋"/>
          <w:sz w:val="24"/>
          <w:szCs w:val="24"/>
        </w:rPr>
        <w:t>采购预算：12</w:t>
      </w:r>
      <w:r>
        <w:rPr>
          <w:rFonts w:ascii="仿宋" w:hAnsi="仿宋" w:eastAsia="仿宋"/>
          <w:sz w:val="24"/>
          <w:szCs w:val="24"/>
        </w:rPr>
        <w:t>万元</w:t>
      </w:r>
      <w:r>
        <w:rPr>
          <w:rFonts w:hint="eastAsia" w:ascii="仿宋" w:hAnsi="仿宋" w:eastAsia="仿宋"/>
          <w:sz w:val="24"/>
          <w:szCs w:val="24"/>
        </w:rPr>
        <w:t>。</w:t>
      </w:r>
    </w:p>
    <w:p w14:paraId="235A464B">
      <w:pPr>
        <w:spacing w:before="156" w:beforeLines="50" w:line="360" w:lineRule="auto"/>
        <w:ind w:left="420" w:leftChars="200"/>
        <w:rPr>
          <w:rFonts w:ascii="仿宋" w:hAnsi="仿宋" w:eastAsia="仿宋"/>
          <w:sz w:val="24"/>
          <w:szCs w:val="24"/>
        </w:rPr>
      </w:pPr>
    </w:p>
    <w:p w14:paraId="33B81865">
      <w:pPr>
        <w:pStyle w:val="15"/>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71A612BD">
      <w:pPr>
        <w:pStyle w:val="15"/>
        <w:snapToGrid w:val="0"/>
        <w:spacing w:before="0" w:beforeAutospacing="0" w:after="0" w:line="360" w:lineRule="auto"/>
        <w:ind w:left="0" w:leftChars="0" w:firstLine="480" w:firstLineChars="200"/>
        <w:jc w:val="left"/>
        <w:rPr>
          <w:rFonts w:ascii="仿宋" w:hAnsi="仿宋" w:eastAsia="仿宋"/>
          <w:sz w:val="24"/>
          <w:szCs w:val="24"/>
        </w:rPr>
      </w:pPr>
      <w:bookmarkStart w:id="5" w:name="_Toc58335831"/>
      <w:r>
        <w:rPr>
          <w:rFonts w:hint="eastAsia" w:ascii="仿宋" w:hAnsi="仿宋" w:eastAsia="仿宋"/>
          <w:sz w:val="24"/>
          <w:szCs w:val="24"/>
        </w:rPr>
        <w:t>1、基本资格条件：供应商必须是在中华人民共和国境内注册登记的法人、其他组织或者自然人，且应当符合下列规定，即：</w:t>
      </w:r>
    </w:p>
    <w:p w14:paraId="2B2B32BF">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43D03ADF">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66556D84">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2E8AA85B">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（4）有依法缴纳税收的良好记录；</w:t>
      </w:r>
    </w:p>
    <w:p w14:paraId="67F2B626">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423AF9DD">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（6）法律、行政法规规定的其他条件。</w:t>
      </w:r>
    </w:p>
    <w:p w14:paraId="2F62E566">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2、特定资格条件：</w:t>
      </w:r>
    </w:p>
    <w:p w14:paraId="70DF5402">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（1）供应商或其母公司或其集团公司具有国家保监会颁发的有效《经营保险业务许可证》；</w:t>
      </w:r>
    </w:p>
    <w:p w14:paraId="24539340">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（2）本项目允许保险公司的分支机构参加采购活动，但同属一个单位的，只能由一个分支机构参与本项目投标。</w:t>
      </w:r>
    </w:p>
    <w:p w14:paraId="49FEFAB1">
      <w:pPr>
        <w:pStyle w:val="15"/>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2D485CB0">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eastAsia="zh-CN"/>
        </w:rPr>
        <w:t>1.</w:t>
      </w:r>
      <w:r>
        <w:rPr>
          <w:rFonts w:hint="eastAsia" w:ascii="仿宋" w:hAnsi="仿宋" w:eastAsia="仿宋"/>
          <w:sz w:val="24"/>
          <w:szCs w:val="24"/>
        </w:rPr>
        <w:t>首次响应文件的提交截止时间：2025年8月2</w:t>
      </w:r>
      <w:r>
        <w:rPr>
          <w:rFonts w:hint="eastAsia" w:ascii="仿宋" w:hAnsi="仿宋" w:eastAsia="仿宋"/>
          <w:sz w:val="24"/>
          <w:szCs w:val="24"/>
          <w:lang w:val="en-US" w:eastAsia="zh-CN"/>
        </w:rPr>
        <w:t>9</w:t>
      </w:r>
      <w:r>
        <w:rPr>
          <w:rFonts w:hint="eastAsia" w:ascii="仿宋" w:hAnsi="仿宋" w:eastAsia="仿宋"/>
          <w:sz w:val="24"/>
          <w:szCs w:val="24"/>
        </w:rPr>
        <w:t>日10时</w:t>
      </w:r>
    </w:p>
    <w:p w14:paraId="1AAFFA21">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eastAsia="zh-CN"/>
        </w:rPr>
        <w:t>2.</w:t>
      </w:r>
      <w:r>
        <w:rPr>
          <w:rFonts w:hint="eastAsia" w:ascii="仿宋" w:hAnsi="仿宋" w:eastAsia="仿宋"/>
          <w:sz w:val="24"/>
          <w:szCs w:val="24"/>
        </w:rPr>
        <w:t>首次响应文件的开启时间：2025年8月2</w:t>
      </w:r>
      <w:r>
        <w:rPr>
          <w:rFonts w:hint="eastAsia" w:ascii="仿宋" w:hAnsi="仿宋" w:eastAsia="仿宋"/>
          <w:sz w:val="24"/>
          <w:szCs w:val="24"/>
          <w:lang w:val="en-US" w:eastAsia="zh-CN"/>
        </w:rPr>
        <w:t>9</w:t>
      </w:r>
      <w:r>
        <w:rPr>
          <w:rFonts w:hint="eastAsia" w:ascii="仿宋" w:hAnsi="仿宋" w:eastAsia="仿宋"/>
          <w:sz w:val="24"/>
          <w:szCs w:val="24"/>
        </w:rPr>
        <w:t>日10时</w:t>
      </w:r>
    </w:p>
    <w:p w14:paraId="10693C8B">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eastAsia="zh-CN"/>
        </w:rPr>
        <w:t>3.</w:t>
      </w:r>
      <w:r>
        <w:rPr>
          <w:rFonts w:hint="eastAsia" w:ascii="仿宋" w:hAnsi="仿宋" w:eastAsia="仿宋"/>
          <w:sz w:val="24"/>
          <w:szCs w:val="24"/>
        </w:rPr>
        <w:t>首次响应文件的开启地点：湖南铁道职业技术学院</w:t>
      </w:r>
    </w:p>
    <w:p w14:paraId="03D342E7">
      <w:pPr>
        <w:pStyle w:val="3"/>
        <w:snapToGrid w:val="0"/>
        <w:spacing w:before="0" w:after="0" w:line="360" w:lineRule="auto"/>
        <w:ind w:firstLine="470"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322ED751">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lang w:eastAsia="zh-CN"/>
        </w:rPr>
        <w:t>1.</w:t>
      </w:r>
      <w:r>
        <w:rPr>
          <w:rFonts w:hint="eastAsia" w:ascii="仿宋" w:hAnsi="仿宋" w:eastAsia="仿宋" w:cstheme="minorEastAsia"/>
          <w:sz w:val="24"/>
          <w:szCs w:val="24"/>
        </w:rPr>
        <w:t>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6C902312">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B4F62F5">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lang w:eastAsia="zh-CN"/>
        </w:rPr>
        <w:t>1.</w:t>
      </w:r>
      <w:r>
        <w:rPr>
          <w:rFonts w:hint="eastAsia" w:ascii="仿宋" w:hAnsi="仿宋" w:eastAsia="仿宋" w:cstheme="minorEastAsia"/>
          <w:sz w:val="24"/>
          <w:szCs w:val="24"/>
        </w:rPr>
        <w:t>潜在投标人对采购活动事项如有疑问的，可以向采购人提出询问。采购人将在3个工作日内作出答复。</w:t>
      </w:r>
    </w:p>
    <w:p w14:paraId="2EDEA50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lang w:eastAsia="zh-CN"/>
        </w:rPr>
        <w:t>2.</w:t>
      </w:r>
      <w:r>
        <w:rPr>
          <w:rFonts w:hint="eastAsia" w:ascii="仿宋" w:hAnsi="仿宋" w:eastAsia="仿宋" w:cstheme="minorEastAsia"/>
          <w:sz w:val="24"/>
          <w:szCs w:val="24"/>
        </w:rPr>
        <w:t>潜在投标人认为招标文件或招标公告使自己的合法权益受到损害的，可以在收到招标文件之日或招标公告期限届满之日起7个工作日内，以书面形式向采购人提出质疑。</w:t>
      </w:r>
    </w:p>
    <w:p w14:paraId="061931DD">
      <w:pPr>
        <w:pStyle w:val="3"/>
        <w:snapToGrid w:val="0"/>
        <w:spacing w:before="0" w:after="0" w:line="360" w:lineRule="auto"/>
        <w:ind w:firstLine="470"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6AFDC7F5">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lang w:eastAsia="zh-CN"/>
        </w:rPr>
        <w:t>1.</w:t>
      </w:r>
      <w:r>
        <w:rPr>
          <w:rFonts w:hint="eastAsia" w:ascii="仿宋" w:hAnsi="仿宋" w:eastAsia="仿宋" w:cstheme="minorEastAsia"/>
          <w:sz w:val="24"/>
          <w:szCs w:val="24"/>
        </w:rPr>
        <w:t>采购项目</w:t>
      </w:r>
    </w:p>
    <w:p w14:paraId="1144F97D">
      <w:pPr>
        <w:snapToGrid w:val="0"/>
        <w:spacing w:line="360" w:lineRule="auto"/>
        <w:ind w:firstLine="480" w:firstLineChars="200"/>
        <w:jc w:val="left"/>
        <w:rPr>
          <w:rFonts w:ascii="仿宋" w:hAnsi="仿宋" w:eastAsia="仿宋" w:cstheme="minorEastAsia"/>
          <w:sz w:val="24"/>
          <w:szCs w:val="24"/>
          <w:u w:val="single"/>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胡</w:t>
      </w:r>
      <w:r>
        <w:rPr>
          <w:rFonts w:hint="eastAsia" w:ascii="仿宋" w:hAnsi="仿宋" w:eastAsia="仿宋" w:cstheme="minorEastAsia"/>
          <w:sz w:val="24"/>
          <w:szCs w:val="24"/>
        </w:rPr>
        <w:t>老师</w:t>
      </w:r>
    </w:p>
    <w:p w14:paraId="09829525">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电 话：15697338094</w:t>
      </w:r>
    </w:p>
    <w:p w14:paraId="32D1D853">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lang w:eastAsia="zh-CN"/>
        </w:rPr>
        <w:t>2.</w:t>
      </w:r>
      <w:r>
        <w:rPr>
          <w:rFonts w:hint="eastAsia" w:ascii="仿宋" w:hAnsi="仿宋" w:eastAsia="仿宋" w:cstheme="minorEastAsia"/>
          <w:sz w:val="24"/>
          <w:szCs w:val="24"/>
        </w:rPr>
        <w:t>采购人</w:t>
      </w:r>
    </w:p>
    <w:p w14:paraId="632D1B8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6BB3EFAD">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CFC9B6A">
      <w:pPr>
        <w:pStyle w:val="15"/>
        <w:ind w:left="0" w:leftChars="0" w:firstLine="0"/>
        <w:jc w:val="center"/>
        <w:rPr>
          <w:rFonts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2FBA8F8F">
      <w:pPr>
        <w:snapToGrid w:val="0"/>
        <w:spacing w:line="360" w:lineRule="auto"/>
        <w:ind w:firstLine="482" w:firstLineChars="200"/>
        <w:rPr>
          <w:rFonts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04B4DB5D">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lang w:eastAsia="zh-CN"/>
        </w:rPr>
        <w:t>1.</w:t>
      </w:r>
      <w:r>
        <w:rPr>
          <w:rFonts w:hint="eastAsia" w:ascii="仿宋" w:hAnsi="仿宋" w:eastAsia="仿宋" w:cs="仿宋"/>
          <w:color w:val="333333"/>
          <w:kern w:val="0"/>
          <w:sz w:val="24"/>
          <w:szCs w:val="24"/>
        </w:rPr>
        <w:t>项目名称：校方责任险项目</w:t>
      </w:r>
    </w:p>
    <w:p w14:paraId="1AE74527">
      <w:pPr>
        <w:pStyle w:val="40"/>
        <w:adjustRightInd w:val="0"/>
        <w:snapToGrid w:val="0"/>
        <w:spacing w:line="360" w:lineRule="auto"/>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2、服务期限：2025年9月1日至2026年2月28日</w:t>
      </w:r>
    </w:p>
    <w:p w14:paraId="0F3F501C">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二、服务内容及要求</w:t>
      </w:r>
    </w:p>
    <w:p w14:paraId="778F9B21">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1、服务内容</w:t>
      </w:r>
    </w:p>
    <w:p w14:paraId="57C7B149">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（1）保险对象：2025年秋季实际在校在籍学生（</w:t>
      </w:r>
      <w:r>
        <w:rPr>
          <w:rFonts w:hint="eastAsia" w:ascii="仿宋" w:hAnsi="仿宋" w:eastAsia="仿宋"/>
          <w:sz w:val="24"/>
          <w:szCs w:val="24"/>
          <w:lang w:val="en-US" w:eastAsia="zh-CN"/>
        </w:rPr>
        <w:t>预计</w:t>
      </w:r>
      <w:r>
        <w:rPr>
          <w:rFonts w:hint="eastAsia" w:ascii="仿宋" w:hAnsi="仿宋" w:eastAsia="仿宋"/>
          <w:sz w:val="24"/>
          <w:szCs w:val="24"/>
        </w:rPr>
        <w:t>12000人）；</w:t>
      </w:r>
    </w:p>
    <w:p w14:paraId="4C670B39">
      <w:pPr>
        <w:ind w:firstLine="480" w:firstLineChars="200"/>
        <w:rPr>
          <w:rFonts w:ascii="仿宋" w:hAnsi="仿宋" w:eastAsia="仿宋"/>
          <w:sz w:val="24"/>
          <w:szCs w:val="24"/>
        </w:rPr>
      </w:pPr>
      <w:r>
        <w:rPr>
          <w:rFonts w:hint="eastAsia" w:ascii="仿宋" w:hAnsi="仿宋" w:eastAsia="仿宋"/>
          <w:sz w:val="24"/>
          <w:szCs w:val="24"/>
        </w:rPr>
        <w:t>（2）保障内容：</w:t>
      </w:r>
    </w:p>
    <w:tbl>
      <w:tblPr>
        <w:tblStyle w:val="16"/>
        <w:tblW w:w="8896" w:type="dxa"/>
        <w:tblInd w:w="0" w:type="dxa"/>
        <w:tblLayout w:type="autofit"/>
        <w:tblCellMar>
          <w:top w:w="0" w:type="dxa"/>
          <w:left w:w="108" w:type="dxa"/>
          <w:bottom w:w="0" w:type="dxa"/>
          <w:right w:w="108" w:type="dxa"/>
        </w:tblCellMar>
      </w:tblPr>
      <w:tblGrid>
        <w:gridCol w:w="546"/>
        <w:gridCol w:w="696"/>
        <w:gridCol w:w="1134"/>
        <w:gridCol w:w="2409"/>
        <w:gridCol w:w="1276"/>
        <w:gridCol w:w="1418"/>
        <w:gridCol w:w="1417"/>
      </w:tblGrid>
      <w:tr w14:paraId="3C201A4B">
        <w:tblPrEx>
          <w:tblCellMar>
            <w:top w:w="0" w:type="dxa"/>
            <w:left w:w="108" w:type="dxa"/>
            <w:bottom w:w="0" w:type="dxa"/>
            <w:right w:w="108" w:type="dxa"/>
          </w:tblCellMar>
        </w:tblPrEx>
        <w:trPr>
          <w:trHeight w:val="405" w:hRule="atLeast"/>
        </w:trPr>
        <w:tc>
          <w:tcPr>
            <w:tcW w:w="1242"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90F24A9">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保障项目</w:t>
            </w:r>
          </w:p>
        </w:tc>
        <w:tc>
          <w:tcPr>
            <w:tcW w:w="1134" w:type="dxa"/>
            <w:tcBorders>
              <w:top w:val="single" w:color="auto" w:sz="4" w:space="0"/>
              <w:left w:val="nil"/>
              <w:bottom w:val="single" w:color="auto" w:sz="4" w:space="0"/>
              <w:right w:val="single" w:color="auto" w:sz="4" w:space="0"/>
            </w:tcBorders>
            <w:noWrap/>
            <w:vAlign w:val="center"/>
          </w:tcPr>
          <w:p w14:paraId="563225B9">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保费标准</w:t>
            </w:r>
          </w:p>
        </w:tc>
        <w:tc>
          <w:tcPr>
            <w:tcW w:w="2409" w:type="dxa"/>
            <w:vMerge w:val="restart"/>
            <w:tcBorders>
              <w:top w:val="single" w:color="auto" w:sz="4" w:space="0"/>
              <w:left w:val="single" w:color="auto" w:sz="4" w:space="0"/>
              <w:bottom w:val="single" w:color="auto" w:sz="4" w:space="0"/>
              <w:right w:val="single" w:color="auto" w:sz="4" w:space="0"/>
            </w:tcBorders>
            <w:noWrap/>
            <w:vAlign w:val="center"/>
          </w:tcPr>
          <w:p w14:paraId="29D079AD">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释义</w:t>
            </w:r>
          </w:p>
        </w:tc>
        <w:tc>
          <w:tcPr>
            <w:tcW w:w="4111" w:type="dxa"/>
            <w:gridSpan w:val="3"/>
            <w:tcBorders>
              <w:top w:val="single" w:color="auto" w:sz="4" w:space="0"/>
              <w:left w:val="nil"/>
              <w:bottom w:val="single" w:color="auto" w:sz="4" w:space="0"/>
              <w:right w:val="single" w:color="auto" w:sz="4" w:space="0"/>
            </w:tcBorders>
            <w:noWrap/>
            <w:vAlign w:val="center"/>
          </w:tcPr>
          <w:p w14:paraId="6BE193B2">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保障额度</w:t>
            </w:r>
          </w:p>
        </w:tc>
      </w:tr>
      <w:tr w14:paraId="60E5EADC">
        <w:tblPrEx>
          <w:tblCellMar>
            <w:top w:w="0" w:type="dxa"/>
            <w:left w:w="108" w:type="dxa"/>
            <w:bottom w:w="0" w:type="dxa"/>
            <w:right w:w="108" w:type="dxa"/>
          </w:tblCellMar>
        </w:tblPrEx>
        <w:trPr>
          <w:trHeight w:val="600" w:hRule="atLeast"/>
        </w:trPr>
        <w:tc>
          <w:tcPr>
            <w:tcW w:w="124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BB8ACE0">
            <w:pPr>
              <w:widowControl/>
              <w:jc w:val="left"/>
              <w:rPr>
                <w:rFonts w:hint="eastAsia" w:ascii="仿宋" w:hAnsi="仿宋" w:eastAsia="仿宋" w:cs="仿宋"/>
                <w:color w:val="000000"/>
                <w:kern w:val="0"/>
                <w:sz w:val="22"/>
              </w:rPr>
            </w:pPr>
          </w:p>
        </w:tc>
        <w:tc>
          <w:tcPr>
            <w:tcW w:w="1134" w:type="dxa"/>
            <w:tcBorders>
              <w:top w:val="nil"/>
              <w:left w:val="nil"/>
              <w:bottom w:val="single" w:color="auto" w:sz="4" w:space="0"/>
              <w:right w:val="single" w:color="auto" w:sz="4" w:space="0"/>
            </w:tcBorders>
            <w:noWrap/>
            <w:vAlign w:val="center"/>
          </w:tcPr>
          <w:p w14:paraId="6EFFA573">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10元/人/半年</w:t>
            </w:r>
          </w:p>
        </w:tc>
        <w:tc>
          <w:tcPr>
            <w:tcW w:w="2409" w:type="dxa"/>
            <w:vMerge w:val="continue"/>
            <w:tcBorders>
              <w:top w:val="single" w:color="auto" w:sz="4" w:space="0"/>
              <w:left w:val="single" w:color="auto" w:sz="4" w:space="0"/>
              <w:bottom w:val="single" w:color="auto" w:sz="4" w:space="0"/>
              <w:right w:val="single" w:color="auto" w:sz="4" w:space="0"/>
            </w:tcBorders>
            <w:noWrap/>
            <w:vAlign w:val="center"/>
          </w:tcPr>
          <w:p w14:paraId="008BAC43">
            <w:pPr>
              <w:widowControl/>
              <w:jc w:val="left"/>
              <w:rPr>
                <w:rFonts w:hint="eastAsia" w:ascii="仿宋" w:hAnsi="仿宋" w:eastAsia="仿宋" w:cs="仿宋"/>
                <w:color w:val="000000"/>
                <w:kern w:val="0"/>
                <w:sz w:val="22"/>
              </w:rPr>
            </w:pPr>
          </w:p>
        </w:tc>
        <w:tc>
          <w:tcPr>
            <w:tcW w:w="1276" w:type="dxa"/>
            <w:tcBorders>
              <w:top w:val="nil"/>
              <w:left w:val="nil"/>
              <w:bottom w:val="single" w:color="auto" w:sz="4" w:space="0"/>
              <w:right w:val="single" w:color="auto" w:sz="4" w:space="0"/>
            </w:tcBorders>
            <w:noWrap/>
            <w:vAlign w:val="center"/>
          </w:tcPr>
          <w:p w14:paraId="30665A3D">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每生每年</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累计限额</w:t>
            </w:r>
          </w:p>
        </w:tc>
        <w:tc>
          <w:tcPr>
            <w:tcW w:w="1418" w:type="dxa"/>
            <w:tcBorders>
              <w:top w:val="nil"/>
              <w:left w:val="nil"/>
              <w:bottom w:val="single" w:color="auto" w:sz="4" w:space="0"/>
              <w:right w:val="single" w:color="auto" w:sz="4" w:space="0"/>
            </w:tcBorders>
            <w:noWrap/>
            <w:vAlign w:val="center"/>
          </w:tcPr>
          <w:p w14:paraId="45ED15B4">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每校</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每次限额</w:t>
            </w:r>
          </w:p>
        </w:tc>
        <w:tc>
          <w:tcPr>
            <w:tcW w:w="1417" w:type="dxa"/>
            <w:tcBorders>
              <w:top w:val="nil"/>
              <w:left w:val="nil"/>
              <w:bottom w:val="single" w:color="auto" w:sz="4" w:space="0"/>
              <w:right w:val="single" w:color="auto" w:sz="4" w:space="0"/>
            </w:tcBorders>
            <w:noWrap/>
            <w:vAlign w:val="center"/>
          </w:tcPr>
          <w:p w14:paraId="45E29931">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每校全年</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累计限额</w:t>
            </w:r>
          </w:p>
        </w:tc>
      </w:tr>
      <w:tr w14:paraId="611FBCA3">
        <w:tblPrEx>
          <w:tblCellMar>
            <w:top w:w="0" w:type="dxa"/>
            <w:left w:w="108" w:type="dxa"/>
            <w:bottom w:w="0" w:type="dxa"/>
            <w:right w:w="108" w:type="dxa"/>
          </w:tblCellMar>
        </w:tblPrEx>
        <w:trPr>
          <w:trHeight w:val="84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0678C427">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校园责任</w:t>
            </w:r>
          </w:p>
        </w:tc>
        <w:tc>
          <w:tcPr>
            <w:tcW w:w="1134" w:type="dxa"/>
            <w:vMerge w:val="restart"/>
            <w:tcBorders>
              <w:top w:val="nil"/>
              <w:left w:val="single" w:color="auto" w:sz="4" w:space="0"/>
              <w:bottom w:val="single" w:color="000000" w:sz="4" w:space="0"/>
              <w:right w:val="single" w:color="auto" w:sz="4" w:space="0"/>
            </w:tcBorders>
            <w:noWrap/>
            <w:vAlign w:val="center"/>
          </w:tcPr>
          <w:p w14:paraId="798FA8AD">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主险</w:t>
            </w:r>
            <w:r>
              <w:rPr>
                <w:rFonts w:hint="eastAsia" w:ascii="仿宋" w:hAnsi="仿宋" w:eastAsia="仿宋" w:cs="仿宋"/>
                <w:color w:val="000000"/>
                <w:kern w:val="0"/>
                <w:sz w:val="22"/>
              </w:rPr>
              <w:br w:type="textWrapping"/>
            </w:r>
          </w:p>
        </w:tc>
        <w:tc>
          <w:tcPr>
            <w:tcW w:w="2409" w:type="dxa"/>
            <w:tcBorders>
              <w:top w:val="nil"/>
              <w:left w:val="nil"/>
              <w:bottom w:val="single" w:color="auto" w:sz="4" w:space="0"/>
              <w:right w:val="single" w:color="auto" w:sz="4" w:space="0"/>
            </w:tcBorders>
            <w:noWrap/>
            <w:vAlign w:val="center"/>
          </w:tcPr>
          <w:p w14:paraId="4DDDD87D">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按保险公司报备保险监管部门的校(园)方责任保险条款产品执行和承担保险责任。</w:t>
            </w:r>
          </w:p>
        </w:tc>
        <w:tc>
          <w:tcPr>
            <w:tcW w:w="1276" w:type="dxa"/>
            <w:tcBorders>
              <w:top w:val="nil"/>
              <w:left w:val="nil"/>
              <w:bottom w:val="single" w:color="auto" w:sz="4" w:space="0"/>
              <w:right w:val="single" w:color="auto" w:sz="4" w:space="0"/>
            </w:tcBorders>
            <w:noWrap/>
            <w:vAlign w:val="center"/>
          </w:tcPr>
          <w:p w14:paraId="7BCEFD92">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90万元</w:t>
            </w:r>
          </w:p>
        </w:tc>
        <w:tc>
          <w:tcPr>
            <w:tcW w:w="1418" w:type="dxa"/>
            <w:tcBorders>
              <w:top w:val="nil"/>
              <w:left w:val="nil"/>
              <w:bottom w:val="single" w:color="auto" w:sz="4" w:space="0"/>
              <w:right w:val="single" w:color="auto" w:sz="4" w:space="0"/>
            </w:tcBorders>
            <w:noWrap/>
            <w:vAlign w:val="center"/>
          </w:tcPr>
          <w:p w14:paraId="070082C1">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800万元</w:t>
            </w:r>
          </w:p>
        </w:tc>
        <w:tc>
          <w:tcPr>
            <w:tcW w:w="1417" w:type="dxa"/>
            <w:tcBorders>
              <w:top w:val="nil"/>
              <w:left w:val="nil"/>
              <w:bottom w:val="single" w:color="auto" w:sz="4" w:space="0"/>
              <w:right w:val="single" w:color="auto" w:sz="4" w:space="0"/>
            </w:tcBorders>
            <w:noWrap/>
            <w:vAlign w:val="center"/>
          </w:tcPr>
          <w:p w14:paraId="2186242E">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1500万元</w:t>
            </w:r>
          </w:p>
        </w:tc>
      </w:tr>
      <w:tr w14:paraId="17668122">
        <w:tblPrEx>
          <w:tblCellMar>
            <w:top w:w="0" w:type="dxa"/>
            <w:left w:w="108" w:type="dxa"/>
            <w:bottom w:w="0" w:type="dxa"/>
            <w:right w:w="108" w:type="dxa"/>
          </w:tblCellMar>
        </w:tblPrEx>
        <w:trPr>
          <w:trHeight w:val="870" w:hRule="atLeast"/>
        </w:trPr>
        <w:tc>
          <w:tcPr>
            <w:tcW w:w="546" w:type="dxa"/>
            <w:vMerge w:val="restart"/>
            <w:tcBorders>
              <w:top w:val="nil"/>
              <w:left w:val="single" w:color="auto" w:sz="4" w:space="0"/>
              <w:bottom w:val="single" w:color="auto" w:sz="4" w:space="0"/>
              <w:right w:val="single" w:color="auto" w:sz="4" w:space="0"/>
            </w:tcBorders>
            <w:noWrap/>
            <w:vAlign w:val="center"/>
          </w:tcPr>
          <w:p w14:paraId="293B3F48">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校外</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责任</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(由学    校组织</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的)</w:t>
            </w:r>
          </w:p>
        </w:tc>
        <w:tc>
          <w:tcPr>
            <w:tcW w:w="696" w:type="dxa"/>
            <w:tcBorders>
              <w:top w:val="nil"/>
              <w:left w:val="nil"/>
              <w:bottom w:val="single" w:color="auto" w:sz="4" w:space="0"/>
              <w:right w:val="single" w:color="auto" w:sz="4" w:space="0"/>
            </w:tcBorders>
            <w:noWrap/>
            <w:vAlign w:val="center"/>
          </w:tcPr>
          <w:p w14:paraId="229927CA">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研学</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旅行</w:t>
            </w:r>
          </w:p>
        </w:tc>
        <w:tc>
          <w:tcPr>
            <w:tcW w:w="1134" w:type="dxa"/>
            <w:vMerge w:val="continue"/>
            <w:tcBorders>
              <w:top w:val="nil"/>
              <w:left w:val="single" w:color="auto" w:sz="4" w:space="0"/>
              <w:bottom w:val="single" w:color="000000" w:sz="4" w:space="0"/>
              <w:right w:val="single" w:color="auto" w:sz="4" w:space="0"/>
            </w:tcBorders>
            <w:noWrap/>
            <w:vAlign w:val="center"/>
          </w:tcPr>
          <w:p w14:paraId="31E8D926">
            <w:pPr>
              <w:widowControl/>
              <w:jc w:val="left"/>
              <w:rPr>
                <w:rFonts w:hint="eastAsia" w:ascii="仿宋" w:hAnsi="仿宋" w:eastAsia="仿宋" w:cs="仿宋"/>
                <w:color w:val="000000"/>
                <w:kern w:val="0"/>
                <w:sz w:val="22"/>
              </w:rPr>
            </w:pPr>
          </w:p>
        </w:tc>
        <w:tc>
          <w:tcPr>
            <w:tcW w:w="2409" w:type="dxa"/>
            <w:tcBorders>
              <w:top w:val="nil"/>
              <w:left w:val="nil"/>
              <w:bottom w:val="single" w:color="auto" w:sz="4" w:space="0"/>
              <w:right w:val="single" w:color="auto" w:sz="4" w:space="0"/>
            </w:tcBorders>
            <w:noWrap/>
            <w:vAlign w:val="center"/>
          </w:tcPr>
          <w:p w14:paraId="522A6929">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教育部等11 部委文件要求(教基一[2016)8号)开展的研学旅行活动。</w:t>
            </w:r>
          </w:p>
        </w:tc>
        <w:tc>
          <w:tcPr>
            <w:tcW w:w="1276" w:type="dxa"/>
            <w:tcBorders>
              <w:top w:val="nil"/>
              <w:left w:val="nil"/>
              <w:bottom w:val="single" w:color="auto" w:sz="4" w:space="0"/>
              <w:right w:val="single" w:color="auto" w:sz="4" w:space="0"/>
            </w:tcBorders>
            <w:noWrap/>
            <w:vAlign w:val="center"/>
          </w:tcPr>
          <w:p w14:paraId="1C28E64B">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90万元</w:t>
            </w:r>
          </w:p>
        </w:tc>
        <w:tc>
          <w:tcPr>
            <w:tcW w:w="1418" w:type="dxa"/>
            <w:tcBorders>
              <w:top w:val="nil"/>
              <w:left w:val="nil"/>
              <w:bottom w:val="single" w:color="auto" w:sz="4" w:space="0"/>
              <w:right w:val="single" w:color="auto" w:sz="4" w:space="0"/>
            </w:tcBorders>
            <w:noWrap/>
            <w:vAlign w:val="center"/>
          </w:tcPr>
          <w:p w14:paraId="1FEE93EB">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800万元</w:t>
            </w:r>
          </w:p>
        </w:tc>
        <w:tc>
          <w:tcPr>
            <w:tcW w:w="1417" w:type="dxa"/>
            <w:tcBorders>
              <w:top w:val="nil"/>
              <w:left w:val="nil"/>
              <w:bottom w:val="single" w:color="auto" w:sz="4" w:space="0"/>
              <w:right w:val="single" w:color="auto" w:sz="4" w:space="0"/>
            </w:tcBorders>
            <w:noWrap/>
            <w:vAlign w:val="center"/>
          </w:tcPr>
          <w:p w14:paraId="4C1E905D">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1500万元</w:t>
            </w:r>
          </w:p>
        </w:tc>
      </w:tr>
      <w:tr w14:paraId="7AD4EA4D">
        <w:tblPrEx>
          <w:tblCellMar>
            <w:top w:w="0" w:type="dxa"/>
            <w:left w:w="108" w:type="dxa"/>
            <w:bottom w:w="0" w:type="dxa"/>
            <w:right w:w="108" w:type="dxa"/>
          </w:tblCellMar>
        </w:tblPrEx>
        <w:trPr>
          <w:trHeight w:val="1110" w:hRule="atLeast"/>
        </w:trPr>
        <w:tc>
          <w:tcPr>
            <w:tcW w:w="546" w:type="dxa"/>
            <w:vMerge w:val="continue"/>
            <w:tcBorders>
              <w:top w:val="nil"/>
              <w:left w:val="single" w:color="auto" w:sz="4" w:space="0"/>
              <w:bottom w:val="single" w:color="auto" w:sz="4" w:space="0"/>
              <w:right w:val="single" w:color="auto" w:sz="4" w:space="0"/>
            </w:tcBorders>
            <w:noWrap/>
            <w:vAlign w:val="center"/>
          </w:tcPr>
          <w:p w14:paraId="059F5158">
            <w:pPr>
              <w:widowControl/>
              <w:jc w:val="left"/>
              <w:rPr>
                <w:rFonts w:hint="eastAsia" w:ascii="仿宋" w:hAnsi="仿宋" w:eastAsia="仿宋" w:cs="仿宋"/>
                <w:color w:val="000000"/>
                <w:kern w:val="0"/>
                <w:sz w:val="22"/>
              </w:rPr>
            </w:pPr>
          </w:p>
        </w:tc>
        <w:tc>
          <w:tcPr>
            <w:tcW w:w="696" w:type="dxa"/>
            <w:tcBorders>
              <w:top w:val="nil"/>
              <w:left w:val="nil"/>
              <w:bottom w:val="single" w:color="auto" w:sz="4" w:space="0"/>
              <w:right w:val="single" w:color="auto" w:sz="4" w:space="0"/>
            </w:tcBorders>
            <w:noWrap/>
            <w:vAlign w:val="center"/>
          </w:tcPr>
          <w:p w14:paraId="32F205FA">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校外</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拓展</w:t>
            </w:r>
          </w:p>
        </w:tc>
        <w:tc>
          <w:tcPr>
            <w:tcW w:w="1134" w:type="dxa"/>
            <w:vMerge w:val="continue"/>
            <w:tcBorders>
              <w:top w:val="nil"/>
              <w:left w:val="single" w:color="auto" w:sz="4" w:space="0"/>
              <w:bottom w:val="single" w:color="000000" w:sz="4" w:space="0"/>
              <w:right w:val="single" w:color="auto" w:sz="4" w:space="0"/>
            </w:tcBorders>
            <w:noWrap/>
            <w:vAlign w:val="center"/>
          </w:tcPr>
          <w:p w14:paraId="57ADF13B">
            <w:pPr>
              <w:widowControl/>
              <w:jc w:val="left"/>
              <w:rPr>
                <w:rFonts w:hint="eastAsia" w:ascii="仿宋" w:hAnsi="仿宋" w:eastAsia="仿宋" w:cs="仿宋"/>
                <w:color w:val="000000"/>
                <w:kern w:val="0"/>
                <w:sz w:val="22"/>
              </w:rPr>
            </w:pPr>
          </w:p>
        </w:tc>
        <w:tc>
          <w:tcPr>
            <w:tcW w:w="2409" w:type="dxa"/>
            <w:tcBorders>
              <w:top w:val="nil"/>
              <w:left w:val="nil"/>
              <w:bottom w:val="single" w:color="auto" w:sz="4" w:space="0"/>
              <w:right w:val="single" w:color="auto" w:sz="4" w:space="0"/>
            </w:tcBorders>
            <w:noWrap/>
            <w:vAlign w:val="center"/>
          </w:tcPr>
          <w:p w14:paraId="3B389860">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综合实践基地等校外教育活动</w:t>
            </w:r>
            <w:r>
              <w:rPr>
                <w:rFonts w:hint="eastAsia" w:ascii="仿宋" w:hAnsi="仿宋" w:eastAsia="仿宋" w:cs="仿宋"/>
                <w:color w:val="000000"/>
                <w:kern w:val="0"/>
                <w:sz w:val="22"/>
                <w:lang w:eastAsia="zh-CN"/>
              </w:rPr>
              <w:t>：</w:t>
            </w:r>
            <w:r>
              <w:rPr>
                <w:rFonts w:hint="eastAsia" w:ascii="仿宋" w:hAnsi="仿宋" w:eastAsia="仿宋" w:cs="仿宋"/>
                <w:color w:val="000000"/>
                <w:kern w:val="0"/>
                <w:sz w:val="22"/>
              </w:rPr>
              <w:t>其他短期拓展项目,如军训、体能训练、生存训练、野外露营、野炊等。</w:t>
            </w:r>
          </w:p>
        </w:tc>
        <w:tc>
          <w:tcPr>
            <w:tcW w:w="1276" w:type="dxa"/>
            <w:tcBorders>
              <w:top w:val="nil"/>
              <w:left w:val="nil"/>
              <w:bottom w:val="single" w:color="auto" w:sz="4" w:space="0"/>
              <w:right w:val="single" w:color="auto" w:sz="4" w:space="0"/>
            </w:tcBorders>
            <w:noWrap/>
            <w:vAlign w:val="center"/>
          </w:tcPr>
          <w:p w14:paraId="7C87144F">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90万元</w:t>
            </w:r>
          </w:p>
        </w:tc>
        <w:tc>
          <w:tcPr>
            <w:tcW w:w="1418" w:type="dxa"/>
            <w:tcBorders>
              <w:top w:val="nil"/>
              <w:left w:val="nil"/>
              <w:bottom w:val="single" w:color="auto" w:sz="4" w:space="0"/>
              <w:right w:val="single" w:color="auto" w:sz="4" w:space="0"/>
            </w:tcBorders>
            <w:noWrap/>
            <w:vAlign w:val="center"/>
          </w:tcPr>
          <w:p w14:paraId="5F845B08">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800万元</w:t>
            </w:r>
          </w:p>
        </w:tc>
        <w:tc>
          <w:tcPr>
            <w:tcW w:w="1417" w:type="dxa"/>
            <w:tcBorders>
              <w:top w:val="nil"/>
              <w:left w:val="nil"/>
              <w:bottom w:val="single" w:color="auto" w:sz="4" w:space="0"/>
              <w:right w:val="single" w:color="auto" w:sz="4" w:space="0"/>
            </w:tcBorders>
            <w:noWrap/>
            <w:vAlign w:val="center"/>
          </w:tcPr>
          <w:p w14:paraId="6A4D488B">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1500万元</w:t>
            </w:r>
          </w:p>
        </w:tc>
      </w:tr>
      <w:tr w14:paraId="79F86A9C">
        <w:tblPrEx>
          <w:tblCellMar>
            <w:top w:w="0" w:type="dxa"/>
            <w:left w:w="108" w:type="dxa"/>
            <w:bottom w:w="0" w:type="dxa"/>
            <w:right w:w="108" w:type="dxa"/>
          </w:tblCellMar>
        </w:tblPrEx>
        <w:trPr>
          <w:trHeight w:val="840" w:hRule="atLeast"/>
        </w:trPr>
        <w:tc>
          <w:tcPr>
            <w:tcW w:w="546" w:type="dxa"/>
            <w:vMerge w:val="continue"/>
            <w:tcBorders>
              <w:top w:val="nil"/>
              <w:left w:val="single" w:color="auto" w:sz="4" w:space="0"/>
              <w:bottom w:val="single" w:color="auto" w:sz="4" w:space="0"/>
              <w:right w:val="single" w:color="auto" w:sz="4" w:space="0"/>
            </w:tcBorders>
            <w:noWrap/>
            <w:vAlign w:val="center"/>
          </w:tcPr>
          <w:p w14:paraId="2EE9DC2B">
            <w:pPr>
              <w:widowControl/>
              <w:jc w:val="left"/>
              <w:rPr>
                <w:rFonts w:hint="eastAsia" w:ascii="仿宋" w:hAnsi="仿宋" w:eastAsia="仿宋" w:cs="仿宋"/>
                <w:color w:val="000000"/>
                <w:kern w:val="0"/>
                <w:sz w:val="22"/>
              </w:rPr>
            </w:pPr>
          </w:p>
        </w:tc>
        <w:tc>
          <w:tcPr>
            <w:tcW w:w="696" w:type="dxa"/>
            <w:tcBorders>
              <w:top w:val="nil"/>
              <w:left w:val="nil"/>
              <w:bottom w:val="single" w:color="auto" w:sz="4" w:space="0"/>
              <w:right w:val="single" w:color="auto" w:sz="4" w:space="0"/>
            </w:tcBorders>
            <w:noWrap/>
            <w:vAlign w:val="center"/>
          </w:tcPr>
          <w:p w14:paraId="5D8C9896">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劳动</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体验</w:t>
            </w:r>
          </w:p>
        </w:tc>
        <w:tc>
          <w:tcPr>
            <w:tcW w:w="1134" w:type="dxa"/>
            <w:vMerge w:val="continue"/>
            <w:tcBorders>
              <w:top w:val="nil"/>
              <w:left w:val="single" w:color="auto" w:sz="4" w:space="0"/>
              <w:bottom w:val="single" w:color="000000" w:sz="4" w:space="0"/>
              <w:right w:val="single" w:color="auto" w:sz="4" w:space="0"/>
            </w:tcBorders>
            <w:noWrap/>
            <w:vAlign w:val="center"/>
          </w:tcPr>
          <w:p w14:paraId="51E671F5">
            <w:pPr>
              <w:widowControl/>
              <w:jc w:val="left"/>
              <w:rPr>
                <w:rFonts w:hint="eastAsia" w:ascii="仿宋" w:hAnsi="仿宋" w:eastAsia="仿宋" w:cs="仿宋"/>
                <w:color w:val="000000"/>
                <w:kern w:val="0"/>
                <w:sz w:val="22"/>
              </w:rPr>
            </w:pPr>
          </w:p>
        </w:tc>
        <w:tc>
          <w:tcPr>
            <w:tcW w:w="2409" w:type="dxa"/>
            <w:tcBorders>
              <w:top w:val="nil"/>
              <w:left w:val="nil"/>
              <w:bottom w:val="single" w:color="auto" w:sz="4" w:space="0"/>
              <w:right w:val="single" w:color="auto" w:sz="4" w:space="0"/>
            </w:tcBorders>
            <w:noWrap/>
            <w:vAlign w:val="center"/>
          </w:tcPr>
          <w:p w14:paraId="2C7BC690">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劳动实践场所的各种劳动、义务劳动、环境卫生劳动,校内外劳动教育、公益类活动等。</w:t>
            </w:r>
          </w:p>
        </w:tc>
        <w:tc>
          <w:tcPr>
            <w:tcW w:w="1276" w:type="dxa"/>
            <w:tcBorders>
              <w:top w:val="nil"/>
              <w:left w:val="nil"/>
              <w:bottom w:val="single" w:color="auto" w:sz="4" w:space="0"/>
              <w:right w:val="single" w:color="auto" w:sz="4" w:space="0"/>
            </w:tcBorders>
            <w:noWrap/>
            <w:vAlign w:val="center"/>
          </w:tcPr>
          <w:p w14:paraId="725B0543">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90万元</w:t>
            </w:r>
          </w:p>
        </w:tc>
        <w:tc>
          <w:tcPr>
            <w:tcW w:w="1418" w:type="dxa"/>
            <w:tcBorders>
              <w:top w:val="nil"/>
              <w:left w:val="nil"/>
              <w:bottom w:val="single" w:color="auto" w:sz="4" w:space="0"/>
              <w:right w:val="single" w:color="auto" w:sz="4" w:space="0"/>
            </w:tcBorders>
            <w:noWrap/>
            <w:vAlign w:val="center"/>
          </w:tcPr>
          <w:p w14:paraId="5006FC9F">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800万元</w:t>
            </w:r>
          </w:p>
        </w:tc>
        <w:tc>
          <w:tcPr>
            <w:tcW w:w="1417" w:type="dxa"/>
            <w:tcBorders>
              <w:top w:val="nil"/>
              <w:left w:val="nil"/>
              <w:bottom w:val="single" w:color="auto" w:sz="4" w:space="0"/>
              <w:right w:val="single" w:color="auto" w:sz="4" w:space="0"/>
            </w:tcBorders>
            <w:noWrap/>
            <w:vAlign w:val="center"/>
          </w:tcPr>
          <w:p w14:paraId="746DAA60">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1200万元</w:t>
            </w:r>
          </w:p>
        </w:tc>
      </w:tr>
      <w:tr w14:paraId="5F8EAA3A">
        <w:tblPrEx>
          <w:tblCellMar>
            <w:top w:w="0" w:type="dxa"/>
            <w:left w:w="108" w:type="dxa"/>
            <w:bottom w:w="0" w:type="dxa"/>
            <w:right w:w="108" w:type="dxa"/>
          </w:tblCellMar>
        </w:tblPrEx>
        <w:trPr>
          <w:trHeight w:val="600" w:hRule="atLeast"/>
        </w:trPr>
        <w:tc>
          <w:tcPr>
            <w:tcW w:w="546" w:type="dxa"/>
            <w:vMerge w:val="continue"/>
            <w:tcBorders>
              <w:top w:val="nil"/>
              <w:left w:val="single" w:color="auto" w:sz="4" w:space="0"/>
              <w:bottom w:val="single" w:color="auto" w:sz="4" w:space="0"/>
              <w:right w:val="single" w:color="auto" w:sz="4" w:space="0"/>
            </w:tcBorders>
            <w:noWrap/>
            <w:vAlign w:val="center"/>
          </w:tcPr>
          <w:p w14:paraId="15AF8433">
            <w:pPr>
              <w:widowControl/>
              <w:jc w:val="left"/>
              <w:rPr>
                <w:rFonts w:hint="eastAsia" w:ascii="仿宋" w:hAnsi="仿宋" w:eastAsia="仿宋" w:cs="仿宋"/>
                <w:color w:val="000000"/>
                <w:kern w:val="0"/>
                <w:sz w:val="22"/>
              </w:rPr>
            </w:pPr>
          </w:p>
        </w:tc>
        <w:tc>
          <w:tcPr>
            <w:tcW w:w="696" w:type="dxa"/>
            <w:tcBorders>
              <w:top w:val="nil"/>
              <w:left w:val="nil"/>
              <w:bottom w:val="single" w:color="auto" w:sz="4" w:space="0"/>
              <w:right w:val="single" w:color="auto" w:sz="4" w:space="0"/>
            </w:tcBorders>
            <w:noWrap/>
            <w:vAlign w:val="center"/>
          </w:tcPr>
          <w:p w14:paraId="0899528F">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课外</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活动</w:t>
            </w:r>
          </w:p>
        </w:tc>
        <w:tc>
          <w:tcPr>
            <w:tcW w:w="1134" w:type="dxa"/>
            <w:vMerge w:val="continue"/>
            <w:tcBorders>
              <w:top w:val="nil"/>
              <w:left w:val="single" w:color="auto" w:sz="4" w:space="0"/>
              <w:bottom w:val="single" w:color="000000" w:sz="4" w:space="0"/>
              <w:right w:val="single" w:color="auto" w:sz="4" w:space="0"/>
            </w:tcBorders>
            <w:noWrap/>
            <w:vAlign w:val="center"/>
          </w:tcPr>
          <w:p w14:paraId="31CCF870">
            <w:pPr>
              <w:widowControl/>
              <w:jc w:val="left"/>
              <w:rPr>
                <w:rFonts w:hint="eastAsia" w:ascii="仿宋" w:hAnsi="仿宋" w:eastAsia="仿宋" w:cs="仿宋"/>
                <w:color w:val="000000"/>
                <w:kern w:val="0"/>
                <w:sz w:val="22"/>
              </w:rPr>
            </w:pPr>
          </w:p>
        </w:tc>
        <w:tc>
          <w:tcPr>
            <w:tcW w:w="2409" w:type="dxa"/>
            <w:tcBorders>
              <w:top w:val="nil"/>
              <w:left w:val="nil"/>
              <w:bottom w:val="single" w:color="auto" w:sz="4" w:space="0"/>
              <w:right w:val="single" w:color="auto" w:sz="4" w:space="0"/>
            </w:tcBorders>
            <w:noWrap/>
            <w:vAlign w:val="center"/>
          </w:tcPr>
          <w:p w14:paraId="26E24DE0">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第二课堂、写生采风、课外情景教育,课外体育活动等。</w:t>
            </w:r>
          </w:p>
        </w:tc>
        <w:tc>
          <w:tcPr>
            <w:tcW w:w="1276" w:type="dxa"/>
            <w:tcBorders>
              <w:top w:val="nil"/>
              <w:left w:val="nil"/>
              <w:bottom w:val="single" w:color="auto" w:sz="4" w:space="0"/>
              <w:right w:val="single" w:color="auto" w:sz="4" w:space="0"/>
            </w:tcBorders>
            <w:noWrap/>
            <w:vAlign w:val="center"/>
          </w:tcPr>
          <w:p w14:paraId="5A17080C">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90万元</w:t>
            </w:r>
          </w:p>
        </w:tc>
        <w:tc>
          <w:tcPr>
            <w:tcW w:w="1418" w:type="dxa"/>
            <w:tcBorders>
              <w:top w:val="nil"/>
              <w:left w:val="nil"/>
              <w:bottom w:val="single" w:color="auto" w:sz="4" w:space="0"/>
              <w:right w:val="single" w:color="auto" w:sz="4" w:space="0"/>
            </w:tcBorders>
            <w:noWrap/>
            <w:vAlign w:val="center"/>
          </w:tcPr>
          <w:p w14:paraId="3F359DDC">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800万元</w:t>
            </w:r>
          </w:p>
        </w:tc>
        <w:tc>
          <w:tcPr>
            <w:tcW w:w="1417" w:type="dxa"/>
            <w:tcBorders>
              <w:top w:val="nil"/>
              <w:left w:val="nil"/>
              <w:bottom w:val="single" w:color="auto" w:sz="4" w:space="0"/>
              <w:right w:val="single" w:color="auto" w:sz="4" w:space="0"/>
            </w:tcBorders>
            <w:noWrap/>
            <w:vAlign w:val="center"/>
          </w:tcPr>
          <w:p w14:paraId="0458EDCB">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1200万元</w:t>
            </w:r>
          </w:p>
        </w:tc>
      </w:tr>
      <w:tr w14:paraId="2E4F725C">
        <w:tblPrEx>
          <w:tblCellMar>
            <w:top w:w="0" w:type="dxa"/>
            <w:left w:w="108" w:type="dxa"/>
            <w:bottom w:w="0" w:type="dxa"/>
            <w:right w:w="108" w:type="dxa"/>
          </w:tblCellMar>
        </w:tblPrEx>
        <w:trPr>
          <w:trHeight w:val="840" w:hRule="atLeast"/>
        </w:trPr>
        <w:tc>
          <w:tcPr>
            <w:tcW w:w="546" w:type="dxa"/>
            <w:vMerge w:val="continue"/>
            <w:tcBorders>
              <w:top w:val="nil"/>
              <w:left w:val="single" w:color="auto" w:sz="4" w:space="0"/>
              <w:bottom w:val="single" w:color="auto" w:sz="4" w:space="0"/>
              <w:right w:val="single" w:color="auto" w:sz="4" w:space="0"/>
            </w:tcBorders>
            <w:noWrap/>
            <w:vAlign w:val="center"/>
          </w:tcPr>
          <w:p w14:paraId="77D82878">
            <w:pPr>
              <w:widowControl/>
              <w:jc w:val="left"/>
              <w:rPr>
                <w:rFonts w:hint="eastAsia" w:ascii="仿宋" w:hAnsi="仿宋" w:eastAsia="仿宋" w:cs="仿宋"/>
                <w:color w:val="000000"/>
                <w:kern w:val="0"/>
                <w:sz w:val="22"/>
              </w:rPr>
            </w:pPr>
          </w:p>
        </w:tc>
        <w:tc>
          <w:tcPr>
            <w:tcW w:w="696" w:type="dxa"/>
            <w:tcBorders>
              <w:top w:val="nil"/>
              <w:left w:val="nil"/>
              <w:bottom w:val="single" w:color="auto" w:sz="4" w:space="0"/>
              <w:right w:val="single" w:color="auto" w:sz="4" w:space="0"/>
            </w:tcBorders>
            <w:noWrap/>
            <w:vAlign w:val="center"/>
          </w:tcPr>
          <w:p w14:paraId="5CEFD629">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其他</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活动</w:t>
            </w:r>
          </w:p>
        </w:tc>
        <w:tc>
          <w:tcPr>
            <w:tcW w:w="1134" w:type="dxa"/>
            <w:vMerge w:val="continue"/>
            <w:tcBorders>
              <w:top w:val="nil"/>
              <w:left w:val="single" w:color="auto" w:sz="4" w:space="0"/>
              <w:bottom w:val="single" w:color="000000" w:sz="4" w:space="0"/>
              <w:right w:val="single" w:color="auto" w:sz="4" w:space="0"/>
            </w:tcBorders>
            <w:noWrap/>
            <w:vAlign w:val="center"/>
          </w:tcPr>
          <w:p w14:paraId="0FE39F6F">
            <w:pPr>
              <w:widowControl/>
              <w:jc w:val="left"/>
              <w:rPr>
                <w:rFonts w:hint="eastAsia" w:ascii="仿宋" w:hAnsi="仿宋" w:eastAsia="仿宋" w:cs="仿宋"/>
                <w:color w:val="000000"/>
                <w:kern w:val="0"/>
                <w:sz w:val="22"/>
              </w:rPr>
            </w:pPr>
          </w:p>
        </w:tc>
        <w:tc>
          <w:tcPr>
            <w:tcW w:w="2409" w:type="dxa"/>
            <w:tcBorders>
              <w:top w:val="nil"/>
              <w:left w:val="nil"/>
              <w:bottom w:val="single" w:color="auto" w:sz="4" w:space="0"/>
              <w:right w:val="single" w:color="auto" w:sz="4" w:space="0"/>
            </w:tcBorders>
            <w:noWrap/>
            <w:vAlign w:val="center"/>
          </w:tcPr>
          <w:p w14:paraId="580670BF">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学校统一组织或安排的其他校外非教育类活动,学生自愿</w:t>
            </w:r>
            <w:r>
              <w:rPr>
                <w:rFonts w:hint="eastAsia" w:ascii="仿宋" w:hAnsi="仿宋" w:eastAsia="仿宋" w:cs="仿宋"/>
                <w:color w:val="000000"/>
                <w:kern w:val="0"/>
                <w:sz w:val="22"/>
              </w:rPr>
              <w:br w:type="textWrapping"/>
            </w:r>
            <w:r>
              <w:rPr>
                <w:rFonts w:hint="eastAsia" w:ascii="仿宋" w:hAnsi="仿宋" w:eastAsia="仿宋" w:cs="仿宋"/>
                <w:color w:val="000000"/>
                <w:kern w:val="0"/>
                <w:sz w:val="22"/>
              </w:rPr>
              <w:t>参与的活动等。</w:t>
            </w:r>
          </w:p>
        </w:tc>
        <w:tc>
          <w:tcPr>
            <w:tcW w:w="1276" w:type="dxa"/>
            <w:tcBorders>
              <w:top w:val="nil"/>
              <w:left w:val="nil"/>
              <w:bottom w:val="single" w:color="auto" w:sz="4" w:space="0"/>
              <w:right w:val="single" w:color="auto" w:sz="4" w:space="0"/>
            </w:tcBorders>
            <w:noWrap/>
            <w:vAlign w:val="center"/>
          </w:tcPr>
          <w:p w14:paraId="4CA3C7A8">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70万元</w:t>
            </w:r>
          </w:p>
        </w:tc>
        <w:tc>
          <w:tcPr>
            <w:tcW w:w="1418" w:type="dxa"/>
            <w:tcBorders>
              <w:top w:val="nil"/>
              <w:left w:val="nil"/>
              <w:bottom w:val="single" w:color="auto" w:sz="4" w:space="0"/>
              <w:right w:val="single" w:color="auto" w:sz="4" w:space="0"/>
            </w:tcBorders>
            <w:noWrap/>
            <w:vAlign w:val="center"/>
          </w:tcPr>
          <w:p w14:paraId="2FF409D5">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800万元</w:t>
            </w:r>
          </w:p>
        </w:tc>
        <w:tc>
          <w:tcPr>
            <w:tcW w:w="1417" w:type="dxa"/>
            <w:tcBorders>
              <w:top w:val="nil"/>
              <w:left w:val="nil"/>
              <w:bottom w:val="single" w:color="auto" w:sz="4" w:space="0"/>
              <w:right w:val="single" w:color="auto" w:sz="4" w:space="0"/>
            </w:tcBorders>
            <w:noWrap/>
            <w:vAlign w:val="center"/>
          </w:tcPr>
          <w:p w14:paraId="70B82211">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1200万元</w:t>
            </w:r>
          </w:p>
        </w:tc>
      </w:tr>
      <w:tr w14:paraId="5443BE53">
        <w:tblPrEx>
          <w:tblCellMar>
            <w:top w:w="0" w:type="dxa"/>
            <w:left w:w="108" w:type="dxa"/>
            <w:bottom w:w="0" w:type="dxa"/>
            <w:right w:w="108" w:type="dxa"/>
          </w:tblCellMar>
        </w:tblPrEx>
        <w:trPr>
          <w:trHeight w:val="222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5A60D9F8">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校园延伸</w:t>
            </w:r>
          </w:p>
        </w:tc>
        <w:tc>
          <w:tcPr>
            <w:tcW w:w="1134" w:type="dxa"/>
            <w:vMerge w:val="continue"/>
            <w:tcBorders>
              <w:top w:val="nil"/>
              <w:left w:val="single" w:color="auto" w:sz="4" w:space="0"/>
              <w:bottom w:val="single" w:color="000000" w:sz="4" w:space="0"/>
              <w:right w:val="single" w:color="auto" w:sz="4" w:space="0"/>
            </w:tcBorders>
            <w:noWrap/>
            <w:vAlign w:val="center"/>
          </w:tcPr>
          <w:p w14:paraId="77B309F5">
            <w:pPr>
              <w:widowControl/>
              <w:jc w:val="left"/>
              <w:rPr>
                <w:rFonts w:hint="eastAsia" w:ascii="仿宋" w:hAnsi="仿宋" w:eastAsia="仿宋" w:cs="仿宋"/>
                <w:color w:val="000000"/>
                <w:kern w:val="0"/>
                <w:sz w:val="22"/>
              </w:rPr>
            </w:pPr>
          </w:p>
        </w:tc>
        <w:tc>
          <w:tcPr>
            <w:tcW w:w="2409" w:type="dxa"/>
            <w:tcBorders>
              <w:top w:val="nil"/>
              <w:left w:val="nil"/>
              <w:bottom w:val="single" w:color="auto" w:sz="4" w:space="0"/>
              <w:right w:val="single" w:color="auto" w:sz="4" w:space="0"/>
            </w:tcBorders>
            <w:noWrap/>
            <w:vAlign w:val="center"/>
          </w:tcPr>
          <w:p w14:paraId="06645DC0">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上下学途中因被保险人疏忽或过失导致学生的人身伤亡(学生因乘坐校车发生的事故除外)</w:t>
            </w:r>
            <w:r>
              <w:rPr>
                <w:rFonts w:hint="eastAsia" w:ascii="仿宋" w:hAnsi="仿宋" w:eastAsia="仿宋" w:cs="仿宋"/>
                <w:color w:val="000000"/>
                <w:kern w:val="0"/>
                <w:sz w:val="22"/>
                <w:lang w:eastAsia="zh-CN"/>
              </w:rPr>
              <w:t>：</w:t>
            </w:r>
            <w:r>
              <w:rPr>
                <w:rFonts w:hint="eastAsia" w:ascii="仿宋" w:hAnsi="仿宋" w:eastAsia="仿宋" w:cs="仿宋"/>
                <w:color w:val="000000"/>
                <w:kern w:val="0"/>
                <w:sz w:val="22"/>
              </w:rPr>
              <w:t>放学后、节假日自行滞留学校在校内发生的伤害事故；学校组织或开展运动类教学或比赛过程中突发</w:t>
            </w:r>
            <w:r>
              <w:rPr>
                <w:rFonts w:hint="eastAsia" w:ascii="仿宋" w:hAnsi="仿宋" w:eastAsia="仿宋" w:cs="仿宋"/>
                <w:color w:val="000000"/>
                <w:kern w:val="0"/>
                <w:sz w:val="22"/>
                <w:lang w:eastAsia="zh-CN"/>
              </w:rPr>
              <w:t>猝事</w:t>
            </w:r>
            <w:r>
              <w:rPr>
                <w:rFonts w:hint="eastAsia" w:ascii="仿宋" w:hAnsi="仿宋" w:eastAsia="仿宋" w:cs="仿宋"/>
                <w:color w:val="000000"/>
                <w:kern w:val="0"/>
                <w:sz w:val="22"/>
              </w:rPr>
              <w:t>；校园内建筑附属物或装置饰等的外物伤害。</w:t>
            </w:r>
          </w:p>
        </w:tc>
        <w:tc>
          <w:tcPr>
            <w:tcW w:w="1276" w:type="dxa"/>
            <w:tcBorders>
              <w:top w:val="nil"/>
              <w:left w:val="nil"/>
              <w:bottom w:val="single" w:color="auto" w:sz="4" w:space="0"/>
              <w:right w:val="single" w:color="auto" w:sz="4" w:space="0"/>
            </w:tcBorders>
            <w:noWrap/>
            <w:vAlign w:val="center"/>
          </w:tcPr>
          <w:p w14:paraId="4BDCF826">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50万元</w:t>
            </w:r>
          </w:p>
        </w:tc>
        <w:tc>
          <w:tcPr>
            <w:tcW w:w="1418" w:type="dxa"/>
            <w:tcBorders>
              <w:top w:val="nil"/>
              <w:left w:val="nil"/>
              <w:bottom w:val="single" w:color="auto" w:sz="4" w:space="0"/>
              <w:right w:val="single" w:color="auto" w:sz="4" w:space="0"/>
            </w:tcBorders>
            <w:noWrap/>
            <w:vAlign w:val="center"/>
          </w:tcPr>
          <w:p w14:paraId="02CCE70F">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450万元</w:t>
            </w:r>
          </w:p>
        </w:tc>
        <w:tc>
          <w:tcPr>
            <w:tcW w:w="1417" w:type="dxa"/>
            <w:tcBorders>
              <w:top w:val="nil"/>
              <w:left w:val="nil"/>
              <w:bottom w:val="single" w:color="auto" w:sz="4" w:space="0"/>
              <w:right w:val="single" w:color="auto" w:sz="4" w:space="0"/>
            </w:tcBorders>
            <w:noWrap/>
            <w:vAlign w:val="center"/>
          </w:tcPr>
          <w:p w14:paraId="04F2776D">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1200万元</w:t>
            </w:r>
          </w:p>
        </w:tc>
      </w:tr>
      <w:tr w14:paraId="4EF2CB9C">
        <w:tblPrEx>
          <w:tblCellMar>
            <w:top w:w="0" w:type="dxa"/>
            <w:left w:w="108" w:type="dxa"/>
            <w:bottom w:w="0" w:type="dxa"/>
            <w:right w:w="108" w:type="dxa"/>
          </w:tblCellMar>
        </w:tblPrEx>
        <w:trPr>
          <w:trHeight w:val="57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0F40858D">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第三方侵害</w:t>
            </w:r>
          </w:p>
        </w:tc>
        <w:tc>
          <w:tcPr>
            <w:tcW w:w="1134" w:type="dxa"/>
            <w:vMerge w:val="continue"/>
            <w:tcBorders>
              <w:top w:val="nil"/>
              <w:left w:val="single" w:color="auto" w:sz="4" w:space="0"/>
              <w:bottom w:val="single" w:color="000000" w:sz="4" w:space="0"/>
              <w:right w:val="single" w:color="auto" w:sz="4" w:space="0"/>
            </w:tcBorders>
            <w:noWrap/>
            <w:vAlign w:val="center"/>
          </w:tcPr>
          <w:p w14:paraId="1554B270">
            <w:pPr>
              <w:widowControl/>
              <w:jc w:val="left"/>
              <w:rPr>
                <w:rFonts w:hint="eastAsia" w:ascii="仿宋" w:hAnsi="仿宋" w:eastAsia="仿宋" w:cs="仿宋"/>
                <w:color w:val="000000"/>
                <w:kern w:val="0"/>
                <w:sz w:val="22"/>
              </w:rPr>
            </w:pPr>
          </w:p>
        </w:tc>
        <w:tc>
          <w:tcPr>
            <w:tcW w:w="2409" w:type="dxa"/>
            <w:tcBorders>
              <w:top w:val="nil"/>
              <w:left w:val="nil"/>
              <w:bottom w:val="single" w:color="auto" w:sz="4" w:space="0"/>
              <w:right w:val="single" w:color="auto" w:sz="4" w:space="0"/>
            </w:tcBorders>
            <w:noWrap/>
            <w:vAlign w:val="center"/>
          </w:tcPr>
          <w:p w14:paraId="288838FA">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校园内受到第三方侵害、动物攻击,外物伤害等。</w:t>
            </w:r>
          </w:p>
        </w:tc>
        <w:tc>
          <w:tcPr>
            <w:tcW w:w="1276" w:type="dxa"/>
            <w:tcBorders>
              <w:top w:val="nil"/>
              <w:left w:val="nil"/>
              <w:bottom w:val="single" w:color="auto" w:sz="4" w:space="0"/>
              <w:right w:val="single" w:color="auto" w:sz="4" w:space="0"/>
            </w:tcBorders>
            <w:noWrap/>
            <w:vAlign w:val="center"/>
          </w:tcPr>
          <w:p w14:paraId="49CE2930">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60万元</w:t>
            </w:r>
          </w:p>
        </w:tc>
        <w:tc>
          <w:tcPr>
            <w:tcW w:w="1418" w:type="dxa"/>
            <w:tcBorders>
              <w:top w:val="nil"/>
              <w:left w:val="nil"/>
              <w:bottom w:val="single" w:color="auto" w:sz="4" w:space="0"/>
              <w:right w:val="single" w:color="auto" w:sz="4" w:space="0"/>
            </w:tcBorders>
            <w:noWrap/>
            <w:vAlign w:val="center"/>
          </w:tcPr>
          <w:p w14:paraId="666E7201">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450万元</w:t>
            </w:r>
          </w:p>
        </w:tc>
        <w:tc>
          <w:tcPr>
            <w:tcW w:w="1417" w:type="dxa"/>
            <w:tcBorders>
              <w:top w:val="nil"/>
              <w:left w:val="nil"/>
              <w:bottom w:val="single" w:color="auto" w:sz="4" w:space="0"/>
              <w:right w:val="single" w:color="auto" w:sz="4" w:space="0"/>
            </w:tcBorders>
            <w:noWrap/>
            <w:vAlign w:val="center"/>
          </w:tcPr>
          <w:p w14:paraId="6A55D6A1">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1200万元</w:t>
            </w:r>
          </w:p>
        </w:tc>
      </w:tr>
      <w:tr w14:paraId="452BF0A8">
        <w:tblPrEx>
          <w:tblCellMar>
            <w:top w:w="0" w:type="dxa"/>
            <w:left w:w="108" w:type="dxa"/>
            <w:bottom w:w="0" w:type="dxa"/>
            <w:right w:w="108" w:type="dxa"/>
          </w:tblCellMar>
        </w:tblPrEx>
        <w:trPr>
          <w:trHeight w:val="108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71CC59BC">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附加       无过失责任</w:t>
            </w:r>
          </w:p>
        </w:tc>
        <w:tc>
          <w:tcPr>
            <w:tcW w:w="1134" w:type="dxa"/>
            <w:tcBorders>
              <w:top w:val="nil"/>
              <w:left w:val="nil"/>
              <w:bottom w:val="single" w:color="auto" w:sz="4" w:space="0"/>
              <w:right w:val="single" w:color="auto" w:sz="4" w:space="0"/>
            </w:tcBorders>
            <w:noWrap/>
            <w:vAlign w:val="center"/>
          </w:tcPr>
          <w:p w14:paraId="1658141E">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 xml:space="preserve">附加险               </w:t>
            </w:r>
          </w:p>
        </w:tc>
        <w:tc>
          <w:tcPr>
            <w:tcW w:w="2409" w:type="dxa"/>
            <w:tcBorders>
              <w:top w:val="nil"/>
              <w:left w:val="nil"/>
              <w:bottom w:val="single" w:color="auto" w:sz="4" w:space="0"/>
              <w:right w:val="single" w:color="auto" w:sz="4" w:space="0"/>
            </w:tcBorders>
            <w:noWrap/>
            <w:vAlign w:val="center"/>
          </w:tcPr>
          <w:p w14:paraId="1D69DD41">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按保险公司报备保险监管部门的校（园）方责任保险附加校（园）方无过失责任保险条款执行。</w:t>
            </w:r>
          </w:p>
        </w:tc>
        <w:tc>
          <w:tcPr>
            <w:tcW w:w="1276" w:type="dxa"/>
            <w:tcBorders>
              <w:top w:val="nil"/>
              <w:left w:val="nil"/>
              <w:bottom w:val="single" w:color="auto" w:sz="4" w:space="0"/>
              <w:right w:val="single" w:color="auto" w:sz="4" w:space="0"/>
            </w:tcBorders>
            <w:noWrap/>
            <w:vAlign w:val="center"/>
          </w:tcPr>
          <w:p w14:paraId="45B7DC76">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20万元</w:t>
            </w:r>
          </w:p>
        </w:tc>
        <w:tc>
          <w:tcPr>
            <w:tcW w:w="1418" w:type="dxa"/>
            <w:tcBorders>
              <w:top w:val="nil"/>
              <w:left w:val="nil"/>
              <w:bottom w:val="single" w:color="auto" w:sz="4" w:space="0"/>
              <w:right w:val="single" w:color="auto" w:sz="4" w:space="0"/>
            </w:tcBorders>
            <w:noWrap/>
            <w:vAlign w:val="center"/>
          </w:tcPr>
          <w:p w14:paraId="26DCB990">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150万元</w:t>
            </w:r>
          </w:p>
        </w:tc>
        <w:tc>
          <w:tcPr>
            <w:tcW w:w="1417" w:type="dxa"/>
            <w:tcBorders>
              <w:top w:val="nil"/>
              <w:left w:val="nil"/>
              <w:bottom w:val="single" w:color="auto" w:sz="4" w:space="0"/>
              <w:right w:val="single" w:color="auto" w:sz="4" w:space="0"/>
            </w:tcBorders>
            <w:noWrap/>
            <w:vAlign w:val="center"/>
          </w:tcPr>
          <w:p w14:paraId="0FE36D73">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300万元</w:t>
            </w:r>
          </w:p>
        </w:tc>
      </w:tr>
    </w:tbl>
    <w:p w14:paraId="2A38649B">
      <w:pPr>
        <w:snapToGrid w:val="0"/>
        <w:spacing w:before="156" w:beforeLines="50" w:line="360" w:lineRule="auto"/>
        <w:ind w:firstLine="482" w:firstLineChars="200"/>
        <w:jc w:val="left"/>
        <w:rPr>
          <w:rFonts w:ascii="仿宋" w:hAnsi="仿宋" w:eastAsia="仿宋" w:cstheme="minorEastAsia"/>
          <w:b/>
          <w:sz w:val="24"/>
          <w:szCs w:val="24"/>
        </w:rPr>
      </w:pPr>
    </w:p>
    <w:p w14:paraId="548CA85B">
      <w:pPr>
        <w:widowControl/>
        <w:spacing w:line="360" w:lineRule="auto"/>
        <w:ind w:firstLine="480" w:firstLineChars="200"/>
        <w:jc w:val="left"/>
        <w:rPr>
          <w:rFonts w:hint="eastAsia" w:ascii="仿宋" w:hAnsi="仿宋" w:eastAsia="仿宋" w:cs="仿宋"/>
          <w:bCs/>
          <w:sz w:val="24"/>
          <w:highlight w:val="red"/>
        </w:rPr>
      </w:pPr>
      <w:r>
        <w:rPr>
          <w:rFonts w:hint="eastAsia" w:ascii="仿宋" w:hAnsi="仿宋" w:eastAsia="仿宋" w:cs="仿宋"/>
          <w:color w:val="333333"/>
          <w:kern w:val="0"/>
          <w:sz w:val="24"/>
          <w:szCs w:val="24"/>
        </w:rPr>
        <w:t>(3)保障范围：</w:t>
      </w:r>
      <w:r>
        <w:rPr>
          <w:rFonts w:hint="eastAsia" w:ascii="仿宋" w:hAnsi="仿宋" w:eastAsia="仿宋" w:cs="仿宋"/>
          <w:bCs/>
          <w:sz w:val="24"/>
          <w:highlight w:val="red"/>
        </w:rPr>
        <w:t>在本保险期间和本保单明细表中列明的保险区域范围内，被保险人在其校（园）内或由其统一组织并带领下的校（园）外活动中（限中国境内，港澳台地区除外），由于疏忽或过失造成下列依照中华人民共和国法律（不包括港澳台地区法律）应由被保险人承担的经济赔偿责任，保险人负责赔偿：</w:t>
      </w:r>
    </w:p>
    <w:p w14:paraId="05E7C21D">
      <w:pPr>
        <w:widowControl/>
        <w:spacing w:line="360" w:lineRule="auto"/>
        <w:ind w:firstLine="480" w:firstLineChars="200"/>
        <w:jc w:val="left"/>
        <w:rPr>
          <w:rFonts w:hint="eastAsia" w:ascii="仿宋" w:hAnsi="仿宋" w:eastAsia="仿宋" w:cs="仿宋"/>
          <w:bCs/>
          <w:sz w:val="24"/>
          <w:highlight w:val="red"/>
        </w:rPr>
      </w:pPr>
      <w:r>
        <w:rPr>
          <w:rFonts w:hint="eastAsia" w:ascii="仿宋" w:hAnsi="仿宋" w:eastAsia="仿宋" w:cs="仿宋"/>
          <w:bCs/>
          <w:sz w:val="24"/>
          <w:highlight w:val="red"/>
        </w:rPr>
        <w:t>注册学生的人身伤亡或财产损失；</w:t>
      </w:r>
    </w:p>
    <w:p w14:paraId="6ABE7137">
      <w:pPr>
        <w:widowControl/>
        <w:spacing w:line="360" w:lineRule="auto"/>
        <w:ind w:firstLine="480" w:firstLineChars="200"/>
        <w:jc w:val="left"/>
        <w:rPr>
          <w:rFonts w:hint="eastAsia" w:ascii="仿宋" w:hAnsi="仿宋" w:eastAsia="仿宋" w:cs="仿宋"/>
          <w:bCs/>
          <w:sz w:val="24"/>
          <w:highlight w:val="red"/>
          <w:lang w:eastAsia="zh-CN"/>
        </w:rPr>
      </w:pPr>
      <w:r>
        <w:rPr>
          <w:rFonts w:hint="eastAsia" w:ascii="仿宋" w:hAnsi="仿宋" w:eastAsia="仿宋" w:cs="仿宋"/>
          <w:bCs/>
          <w:sz w:val="24"/>
          <w:highlight w:val="red"/>
        </w:rPr>
        <w:t>事先经保险人书面同意的仲裁或诉讼费用。</w:t>
      </w:r>
    </w:p>
    <w:p w14:paraId="7C55088A">
      <w:pPr>
        <w:adjustRightInd w:val="0"/>
        <w:snapToGrid w:val="0"/>
        <w:spacing w:line="360" w:lineRule="auto"/>
        <w:ind w:firstLine="480" w:firstLineChars="200"/>
        <w:rPr>
          <w:rFonts w:ascii="仿宋" w:hAnsi="仿宋" w:eastAsia="仿宋" w:cs="仿宋"/>
          <w:color w:val="333333"/>
          <w:kern w:val="0"/>
          <w:sz w:val="24"/>
          <w:szCs w:val="24"/>
        </w:rPr>
      </w:pPr>
    </w:p>
    <w:p w14:paraId="091A8335">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2、服务要求</w:t>
      </w:r>
    </w:p>
    <w:p w14:paraId="34CBED58">
      <w:pPr>
        <w:adjustRightInd w:val="0"/>
        <w:snapToGrid w:val="0"/>
        <w:spacing w:line="360" w:lineRule="auto"/>
        <w:ind w:firstLine="482" w:firstLineChars="200"/>
        <w:rPr>
          <w:rFonts w:ascii="仿宋" w:hAnsi="仿宋" w:eastAsia="仿宋" w:cs="仿宋"/>
          <w:color w:val="333333"/>
          <w:kern w:val="0"/>
          <w:sz w:val="24"/>
          <w:szCs w:val="24"/>
        </w:rPr>
      </w:pPr>
      <w:r>
        <w:rPr>
          <w:rFonts w:hint="eastAsia" w:ascii="仿宋" w:hAnsi="仿宋" w:eastAsia="仿宋" w:cs="仿宋"/>
          <w:b/>
          <w:bCs/>
          <w:color w:val="333333"/>
          <w:kern w:val="0"/>
          <w:sz w:val="24"/>
          <w:szCs w:val="24"/>
        </w:rPr>
        <w:t>1、销前服务：</w:t>
      </w:r>
      <w:r>
        <w:rPr>
          <w:rFonts w:hint="eastAsia" w:ascii="仿宋" w:hAnsi="仿宋" w:eastAsia="仿宋" w:cs="仿宋"/>
          <w:color w:val="333333"/>
          <w:kern w:val="0"/>
          <w:sz w:val="24"/>
          <w:szCs w:val="24"/>
        </w:rPr>
        <w:t>以全面、专业、高效为出发点，提供特色化、一体化服务，成立校方责任险项目专项服务团队。专项服务团队有单独的承保、理赔权限，涵盖出单、核保、收付、协赔、查勘、定损、核报价、理算、核赔等职能。</w:t>
      </w:r>
    </w:p>
    <w:p w14:paraId="31B80CEF">
      <w:pPr>
        <w:adjustRightInd w:val="0"/>
        <w:snapToGrid w:val="0"/>
        <w:spacing w:line="360" w:lineRule="auto"/>
        <w:ind w:firstLine="482" w:firstLineChars="200"/>
        <w:rPr>
          <w:rFonts w:ascii="仿宋" w:hAnsi="仿宋" w:eastAsia="仿宋" w:cs="仿宋"/>
          <w:color w:val="333333"/>
          <w:kern w:val="0"/>
          <w:sz w:val="24"/>
          <w:szCs w:val="24"/>
        </w:rPr>
      </w:pPr>
      <w:r>
        <w:rPr>
          <w:rFonts w:hint="eastAsia" w:ascii="仿宋" w:hAnsi="仿宋" w:eastAsia="仿宋" w:cs="仿宋"/>
          <w:b/>
          <w:bCs/>
          <w:color w:val="333333"/>
          <w:kern w:val="0"/>
          <w:sz w:val="24"/>
          <w:szCs w:val="24"/>
        </w:rPr>
        <w:t>2、理赔服务：</w:t>
      </w:r>
      <w:r>
        <w:rPr>
          <w:rFonts w:hint="eastAsia" w:ascii="仿宋" w:hAnsi="仿宋" w:eastAsia="仿宋" w:cs="仿宋"/>
          <w:color w:val="333333"/>
          <w:kern w:val="0"/>
          <w:sz w:val="24"/>
          <w:szCs w:val="24"/>
        </w:rPr>
        <w:t>投标人提供全天候(365天*24小时)承保理赔服务。实行重点客户理赔绿色通道管理，享受重点客户的三项优先服务，即“优先接待、优先处理、优先赔付”。成立专属的客户服务队伍，启动VIP客户服务流程，配备专人负责理赔服务工作。</w:t>
      </w:r>
    </w:p>
    <w:p w14:paraId="71B6E566">
      <w:pPr>
        <w:adjustRightInd w:val="0"/>
        <w:snapToGrid w:val="0"/>
        <w:spacing w:line="360" w:lineRule="auto"/>
        <w:ind w:firstLine="482" w:firstLineChars="200"/>
        <w:rPr>
          <w:rFonts w:ascii="仿宋" w:hAnsi="仿宋" w:eastAsia="仿宋" w:cs="仿宋"/>
          <w:color w:val="333333"/>
          <w:kern w:val="0"/>
          <w:sz w:val="24"/>
          <w:szCs w:val="24"/>
        </w:rPr>
      </w:pPr>
      <w:r>
        <w:rPr>
          <w:rFonts w:hint="eastAsia" w:ascii="仿宋" w:hAnsi="仿宋" w:eastAsia="仿宋" w:cs="仿宋"/>
          <w:b/>
          <w:bCs/>
          <w:color w:val="333333"/>
          <w:kern w:val="0"/>
          <w:sz w:val="24"/>
          <w:szCs w:val="24"/>
        </w:rPr>
        <w:t>3、增值服务：</w:t>
      </w:r>
      <w:r>
        <w:rPr>
          <w:rFonts w:hint="eastAsia" w:ascii="仿宋" w:hAnsi="仿宋" w:eastAsia="仿宋" w:cs="仿宋"/>
          <w:color w:val="333333"/>
          <w:kern w:val="0"/>
          <w:sz w:val="24"/>
          <w:szCs w:val="24"/>
        </w:rPr>
        <w:t>包含但不限于风险管理及防灾防损服务，协助做好学校的大型活动安全防范工作，安全宣传进校园活动，建立项目风险检验制度，医疗跟踪服务等。</w:t>
      </w:r>
    </w:p>
    <w:p w14:paraId="116B2770">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三、服务质量要求：</w:t>
      </w:r>
    </w:p>
    <w:p w14:paraId="503C15D9">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在校园方责任保险采购需求中，服务质量要求是确保保险公司能够高效、专业地提供服务的关键部分。以下是具体的填写建议：</w:t>
      </w:r>
    </w:p>
    <w:p w14:paraId="25CD1F95">
      <w:pPr>
        <w:numPr>
          <w:ilvl w:val="0"/>
          <w:numId w:val="2"/>
        </w:num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承保服务标准</w:t>
      </w:r>
    </w:p>
    <w:p w14:paraId="36C9C16B">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在收到学校确认学生名单、资金、盖章的投保资料后，须在 3 个工作日内出具正式的保险单及发票。保单必须采用经中国银保监会备案的条款，并作为合同附件。</w:t>
      </w:r>
    </w:p>
    <w:p w14:paraId="7007DAF7">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2.理赔服务质量</w:t>
      </w:r>
    </w:p>
    <w:p w14:paraId="520F4977">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响应时效</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接报案后2小时内响应，24小时内</w:t>
      </w:r>
      <w:r>
        <w:rPr>
          <w:rFonts w:hint="eastAsia" w:ascii="仿宋" w:hAnsi="仿宋" w:eastAsia="仿宋" w:cs="仿宋"/>
          <w:color w:val="333333"/>
          <w:kern w:val="0"/>
          <w:sz w:val="24"/>
          <w:szCs w:val="24"/>
          <w:highlight w:val="none"/>
        </w:rPr>
        <w:t>出具</w:t>
      </w:r>
      <w:r>
        <w:rPr>
          <w:rFonts w:hint="eastAsia" w:ascii="仿宋" w:hAnsi="仿宋" w:eastAsia="仿宋" w:cs="仿宋"/>
          <w:color w:val="333333"/>
          <w:kern w:val="0"/>
          <w:sz w:val="24"/>
          <w:szCs w:val="24"/>
          <w:highlight w:val="none"/>
          <w:lang w:val="en-US" w:eastAsia="zh-CN"/>
        </w:rPr>
        <w:t>查勘报告</w:t>
      </w:r>
      <w:r>
        <w:rPr>
          <w:rFonts w:hint="eastAsia" w:ascii="仿宋" w:hAnsi="仿宋" w:eastAsia="仿宋" w:cs="仿宋"/>
          <w:color w:val="333333"/>
          <w:kern w:val="0"/>
          <w:sz w:val="24"/>
          <w:szCs w:val="24"/>
        </w:rPr>
        <w:t>(重大</w:t>
      </w:r>
      <w:r>
        <w:rPr>
          <w:rFonts w:hint="eastAsia" w:ascii="仿宋" w:hAnsi="仿宋" w:eastAsia="仿宋" w:cs="仿宋"/>
          <w:color w:val="333333"/>
          <w:kern w:val="0"/>
          <w:sz w:val="24"/>
          <w:szCs w:val="24"/>
          <w:lang w:val="en-US" w:eastAsia="zh-CN"/>
        </w:rPr>
        <w:t>事故</w:t>
      </w:r>
      <w:r>
        <w:rPr>
          <w:rFonts w:hint="eastAsia" w:ascii="仿宋" w:hAnsi="仿宋" w:eastAsia="仿宋" w:cs="仿宋"/>
          <w:color w:val="333333"/>
          <w:kern w:val="0"/>
          <w:sz w:val="24"/>
          <w:szCs w:val="24"/>
        </w:rPr>
        <w:t>12小时内到</w:t>
      </w:r>
      <w:r>
        <w:rPr>
          <w:rFonts w:hint="eastAsia" w:ascii="仿宋" w:hAnsi="仿宋" w:eastAsia="仿宋" w:cs="仿宋"/>
          <w:color w:val="333333"/>
          <w:kern w:val="0"/>
          <w:sz w:val="24"/>
          <w:szCs w:val="24"/>
          <w:lang w:val="en-US" w:eastAsia="zh-CN"/>
        </w:rPr>
        <w:t>场</w:t>
      </w:r>
      <w:r>
        <w:rPr>
          <w:rFonts w:hint="eastAsia" w:ascii="仿宋" w:hAnsi="仿宋" w:eastAsia="仿宋" w:cs="仿宋"/>
          <w:color w:val="333333"/>
          <w:kern w:val="0"/>
          <w:sz w:val="24"/>
          <w:szCs w:val="24"/>
        </w:rPr>
        <w:t>)</w:t>
      </w:r>
    </w:p>
    <w:p w14:paraId="4712AA62">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小额理赔(单笔≤1万元)材料齐全后5个工作日内结案，大额理赔15个工作日内完成。</w:t>
      </w:r>
    </w:p>
    <w:p w14:paraId="3E875B3A">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3.风险管理服务</w:t>
      </w:r>
    </w:p>
    <w:p w14:paraId="1827F0FA">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安全培训</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每学期至少开展1次校园安全培训(如意外伤害急救、校园设施隐患排查等)。</w:t>
      </w:r>
    </w:p>
    <w:p w14:paraId="10C4699C">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风险评估</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承保前提供校园风险排查报告，承保期间每半年1次全面风险评估，并附整改建议。</w:t>
      </w:r>
    </w:p>
    <w:p w14:paraId="50177068">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4.数据与投诉管理</w:t>
      </w:r>
    </w:p>
    <w:p w14:paraId="36906F70">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数据安全</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学生个人信息处理需符合《个人信息保护法》，未经校方书面同意不得用于其他用途。</w:t>
      </w:r>
    </w:p>
    <w:p w14:paraId="5D240A80">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投诉处理</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设立专属投诉通道，投诉受理后48小时内给出解决方案，并记录归档。</w:t>
      </w:r>
    </w:p>
    <w:p w14:paraId="6686DED5">
      <w:pPr>
        <w:snapToGrid w:val="0"/>
        <w:spacing w:before="156" w:beforeLines="50" w:line="360" w:lineRule="auto"/>
        <w:ind w:left="420" w:leftChars="200"/>
        <w:jc w:val="left"/>
        <w:rPr>
          <w:rFonts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2B3B906">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1.日常监督</w:t>
      </w:r>
    </w:p>
    <w:p w14:paraId="6E6976A2">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定期检查</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校方每季度组织1次服务质量评估会议，保险公司需提交服务报告。</w:t>
      </w:r>
    </w:p>
    <w:p w14:paraId="11ED46DD">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随机抽查</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对已结案的理赔案件进行5%比例抽查，核实理赔时效和服务态度。</w:t>
      </w:r>
    </w:p>
    <w:p w14:paraId="388ED72A">
      <w:pPr>
        <w:snapToGrid w:val="0"/>
        <w:spacing w:before="156" w:beforeLines="50" w:line="360" w:lineRule="auto"/>
        <w:ind w:left="420" w:leftChars="200"/>
        <w:jc w:val="left"/>
        <w:rPr>
          <w:rFonts w:ascii="仿宋" w:hAnsi="仿宋" w:eastAsia="仿宋" w:cs="仿宋"/>
          <w:color w:val="333333"/>
          <w:kern w:val="0"/>
          <w:sz w:val="24"/>
          <w:szCs w:val="24"/>
        </w:rPr>
      </w:pPr>
      <w:r>
        <w:rPr>
          <w:rFonts w:hint="eastAsia" w:ascii="仿宋" w:hAnsi="仿宋" w:eastAsia="仿宋" w:cs="仿宋"/>
          <w:color w:val="333333"/>
          <w:kern w:val="0"/>
          <w:sz w:val="24"/>
          <w:szCs w:val="24"/>
        </w:rPr>
        <w:t>师生满意度调查</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每学期末向师生发放匿名问卷，评估保险公司服务体验(如理赔便捷性、培训效果等)。</w:t>
      </w:r>
    </w:p>
    <w:p w14:paraId="131E91A9">
      <w:pPr>
        <w:snapToGrid w:val="0"/>
        <w:spacing w:before="156" w:beforeLines="50" w:line="360" w:lineRule="auto"/>
        <w:ind w:left="420" w:leftChars="200"/>
        <w:jc w:val="left"/>
        <w:rPr>
          <w:rFonts w:ascii="仿宋" w:hAnsi="仿宋" w:eastAsia="仿宋" w:cstheme="minorEastAsia"/>
          <w:b/>
          <w:sz w:val="24"/>
          <w:szCs w:val="24"/>
        </w:rPr>
      </w:pPr>
      <w:r>
        <w:rPr>
          <w:rFonts w:hint="eastAsia" w:ascii="仿宋" w:hAnsi="仿宋" w:eastAsia="仿宋" w:cstheme="minorEastAsia"/>
          <w:b/>
          <w:sz w:val="24"/>
          <w:szCs w:val="24"/>
        </w:rPr>
        <w:t>2.量化评分(百分制)</w:t>
      </w:r>
    </w:p>
    <w:p w14:paraId="72AB98FF">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优秀(90分以上)</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各项指标达标，师生满意度高，可给予续约优先权或额外奖励。</w:t>
      </w:r>
    </w:p>
    <w:p w14:paraId="7D08F25E">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良好(80-89分)</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基本达标，但部分服务需优化，要求提交整改计划。</w:t>
      </w:r>
    </w:p>
    <w:p w14:paraId="52502438">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合格(60-79分)</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存在明显不足，如理赔延迟、培训未完成，按合同扣减服务费。</w:t>
      </w:r>
    </w:p>
    <w:p w14:paraId="205FB2F5">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不合格(60分以下)</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严重违约(如恶意拒赔、数据泄露)，校方有权终止合同。</w:t>
      </w:r>
    </w:p>
    <w:p w14:paraId="331743FB">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五、投标报价说明</w:t>
      </w:r>
    </w:p>
    <w:p w14:paraId="0A7E61D8">
      <w:pPr>
        <w:pStyle w:val="40"/>
        <w:spacing w:line="520" w:lineRule="exact"/>
        <w:ind w:firstLine="48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rPr>
        <w:t>本项目招标上限价为12万元，报价为一次性报价。</w:t>
      </w:r>
    </w:p>
    <w:p w14:paraId="321BA2FB">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C082B69">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本合同为含税总价包干，成交供应商收到成交通知后，应在一周内签订合同。</w:t>
      </w:r>
    </w:p>
    <w:p w14:paraId="40098E55">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七、付款方式</w:t>
      </w:r>
    </w:p>
    <w:p w14:paraId="44A4E3F1">
      <w:pPr>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甲方根据实际参保学生人数一次性支付合同约定保费，乙方开具正规发票，甲方办理国库转账支付。</w:t>
      </w:r>
    </w:p>
    <w:p w14:paraId="5589A270">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八、其他说明：</w:t>
      </w:r>
    </w:p>
    <w:p w14:paraId="2E25C579">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0F8A11FA"/>
    <w:p w14:paraId="0E6EC773"/>
    <w:p w14:paraId="20F96A8C"/>
    <w:p w14:paraId="62662AF4"/>
    <w:p w14:paraId="023D4EE3"/>
    <w:p w14:paraId="396AF186">
      <w:bookmarkStart w:id="9" w:name="_GoBack"/>
      <w:bookmarkEnd w:id="9"/>
    </w:p>
    <w:p w14:paraId="13E21FC1">
      <w:pPr>
        <w:pStyle w:val="15"/>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34073DC6">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14:paraId="159754F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01F2FBE7">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31F5FD22">
      <w:pPr>
        <w:spacing w:line="360" w:lineRule="auto"/>
        <w:ind w:firstLine="480" w:firstLineChars="200"/>
        <w:rPr>
          <w:rFonts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5E189DCF">
      <w:pPr>
        <w:spacing w:line="360" w:lineRule="auto"/>
        <w:ind w:firstLine="480" w:firstLineChars="200"/>
        <w:rPr>
          <w:rFonts w:ascii="仿宋" w:hAnsi="仿宋" w:eastAsia="仿宋"/>
          <w:sz w:val="24"/>
          <w:szCs w:val="24"/>
        </w:rPr>
      </w:pPr>
      <w:r>
        <w:rPr>
          <w:rFonts w:hint="eastAsia" w:ascii="仿宋" w:hAnsi="仿宋" w:eastAsia="仿宋"/>
          <w:sz w:val="24"/>
          <w:szCs w:val="24"/>
        </w:rPr>
        <w:t>2.2本采购项目的评审因素和标准见表1</w:t>
      </w:r>
    </w:p>
    <w:p w14:paraId="69880FA1">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14:paraId="1EA28DF2">
      <w:pPr>
        <w:spacing w:line="360" w:lineRule="auto"/>
        <w:ind w:firstLine="480" w:firstLineChars="200"/>
        <w:rPr>
          <w:rFonts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71C556AE">
      <w:pPr>
        <w:spacing w:line="360" w:lineRule="auto"/>
        <w:ind w:firstLine="480" w:firstLineChars="200"/>
        <w:rPr>
          <w:rFonts w:ascii="仿宋" w:hAnsi="仿宋" w:eastAsia="仿宋"/>
          <w:sz w:val="24"/>
          <w:szCs w:val="24"/>
        </w:rPr>
      </w:pPr>
      <w:r>
        <w:rPr>
          <w:rFonts w:hint="eastAsia" w:ascii="仿宋" w:hAnsi="仿宋" w:eastAsia="仿宋"/>
          <w:sz w:val="24"/>
          <w:szCs w:val="24"/>
        </w:rPr>
        <w:t>3.2最终报价评价。询比小组以最终报价为基础。</w:t>
      </w:r>
    </w:p>
    <w:p w14:paraId="26C6A0FB">
      <w:pPr>
        <w:spacing w:line="360" w:lineRule="auto"/>
        <w:ind w:firstLine="480" w:firstLineChars="200"/>
        <w:rPr>
          <w:rFonts w:ascii="仿宋" w:hAnsi="仿宋" w:eastAsia="仿宋"/>
          <w:sz w:val="24"/>
          <w:szCs w:val="24"/>
        </w:rPr>
      </w:pPr>
      <w:r>
        <w:rPr>
          <w:rFonts w:hint="eastAsia" w:ascii="仿宋" w:hAnsi="仿宋" w:eastAsia="仿宋"/>
          <w:sz w:val="24"/>
          <w:szCs w:val="24"/>
        </w:rPr>
        <w:t>3.3价格分采用按评审因素和标准表格内评分标准执行。</w:t>
      </w:r>
    </w:p>
    <w:p w14:paraId="4A3546BA">
      <w:pPr>
        <w:spacing w:line="360" w:lineRule="auto"/>
        <w:ind w:firstLine="480" w:firstLineChars="200"/>
        <w:rPr>
          <w:rFonts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w:t>
      </w:r>
      <w:r>
        <w:rPr>
          <w:rFonts w:hint="eastAsia" w:ascii="仿宋" w:hAnsi="仿宋" w:eastAsia="仿宋"/>
          <w:sz w:val="24"/>
          <w:szCs w:val="24"/>
          <w:lang w:val="en-US" w:eastAsia="zh-CN"/>
        </w:rPr>
        <w:t>各</w:t>
      </w:r>
      <w:r>
        <w:rPr>
          <w:rFonts w:hint="eastAsia" w:ascii="仿宋" w:hAnsi="仿宋" w:eastAsia="仿宋"/>
          <w:sz w:val="24"/>
          <w:szCs w:val="24"/>
        </w:rPr>
        <w:t>项评分因素的得分。</w:t>
      </w:r>
    </w:p>
    <w:p w14:paraId="0C7C078C">
      <w:pPr>
        <w:pStyle w:val="15"/>
        <w:spacing w:before="0" w:beforeAutospacing="0" w:after="0" w:line="240" w:lineRule="atLeast"/>
        <w:ind w:left="0" w:leftChars="0" w:firstLine="0"/>
        <w:rPr>
          <w:rFonts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6"/>
        <w:tblW w:w="910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960"/>
        <w:gridCol w:w="720"/>
        <w:gridCol w:w="6252"/>
      </w:tblGrid>
      <w:tr w14:paraId="7F5FEE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77" w:type="dxa"/>
            <w:vAlign w:val="center"/>
          </w:tcPr>
          <w:p w14:paraId="15F5EB97">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评审因素</w:t>
            </w:r>
          </w:p>
        </w:tc>
        <w:tc>
          <w:tcPr>
            <w:tcW w:w="960" w:type="dxa"/>
            <w:vAlign w:val="center"/>
          </w:tcPr>
          <w:p w14:paraId="0511F327">
            <w:pPr>
              <w:adjustRightInd w:val="0"/>
              <w:snapToGrid w:val="0"/>
              <w:jc w:val="center"/>
              <w:rPr>
                <w:rFonts w:ascii="宋体" w:hAnsi="宋体" w:cs="宋体"/>
                <w:color w:val="000000" w:themeColor="text1"/>
                <w:szCs w:val="21"/>
                <w14:textFill>
                  <w14:solidFill>
                    <w14:schemeClr w14:val="tx1"/>
                  </w14:solidFill>
                </w14:textFill>
              </w:rPr>
            </w:pPr>
          </w:p>
        </w:tc>
        <w:tc>
          <w:tcPr>
            <w:tcW w:w="720" w:type="dxa"/>
            <w:vAlign w:val="center"/>
          </w:tcPr>
          <w:p w14:paraId="4EAFF4B2">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权值</w:t>
            </w:r>
          </w:p>
        </w:tc>
        <w:tc>
          <w:tcPr>
            <w:tcW w:w="6252" w:type="dxa"/>
            <w:vAlign w:val="center"/>
          </w:tcPr>
          <w:p w14:paraId="030B7FFE">
            <w:pPr>
              <w:widowControl/>
              <w:adjustRightInd w:val="0"/>
              <w:snapToGrid w:val="0"/>
              <w:spacing w:line="400" w:lineRule="exact"/>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评分标准</w:t>
            </w:r>
          </w:p>
        </w:tc>
      </w:tr>
      <w:tr w14:paraId="78CC98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177" w:type="dxa"/>
            <w:vAlign w:val="center"/>
          </w:tcPr>
          <w:p w14:paraId="149035CC">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w:t>
            </w:r>
          </w:p>
          <w:p w14:paraId="2ADB36B8">
            <w:pPr>
              <w:spacing w:line="240" w:lineRule="exact"/>
              <w:ind w:left="624" w:hanging="623" w:hangingChars="297"/>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10分</w:t>
            </w:r>
            <w:r>
              <w:rPr>
                <w:rFonts w:hint="eastAsia" w:ascii="宋体" w:hAnsi="宋体" w:cs="宋体"/>
                <w:color w:val="000000" w:themeColor="text1"/>
                <w:szCs w:val="21"/>
                <w:lang w:eastAsia="zh-CN"/>
                <w14:textFill>
                  <w14:solidFill>
                    <w14:schemeClr w14:val="tx1"/>
                  </w14:solidFill>
                </w14:textFill>
              </w:rPr>
              <w:t>）</w:t>
            </w:r>
          </w:p>
        </w:tc>
        <w:tc>
          <w:tcPr>
            <w:tcW w:w="960" w:type="dxa"/>
            <w:vAlign w:val="center"/>
          </w:tcPr>
          <w:p w14:paraId="556253AD">
            <w:pPr>
              <w:adjustRightInd w:val="0"/>
              <w:snapToGrid w:val="0"/>
              <w:jc w:val="center"/>
              <w:rPr>
                <w:rFonts w:ascii="宋体" w:hAnsi="宋体" w:cs="宋体"/>
                <w:color w:val="000000" w:themeColor="text1"/>
                <w:szCs w:val="21"/>
                <w14:textFill>
                  <w14:solidFill>
                    <w14:schemeClr w14:val="tx1"/>
                  </w14:solidFill>
                </w14:textFill>
              </w:rPr>
            </w:pPr>
          </w:p>
        </w:tc>
        <w:tc>
          <w:tcPr>
            <w:tcW w:w="720" w:type="dxa"/>
            <w:vAlign w:val="center"/>
          </w:tcPr>
          <w:p w14:paraId="290D511C">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6252" w:type="dxa"/>
            <w:vAlign w:val="center"/>
          </w:tcPr>
          <w:p w14:paraId="6996187E">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满足招标文件实质性要求的所有有效投标报价的算术平均值，作为评标基准价，投标报价得分计算=(评标基准价修正或调整/投标报价修正或调整)x10分。</w:t>
            </w:r>
          </w:p>
          <w:p w14:paraId="75E508F8">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w:t>
            </w:r>
            <w:r>
              <w:rPr>
                <w:rFonts w:hint="eastAsia" w:ascii="宋体" w:hAnsi="宋体" w:cs="宋体"/>
                <w:b/>
                <w:color w:val="000000" w:themeColor="text1"/>
                <w:kern w:val="0"/>
                <w:szCs w:val="21"/>
                <w14:textFill>
                  <w14:solidFill>
                    <w14:schemeClr w14:val="tx1"/>
                  </w14:solidFill>
                </w14:textFill>
              </w:rPr>
              <w:t>1</w:t>
            </w:r>
            <w:r>
              <w:rPr>
                <w:rFonts w:ascii="宋体" w:hAnsi="宋体" w:cs="宋体"/>
                <w:b/>
                <w:color w:val="000000" w:themeColor="text1"/>
                <w:kern w:val="0"/>
                <w:szCs w:val="21"/>
                <w14:textFill>
                  <w14:solidFill>
                    <w14:schemeClr w14:val="tx1"/>
                  </w14:solidFill>
                </w14:textFill>
              </w:rPr>
              <w:t>0分。</w:t>
            </w:r>
          </w:p>
        </w:tc>
      </w:tr>
      <w:tr w14:paraId="5A5CC9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5" w:hRule="atLeast"/>
          <w:jc w:val="center"/>
        </w:trPr>
        <w:tc>
          <w:tcPr>
            <w:tcW w:w="1177" w:type="dxa"/>
            <w:vMerge w:val="restart"/>
            <w:vAlign w:val="center"/>
          </w:tcPr>
          <w:p w14:paraId="37FF610D">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技术部分</w:t>
            </w:r>
          </w:p>
          <w:p w14:paraId="3CA69428">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45分</w:t>
            </w:r>
            <w:r>
              <w:rPr>
                <w:rFonts w:hint="eastAsia" w:ascii="宋体" w:hAnsi="宋体" w:cs="宋体"/>
                <w:color w:val="000000" w:themeColor="text1"/>
                <w:szCs w:val="21"/>
                <w:lang w:eastAsia="zh-CN"/>
                <w14:textFill>
                  <w14:solidFill>
                    <w14:schemeClr w14:val="tx1"/>
                  </w14:solidFill>
                </w14:textFill>
              </w:rPr>
              <w:t>）</w:t>
            </w:r>
          </w:p>
        </w:tc>
        <w:tc>
          <w:tcPr>
            <w:tcW w:w="960" w:type="dxa"/>
            <w:vAlign w:val="center"/>
          </w:tcPr>
          <w:p w14:paraId="6A3B0662">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项目实</w:t>
            </w:r>
          </w:p>
          <w:p w14:paraId="71F173CF">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施方案</w:t>
            </w:r>
          </w:p>
        </w:tc>
        <w:tc>
          <w:tcPr>
            <w:tcW w:w="720" w:type="dxa"/>
            <w:vAlign w:val="center"/>
          </w:tcPr>
          <w:p w14:paraId="6A014E44">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6252" w:type="dxa"/>
            <w:vAlign w:val="center"/>
          </w:tcPr>
          <w:p w14:paraId="1E70E1B1">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根据供应商针对本项目的实施方案进行评审，方案需涵盖以下关键方面：①有较完整、合理的总体方案和可行的实施计划；（</w:t>
            </w:r>
            <w:r>
              <w:rPr>
                <w:rFonts w:ascii="宋体" w:hAnsi="宋体" w:cs="宋体"/>
                <w:color w:val="000000" w:themeColor="text1"/>
                <w:kern w:val="0"/>
                <w:szCs w:val="21"/>
                <w14:textFill>
                  <w14:solidFill>
                    <w14:schemeClr w14:val="tx1"/>
                  </w14:solidFill>
                </w14:textFill>
              </w:rPr>
              <w:t>3分）</w:t>
            </w:r>
            <w:r>
              <w:rPr>
                <w:rFonts w:hint="eastAsia" w:ascii="宋体" w:hAnsi="宋体" w:cs="宋体"/>
                <w:color w:val="000000" w:themeColor="text1"/>
                <w:kern w:val="0"/>
                <w:szCs w:val="21"/>
                <w14:textFill>
                  <w14:solidFill>
                    <w14:schemeClr w14:val="tx1"/>
                  </w14:solidFill>
                </w14:textFill>
              </w:rPr>
              <w:t>②人员配备、组织实施；（3分）③风险管控、突发事件处置方案；（3分）④日常管理制度；（3分）⑤售后服务方案。（3分</w:t>
            </w:r>
          </w:p>
          <w:p w14:paraId="6B8F16D8">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评审小组根据方案的完整性、合理性等进行评价，以上</w:t>
            </w:r>
            <w:r>
              <w:rPr>
                <w:rFonts w:hint="eastAsia" w:ascii="宋体" w:hAnsi="宋体" w:cs="宋体"/>
                <w:color w:val="000000" w:themeColor="text1"/>
                <w:kern w:val="0"/>
                <w:szCs w:val="21"/>
                <w14:textFill>
                  <w14:solidFill>
                    <w14:schemeClr w14:val="tx1"/>
                  </w14:solidFill>
                </w14:textFill>
              </w:rPr>
              <w:t>①~⑤条方案内容全面、科学合理。</w:t>
            </w:r>
          </w:p>
          <w:p w14:paraId="6B6C4A9C">
            <w:pPr>
              <w:widowControl/>
              <w:adjustRightInd w:val="0"/>
              <w:snapToGrid w:val="0"/>
              <w:spacing w:line="400" w:lineRule="exact"/>
              <w:jc w:val="left"/>
              <w:rPr>
                <w:rFonts w:ascii="宋体" w:hAnsi="宋体" w:cs="宋体"/>
                <w:b/>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w:t>
            </w:r>
            <w:r>
              <w:rPr>
                <w:rFonts w:hint="eastAsia" w:ascii="宋体" w:hAnsi="宋体" w:cs="宋体"/>
                <w:b/>
                <w:color w:val="000000" w:themeColor="text1"/>
                <w:kern w:val="0"/>
                <w:szCs w:val="21"/>
                <w14:textFill>
                  <w14:solidFill>
                    <w14:schemeClr w14:val="tx1"/>
                  </w14:solidFill>
                </w14:textFill>
              </w:rPr>
              <w:t>1</w:t>
            </w:r>
            <w:r>
              <w:rPr>
                <w:rFonts w:ascii="宋体" w:hAnsi="宋体" w:cs="宋体"/>
                <w:b/>
                <w:color w:val="000000" w:themeColor="text1"/>
                <w:kern w:val="0"/>
                <w:szCs w:val="21"/>
                <w14:textFill>
                  <w14:solidFill>
                    <w14:schemeClr w14:val="tx1"/>
                  </w14:solidFill>
                </w14:textFill>
              </w:rPr>
              <w:t>5分。</w:t>
            </w:r>
          </w:p>
          <w:p w14:paraId="3EBB00F1">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【评审依据】：响应文件中提供项目整体实施方案，未提供的不计分。</w:t>
            </w:r>
          </w:p>
        </w:tc>
      </w:tr>
      <w:tr w14:paraId="5A977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1177" w:type="dxa"/>
            <w:vMerge w:val="continue"/>
            <w:vAlign w:val="center"/>
          </w:tcPr>
          <w:p w14:paraId="11EB0DA7">
            <w:pPr>
              <w:widowControl/>
              <w:adjustRightInd w:val="0"/>
              <w:snapToGrid w:val="0"/>
              <w:spacing w:line="400" w:lineRule="exact"/>
              <w:jc w:val="left"/>
              <w:rPr>
                <w:color w:val="000000" w:themeColor="text1"/>
                <w14:textFill>
                  <w14:solidFill>
                    <w14:schemeClr w14:val="tx1"/>
                  </w14:solidFill>
                </w14:textFill>
              </w:rPr>
            </w:pPr>
          </w:p>
        </w:tc>
        <w:tc>
          <w:tcPr>
            <w:tcW w:w="960" w:type="dxa"/>
            <w:vAlign w:val="center"/>
          </w:tcPr>
          <w:p w14:paraId="16DCFE9A">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投诉处理及应急预案</w:t>
            </w:r>
          </w:p>
        </w:tc>
        <w:tc>
          <w:tcPr>
            <w:tcW w:w="720" w:type="dxa"/>
            <w:vAlign w:val="center"/>
          </w:tcPr>
          <w:p w14:paraId="5FF95243">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6252" w:type="dxa"/>
            <w:vAlign w:val="center"/>
          </w:tcPr>
          <w:p w14:paraId="62538EAF">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根据供应商针对本项目的服务评价反馈体系进行评审，包含：①服务投诉处理方案；（5分）②应急处置方案。（5分）</w:t>
            </w:r>
          </w:p>
          <w:p w14:paraId="3A95CA3C">
            <w:pPr>
              <w:widowControl/>
              <w:adjustRightInd w:val="0"/>
              <w:snapToGrid w:val="0"/>
              <w:spacing w:line="400" w:lineRule="exact"/>
              <w:jc w:val="left"/>
              <w:rPr>
                <w:rFonts w:ascii="宋体" w:hAnsi="宋体" w:cs="宋体"/>
                <w:b/>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w:t>
            </w:r>
            <w:r>
              <w:rPr>
                <w:rFonts w:hint="eastAsia" w:ascii="宋体" w:hAnsi="宋体" w:cs="宋体"/>
                <w:b/>
                <w:color w:val="000000" w:themeColor="text1"/>
                <w:kern w:val="0"/>
                <w:szCs w:val="21"/>
                <w14:textFill>
                  <w14:solidFill>
                    <w14:schemeClr w14:val="tx1"/>
                  </w14:solidFill>
                </w14:textFill>
              </w:rPr>
              <w:t>1</w:t>
            </w:r>
            <w:r>
              <w:rPr>
                <w:rFonts w:ascii="宋体" w:hAnsi="宋体" w:cs="宋体"/>
                <w:b/>
                <w:color w:val="000000" w:themeColor="text1"/>
                <w:kern w:val="0"/>
                <w:szCs w:val="21"/>
                <w14:textFill>
                  <w14:solidFill>
                    <w14:schemeClr w14:val="tx1"/>
                  </w14:solidFill>
                </w14:textFill>
              </w:rPr>
              <w:t>0分。</w:t>
            </w:r>
          </w:p>
          <w:p w14:paraId="485CF34F">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【评审依据】：响应文件中提供项目服务评价反馈体系方案，未提供的不计分。</w:t>
            </w:r>
          </w:p>
        </w:tc>
      </w:tr>
      <w:tr w14:paraId="73E015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3" w:hRule="atLeast"/>
          <w:jc w:val="center"/>
        </w:trPr>
        <w:tc>
          <w:tcPr>
            <w:tcW w:w="1177" w:type="dxa"/>
            <w:vMerge w:val="continue"/>
            <w:vAlign w:val="center"/>
          </w:tcPr>
          <w:p w14:paraId="1D507676">
            <w:pPr>
              <w:widowControl/>
              <w:adjustRightInd w:val="0"/>
              <w:snapToGrid w:val="0"/>
              <w:spacing w:line="400" w:lineRule="exact"/>
              <w:jc w:val="left"/>
              <w:rPr>
                <w:color w:val="000000" w:themeColor="text1"/>
                <w14:textFill>
                  <w14:solidFill>
                    <w14:schemeClr w14:val="tx1"/>
                  </w14:solidFill>
                </w14:textFill>
              </w:rPr>
            </w:pPr>
          </w:p>
        </w:tc>
        <w:tc>
          <w:tcPr>
            <w:tcW w:w="960" w:type="dxa"/>
            <w:vAlign w:val="center"/>
          </w:tcPr>
          <w:p w14:paraId="097BD542">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理赔服务方案</w:t>
            </w:r>
          </w:p>
        </w:tc>
        <w:tc>
          <w:tcPr>
            <w:tcW w:w="720" w:type="dxa"/>
            <w:vAlign w:val="center"/>
          </w:tcPr>
          <w:p w14:paraId="0EE35036">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6252" w:type="dxa"/>
            <w:vAlign w:val="center"/>
          </w:tcPr>
          <w:p w14:paraId="16D3AF81">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根据供应商针对本项目的理赔服务进行评审方案。①理赔服务方案；（5分）②风险管理及防灾防损服务方案。（5分）</w:t>
            </w:r>
          </w:p>
          <w:p w14:paraId="520094E5">
            <w:pPr>
              <w:widowControl/>
              <w:adjustRightInd w:val="0"/>
              <w:snapToGrid w:val="0"/>
              <w:spacing w:line="400" w:lineRule="exact"/>
              <w:jc w:val="left"/>
              <w:rPr>
                <w:rFonts w:ascii="宋体" w:hAnsi="宋体" w:cs="宋体"/>
                <w:b/>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w:t>
            </w:r>
            <w:r>
              <w:rPr>
                <w:rFonts w:hint="eastAsia" w:ascii="宋体" w:hAnsi="宋体" w:cs="宋体"/>
                <w:b/>
                <w:color w:val="000000" w:themeColor="text1"/>
                <w:kern w:val="0"/>
                <w:szCs w:val="21"/>
                <w14:textFill>
                  <w14:solidFill>
                    <w14:schemeClr w14:val="tx1"/>
                  </w14:solidFill>
                </w14:textFill>
              </w:rPr>
              <w:t>1</w:t>
            </w:r>
            <w:r>
              <w:rPr>
                <w:rFonts w:ascii="宋体" w:hAnsi="宋体" w:cs="宋体"/>
                <w:b/>
                <w:color w:val="000000" w:themeColor="text1"/>
                <w:kern w:val="0"/>
                <w:szCs w:val="21"/>
                <w14:textFill>
                  <w14:solidFill>
                    <w14:schemeClr w14:val="tx1"/>
                  </w14:solidFill>
                </w14:textFill>
              </w:rPr>
              <w:t>0分。</w:t>
            </w:r>
          </w:p>
          <w:p w14:paraId="101EE912">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【评审依据】：响应文件中提供项目理赔服务方案，未提供的不计分。</w:t>
            </w:r>
          </w:p>
        </w:tc>
      </w:tr>
      <w:tr w14:paraId="38D9C8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177" w:type="dxa"/>
            <w:vMerge w:val="continue"/>
            <w:vAlign w:val="center"/>
          </w:tcPr>
          <w:p w14:paraId="115FEEBD">
            <w:pPr>
              <w:spacing w:line="240" w:lineRule="exact"/>
              <w:ind w:left="624" w:hanging="623" w:hangingChars="297"/>
              <w:jc w:val="center"/>
              <w:rPr>
                <w:rFonts w:ascii="宋体" w:hAnsi="宋体" w:cs="宋体"/>
                <w:color w:val="000000" w:themeColor="text1"/>
                <w:szCs w:val="21"/>
                <w14:textFill>
                  <w14:solidFill>
                    <w14:schemeClr w14:val="tx1"/>
                  </w14:solidFill>
                </w14:textFill>
              </w:rPr>
            </w:pPr>
          </w:p>
        </w:tc>
        <w:tc>
          <w:tcPr>
            <w:tcW w:w="960" w:type="dxa"/>
            <w:vAlign w:val="center"/>
          </w:tcPr>
          <w:p w14:paraId="4C8919E6">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服务能力与增值服务</w:t>
            </w:r>
          </w:p>
        </w:tc>
        <w:tc>
          <w:tcPr>
            <w:tcW w:w="720" w:type="dxa"/>
            <w:vAlign w:val="center"/>
          </w:tcPr>
          <w:p w14:paraId="4382F068">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6252" w:type="dxa"/>
            <w:vAlign w:val="center"/>
          </w:tcPr>
          <w:p w14:paraId="2483AD99">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根据供应商针对本项目①拟配备的服务组织机构；（5分）②服务团队构成情况。（5分）</w:t>
            </w:r>
          </w:p>
          <w:p w14:paraId="543C332A">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w:t>
            </w:r>
            <w:r>
              <w:rPr>
                <w:rFonts w:hint="eastAsia" w:ascii="宋体" w:hAnsi="宋体" w:cs="宋体"/>
                <w:b/>
                <w:color w:val="000000" w:themeColor="text1"/>
                <w:kern w:val="0"/>
                <w:szCs w:val="21"/>
                <w14:textFill>
                  <w14:solidFill>
                    <w14:schemeClr w14:val="tx1"/>
                  </w14:solidFill>
                </w14:textFill>
              </w:rPr>
              <w:t>1</w:t>
            </w:r>
            <w:r>
              <w:rPr>
                <w:rFonts w:ascii="宋体" w:hAnsi="宋体" w:cs="宋体"/>
                <w:b/>
                <w:color w:val="000000" w:themeColor="text1"/>
                <w:kern w:val="0"/>
                <w:szCs w:val="21"/>
                <w14:textFill>
                  <w14:solidFill>
                    <w14:schemeClr w14:val="tx1"/>
                  </w14:solidFill>
                </w14:textFill>
              </w:rPr>
              <w:t>0分。</w:t>
            </w:r>
          </w:p>
          <w:p w14:paraId="5269486E">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【评审依据】：以上人员须为供应商的劳动合同人员，供应商提供近三个月为其缴纳社保的证明并加盖供应商公章，否则不计分。</w:t>
            </w:r>
          </w:p>
        </w:tc>
      </w:tr>
      <w:tr w14:paraId="6B9C5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1177" w:type="dxa"/>
            <w:vMerge w:val="restart"/>
            <w:vAlign w:val="center"/>
          </w:tcPr>
          <w:p w14:paraId="769C86EE">
            <w:pPr>
              <w:spacing w:line="240" w:lineRule="exact"/>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商务部分</w:t>
            </w:r>
          </w:p>
          <w:p w14:paraId="645D1B8C">
            <w:pPr>
              <w:spacing w:line="240" w:lineRule="exact"/>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45分</w:t>
            </w:r>
            <w:r>
              <w:rPr>
                <w:rFonts w:hint="eastAsia" w:ascii="宋体" w:hAnsi="宋体" w:cs="宋体"/>
                <w:color w:val="000000" w:themeColor="text1"/>
                <w:szCs w:val="21"/>
                <w:lang w:eastAsia="zh-CN"/>
                <w14:textFill>
                  <w14:solidFill>
                    <w14:schemeClr w14:val="tx1"/>
                  </w14:solidFill>
                </w14:textFill>
              </w:rPr>
              <w:t>）</w:t>
            </w:r>
          </w:p>
        </w:tc>
        <w:tc>
          <w:tcPr>
            <w:tcW w:w="960" w:type="dxa"/>
            <w:vAlign w:val="center"/>
          </w:tcPr>
          <w:p w14:paraId="5FC2765B">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偿付能力</w:t>
            </w:r>
          </w:p>
        </w:tc>
        <w:tc>
          <w:tcPr>
            <w:tcW w:w="720" w:type="dxa"/>
            <w:vAlign w:val="center"/>
          </w:tcPr>
          <w:p w14:paraId="57DF73A5">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6252" w:type="dxa"/>
            <w:vAlign w:val="center"/>
          </w:tcPr>
          <w:p w14:paraId="71BF2571">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供应商提供的偿付能力证明进行评分，评分依据为供应商 2025 年第一季度的综合偿付能力充足率：＞230% ，计 5分；200%（含）至 230%（含）， 计 3分；＜200%的，计1分。</w:t>
            </w:r>
          </w:p>
          <w:p w14:paraId="4D0C5D41">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注：提供中国保险行业协会官网</w:t>
            </w:r>
          </w:p>
          <w:p w14:paraId="6E627488">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fldChar w:fldCharType="begin"/>
            </w:r>
            <w:r>
              <w:instrText xml:space="preserve"> HYPERLINK "http://www.iachina.cn/" </w:instrText>
            </w:r>
            <w:r>
              <w:fldChar w:fldCharType="separate"/>
            </w:r>
            <w:r>
              <w:rPr>
                <w:rFonts w:hint="eastAsia" w:ascii="宋体" w:hAnsi="宋体" w:cs="宋体"/>
                <w:color w:val="000000" w:themeColor="text1"/>
                <w:kern w:val="0"/>
                <w:szCs w:val="21"/>
                <w14:textFill>
                  <w14:solidFill>
                    <w14:schemeClr w14:val="tx1"/>
                  </w14:solidFill>
                </w14:textFill>
              </w:rPr>
              <w:t>http://www.iachina.cn/</w:t>
            </w:r>
            <w:r>
              <w:rPr>
                <w:rFonts w:hint="eastAsia" w:ascii="宋体" w:hAnsi="宋体" w:cs="宋体"/>
                <w:color w:val="000000" w:themeColor="text1"/>
                <w:kern w:val="0"/>
                <w:szCs w:val="21"/>
                <w14:textFill>
                  <w14:solidFill>
                    <w14:schemeClr w14:val="tx1"/>
                  </w14:solidFill>
                </w14:textFill>
              </w:rPr>
              <w:fldChar w:fldCharType="end"/>
            </w:r>
            <w:r>
              <w:rPr>
                <w:rFonts w:hint="eastAsia" w:ascii="宋体" w:hAnsi="宋体" w:cs="宋体"/>
                <w:color w:val="000000" w:themeColor="text1"/>
                <w:kern w:val="0"/>
                <w:szCs w:val="21"/>
                <w14:textFill>
                  <w14:solidFill>
                    <w14:schemeClr w14:val="tx1"/>
                  </w14:solidFill>
                </w14:textFill>
              </w:rPr>
              <w:t>）下载的包含其公司名称的 2025 年第一季度偿付能力报告摘要截图并加盖投标人公章。</w:t>
            </w:r>
          </w:p>
          <w:p w14:paraId="4E3F6061">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本项满分5分。</w:t>
            </w:r>
          </w:p>
        </w:tc>
      </w:tr>
      <w:tr w14:paraId="78138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77" w:type="dxa"/>
            <w:vMerge w:val="continue"/>
            <w:vAlign w:val="center"/>
          </w:tcPr>
          <w:p w14:paraId="43ED283B">
            <w:pPr>
              <w:spacing w:line="240" w:lineRule="exact"/>
              <w:jc w:val="center"/>
              <w:rPr>
                <w:rFonts w:ascii="宋体" w:hAnsi="宋体" w:cs="宋体"/>
                <w:color w:val="000000" w:themeColor="text1"/>
                <w:szCs w:val="21"/>
                <w14:textFill>
                  <w14:solidFill>
                    <w14:schemeClr w14:val="tx1"/>
                  </w14:solidFill>
                </w14:textFill>
              </w:rPr>
            </w:pPr>
          </w:p>
        </w:tc>
        <w:tc>
          <w:tcPr>
            <w:tcW w:w="960" w:type="dxa"/>
            <w:vAlign w:val="center"/>
          </w:tcPr>
          <w:p w14:paraId="6F503240">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公司实力</w:t>
            </w:r>
          </w:p>
        </w:tc>
        <w:tc>
          <w:tcPr>
            <w:tcW w:w="720" w:type="dxa"/>
            <w:vAlign w:val="center"/>
          </w:tcPr>
          <w:p w14:paraId="24CA1D56">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6252" w:type="dxa"/>
            <w:vAlign w:val="center"/>
          </w:tcPr>
          <w:p w14:paraId="73F0AE30">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供应商提供的注册资本证明进行评分，评分依据为供应商提供2024年度信息披露报告注册资本，注册资本230亿元以上计，10分；200亿元至 230亿元， 计 7分；180亿元（含）至 200亿元， 计4分； ＜180亿元的计 1分。</w:t>
            </w:r>
          </w:p>
          <w:p w14:paraId="73574FF6">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注：①投标人需在投标文件中提供“中国保险行业协会官网”“信息披露”“保险公司年度信息披露”“2024年度信息披露报告”网站查询截图并加盖投标人公章，否则不计分。</w:t>
            </w:r>
          </w:p>
          <w:p w14:paraId="3749A08A">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w:t>
            </w:r>
            <w:r>
              <w:rPr>
                <w:rFonts w:hint="eastAsia" w:ascii="宋体" w:hAnsi="宋体" w:cs="宋体"/>
                <w:b/>
                <w:color w:val="000000" w:themeColor="text1"/>
                <w:kern w:val="0"/>
                <w:szCs w:val="21"/>
                <w14:textFill>
                  <w14:solidFill>
                    <w14:schemeClr w14:val="tx1"/>
                  </w14:solidFill>
                </w14:textFill>
              </w:rPr>
              <w:t>1</w:t>
            </w:r>
            <w:r>
              <w:rPr>
                <w:rFonts w:ascii="宋体" w:hAnsi="宋体" w:cs="宋体"/>
                <w:b/>
                <w:color w:val="000000" w:themeColor="text1"/>
                <w:kern w:val="0"/>
                <w:szCs w:val="21"/>
                <w14:textFill>
                  <w14:solidFill>
                    <w14:schemeClr w14:val="tx1"/>
                  </w14:solidFill>
                </w14:textFill>
              </w:rPr>
              <w:t>0分。</w:t>
            </w:r>
          </w:p>
        </w:tc>
      </w:tr>
      <w:tr w14:paraId="20559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177" w:type="dxa"/>
            <w:vMerge w:val="continue"/>
            <w:vAlign w:val="center"/>
          </w:tcPr>
          <w:p w14:paraId="405964FB">
            <w:pPr>
              <w:widowControl/>
              <w:adjustRightInd w:val="0"/>
              <w:snapToGrid w:val="0"/>
              <w:spacing w:line="240" w:lineRule="exact"/>
              <w:jc w:val="left"/>
              <w:rPr>
                <w:rFonts w:ascii="宋体" w:hAnsi="宋体" w:cs="宋体"/>
                <w:color w:val="000000" w:themeColor="text1"/>
                <w:szCs w:val="21"/>
                <w14:textFill>
                  <w14:solidFill>
                    <w14:schemeClr w14:val="tx1"/>
                  </w14:solidFill>
                </w14:textFill>
              </w:rPr>
            </w:pPr>
          </w:p>
        </w:tc>
        <w:tc>
          <w:tcPr>
            <w:tcW w:w="960" w:type="dxa"/>
            <w:vAlign w:val="center"/>
          </w:tcPr>
          <w:p w14:paraId="55D69F16">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风险综合评级</w:t>
            </w:r>
          </w:p>
        </w:tc>
        <w:tc>
          <w:tcPr>
            <w:tcW w:w="720" w:type="dxa"/>
            <w:vAlign w:val="center"/>
          </w:tcPr>
          <w:p w14:paraId="14224A4D">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6252" w:type="dxa"/>
            <w:vAlign w:val="center"/>
          </w:tcPr>
          <w:p w14:paraId="7035955B">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根据供应商（投标人）对应的承保法人主体在国家 金融监督管理总局（或当时有效的监管机构）2024 年第四季度风险综合评级结果进行评分：</w:t>
            </w:r>
          </w:p>
          <w:p w14:paraId="52AFC3F6">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风险综合评级为 AA 及以上的，计 10分；</w:t>
            </w:r>
          </w:p>
          <w:p w14:paraId="3BFD909B">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风险综合评级为 A 的，计 7分；</w:t>
            </w:r>
          </w:p>
          <w:p w14:paraId="09A154CA">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风险综合评级为 BBB 的，计 4分；</w:t>
            </w:r>
          </w:p>
          <w:p w14:paraId="0D3E91FE">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风险综合评级为 BB 的，计1分；</w:t>
            </w:r>
          </w:p>
          <w:p w14:paraId="34737120">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其他不计分。</w:t>
            </w:r>
          </w:p>
          <w:p w14:paraId="4BC7A6C6">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注：①以中国保险行业协会官网</w:t>
            </w:r>
          </w:p>
          <w:p w14:paraId="4555E514">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fldChar w:fldCharType="begin"/>
            </w:r>
            <w:r>
              <w:instrText xml:space="preserve"> HYPERLINK "http://www.iachina.cn" </w:instrText>
            </w:r>
            <w:r>
              <w:fldChar w:fldCharType="separate"/>
            </w:r>
            <w:r>
              <w:rPr>
                <w:rFonts w:hint="eastAsia" w:ascii="宋体" w:hAnsi="宋体" w:cs="宋体"/>
                <w:color w:val="000000" w:themeColor="text1"/>
                <w:kern w:val="0"/>
                <w:szCs w:val="21"/>
                <w14:textFill>
                  <w14:solidFill>
                    <w14:schemeClr w14:val="tx1"/>
                  </w14:solidFill>
                </w14:textFill>
              </w:rPr>
              <w:t>http://www.iachina.cn</w:t>
            </w:r>
            <w:r>
              <w:rPr>
                <w:rFonts w:hint="eastAsia" w:ascii="宋体" w:hAnsi="宋体" w:cs="宋体"/>
                <w:color w:val="000000" w:themeColor="text1"/>
                <w:kern w:val="0"/>
                <w:szCs w:val="21"/>
                <w14:textFill>
                  <w14:solidFill>
                    <w14:schemeClr w14:val="tx1"/>
                  </w14:solidFill>
                </w14:textFill>
              </w:rPr>
              <w:fldChar w:fldCharType="end"/>
            </w:r>
            <w:r>
              <w:rPr>
                <w:rFonts w:hint="eastAsia" w:ascii="宋体" w:hAnsi="宋体" w:cs="宋体"/>
                <w:color w:val="000000" w:themeColor="text1"/>
                <w:kern w:val="0"/>
                <w:szCs w:val="21"/>
                <w14:textFill>
                  <w14:solidFill>
                    <w14:schemeClr w14:val="tx1"/>
                  </w14:solidFill>
                </w14:textFill>
              </w:rPr>
              <w:t>） 披露的 《偿付能力报告摘要》 中载明的风险综合评级（分类监管）结果为准。</w:t>
            </w:r>
          </w:p>
          <w:p w14:paraId="0B42005E">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②提供中国保险行业协会官网下载的、包含投标人 对应承保法人主体名称、2024 年第四季度风险综合 评级结果的偿付能力报告摘要相关页面清晰截图并加盖投标人公章，否则不计分；</w:t>
            </w:r>
          </w:p>
          <w:p w14:paraId="662ED257">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w:t>
            </w:r>
            <w:r>
              <w:rPr>
                <w:rFonts w:hint="eastAsia" w:ascii="宋体" w:hAnsi="宋体" w:cs="宋体"/>
                <w:b/>
                <w:color w:val="000000" w:themeColor="text1"/>
                <w:kern w:val="0"/>
                <w:szCs w:val="21"/>
                <w14:textFill>
                  <w14:solidFill>
                    <w14:schemeClr w14:val="tx1"/>
                  </w14:solidFill>
                </w14:textFill>
              </w:rPr>
              <w:t>1</w:t>
            </w:r>
            <w:r>
              <w:rPr>
                <w:rFonts w:ascii="宋体" w:hAnsi="宋体" w:cs="宋体"/>
                <w:b/>
                <w:color w:val="000000" w:themeColor="text1"/>
                <w:kern w:val="0"/>
                <w:szCs w:val="21"/>
                <w14:textFill>
                  <w14:solidFill>
                    <w14:schemeClr w14:val="tx1"/>
                  </w14:solidFill>
                </w14:textFill>
              </w:rPr>
              <w:t>0分。</w:t>
            </w:r>
          </w:p>
        </w:tc>
      </w:tr>
      <w:tr w14:paraId="5FD010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177" w:type="dxa"/>
            <w:vMerge w:val="continue"/>
            <w:vAlign w:val="center"/>
          </w:tcPr>
          <w:p w14:paraId="29BCECA8">
            <w:pPr>
              <w:widowControl/>
              <w:adjustRightInd w:val="0"/>
              <w:snapToGrid w:val="0"/>
              <w:spacing w:line="400" w:lineRule="exact"/>
              <w:jc w:val="left"/>
              <w:rPr>
                <w:color w:val="000000" w:themeColor="text1"/>
                <w14:textFill>
                  <w14:solidFill>
                    <w14:schemeClr w14:val="tx1"/>
                  </w14:solidFill>
                </w14:textFill>
              </w:rPr>
            </w:pPr>
          </w:p>
        </w:tc>
        <w:tc>
          <w:tcPr>
            <w:tcW w:w="960" w:type="dxa"/>
            <w:vAlign w:val="center"/>
          </w:tcPr>
          <w:p w14:paraId="585E8696">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承保经验</w:t>
            </w:r>
          </w:p>
        </w:tc>
        <w:tc>
          <w:tcPr>
            <w:tcW w:w="720" w:type="dxa"/>
            <w:vAlign w:val="center"/>
          </w:tcPr>
          <w:p w14:paraId="79FDB118">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w:t>
            </w:r>
          </w:p>
        </w:tc>
        <w:tc>
          <w:tcPr>
            <w:tcW w:w="6252" w:type="dxa"/>
            <w:vAlign w:val="center"/>
          </w:tcPr>
          <w:p w14:paraId="6A2D6D88">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1、自2022年1月1日以来，承保过校方责任险或实习生责任险或校方师生团体意外险的，单笔保费10万元以上，每1个保单得1分；单笔保费20万元以上，每1个保单得2分，最高得分10分；</w:t>
            </w:r>
          </w:p>
          <w:p w14:paraId="6BCFD870">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自2022年1月1日以来，投标人公司具有相关理赔经验的，成功理赔校方责任险、实习生责任险或校方师生团体意外险的赔付人民币10-20万元以上1个案件得1分；20-50万元以上1个案件得2分，50万元以上1个案件得3分；最高得10分；</w:t>
            </w:r>
          </w:p>
          <w:p w14:paraId="1FAF3F52">
            <w:pPr>
              <w:widowControl/>
              <w:adjustRightInd w:val="0"/>
              <w:snapToGrid w:val="0"/>
              <w:spacing w:line="400" w:lineRule="exact"/>
              <w:jc w:val="left"/>
              <w:rPr>
                <w:rFonts w:ascii="宋体" w:hAnsi="宋体" w:cs="宋体"/>
                <w:b/>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本项满分20分。</w:t>
            </w:r>
          </w:p>
          <w:p w14:paraId="2BC938C8">
            <w:pPr>
              <w:widowControl/>
              <w:adjustRightInd w:val="0"/>
              <w:snapToGrid w:val="0"/>
              <w:spacing w:line="400" w:lineRule="exact"/>
              <w:jc w:val="left"/>
              <w:rPr>
                <w:rFonts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w:t>
            </w:r>
            <w:r>
              <w:rPr>
                <w:rFonts w:ascii="宋体" w:hAnsi="宋体" w:cs="宋体"/>
                <w:b/>
                <w:color w:val="000000" w:themeColor="text1"/>
                <w:kern w:val="0"/>
                <w:szCs w:val="21"/>
                <w14:textFill>
                  <w14:solidFill>
                    <w14:schemeClr w14:val="tx1"/>
                  </w14:solidFill>
                </w14:textFill>
              </w:rPr>
              <w:t>评审依据</w:t>
            </w:r>
            <w:r>
              <w:rPr>
                <w:rFonts w:hint="eastAsia" w:ascii="宋体" w:hAnsi="宋体" w:cs="宋体"/>
                <w:b/>
                <w:color w:val="000000" w:themeColor="text1"/>
                <w:kern w:val="0"/>
                <w:szCs w:val="21"/>
                <w14:textFill>
                  <w14:solidFill>
                    <w14:schemeClr w14:val="tx1"/>
                  </w14:solidFill>
                </w14:textFill>
              </w:rPr>
              <w:t>】</w:t>
            </w:r>
            <w:r>
              <w:rPr>
                <w:rFonts w:ascii="宋体" w:hAnsi="宋体" w:cs="宋体"/>
                <w:b/>
                <w:color w:val="000000" w:themeColor="text1"/>
                <w:kern w:val="0"/>
                <w:szCs w:val="21"/>
                <w14:textFill>
                  <w14:solidFill>
                    <w14:schemeClr w14:val="tx1"/>
                  </w14:solidFill>
                </w14:textFill>
              </w:rPr>
              <w:t>：响应文件中</w:t>
            </w:r>
            <w:r>
              <w:rPr>
                <w:rFonts w:hint="eastAsia" w:ascii="宋体" w:hAnsi="宋体" w:cs="宋体"/>
                <w:b/>
                <w:color w:val="000000" w:themeColor="text1"/>
                <w:kern w:val="0"/>
                <w:szCs w:val="21"/>
                <w14:textFill>
                  <w14:solidFill>
                    <w14:schemeClr w14:val="tx1"/>
                  </w14:solidFill>
                </w14:textFill>
              </w:rPr>
              <w:t>提供类似项目保单或合同复印件并加盖供应商公章。（合同复印件需提供合同首页、标的或内容所在页、签字盖章页）</w:t>
            </w:r>
          </w:p>
        </w:tc>
      </w:tr>
      <w:tr w14:paraId="1216A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77" w:type="dxa"/>
            <w:vAlign w:val="center"/>
          </w:tcPr>
          <w:p w14:paraId="7F3C60FA">
            <w:pPr>
              <w:spacing w:line="240" w:lineRule="exact"/>
              <w:ind w:left="624" w:hanging="623" w:hangingChars="297"/>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合计</w:t>
            </w:r>
          </w:p>
        </w:tc>
        <w:tc>
          <w:tcPr>
            <w:tcW w:w="960" w:type="dxa"/>
            <w:vAlign w:val="center"/>
          </w:tcPr>
          <w:p w14:paraId="24BB249A">
            <w:pPr>
              <w:spacing w:line="240" w:lineRule="exact"/>
              <w:ind w:left="624" w:hanging="623" w:hangingChars="297"/>
              <w:jc w:val="center"/>
              <w:rPr>
                <w:rFonts w:ascii="宋体" w:hAnsi="宋体" w:cs="宋体"/>
                <w:color w:val="000000" w:themeColor="text1"/>
                <w:szCs w:val="21"/>
                <w14:textFill>
                  <w14:solidFill>
                    <w14:schemeClr w14:val="tx1"/>
                  </w14:solidFill>
                </w14:textFill>
              </w:rPr>
            </w:pPr>
          </w:p>
        </w:tc>
        <w:tc>
          <w:tcPr>
            <w:tcW w:w="720" w:type="dxa"/>
            <w:vAlign w:val="center"/>
          </w:tcPr>
          <w:p w14:paraId="397CDCE6">
            <w:pPr>
              <w:spacing w:line="240" w:lineRule="exact"/>
              <w:ind w:left="0" w:leftChars="0" w:right="0" w:rightChars="0" w:firstLine="0" w:firstLineChars="0"/>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r>
              <w:rPr>
                <w:rFonts w:hint="eastAsia" w:ascii="宋体" w:hAnsi="宋体" w:cs="宋体"/>
                <w:color w:val="000000" w:themeColor="text1"/>
                <w:szCs w:val="21"/>
                <w:lang w:val="en-US" w:eastAsia="zh-CN"/>
                <w14:textFill>
                  <w14:solidFill>
                    <w14:schemeClr w14:val="tx1"/>
                  </w14:solidFill>
                </w14:textFill>
              </w:rPr>
              <w:t>0</w:t>
            </w:r>
          </w:p>
        </w:tc>
        <w:tc>
          <w:tcPr>
            <w:tcW w:w="6252" w:type="dxa"/>
            <w:vAlign w:val="center"/>
          </w:tcPr>
          <w:p w14:paraId="63AD3E2E">
            <w:pPr>
              <w:spacing w:line="240" w:lineRule="exact"/>
              <w:rPr>
                <w:rFonts w:ascii="宋体" w:hAnsi="宋体" w:cs="宋体"/>
                <w:color w:val="000000" w:themeColor="text1"/>
                <w:szCs w:val="21"/>
                <w14:textFill>
                  <w14:solidFill>
                    <w14:schemeClr w14:val="tx1"/>
                  </w14:solidFill>
                </w14:textFill>
              </w:rPr>
            </w:pPr>
          </w:p>
        </w:tc>
      </w:tr>
    </w:tbl>
    <w:p w14:paraId="2FB97D58"/>
    <w:p w14:paraId="5FDB94BF"/>
    <w:p w14:paraId="7CA2A3C7"/>
    <w:p w14:paraId="3A30F69E"/>
    <w:p w14:paraId="6AE93B01"/>
    <w:p w14:paraId="4CC2CBCC"/>
    <w:p w14:paraId="6CBF05BA"/>
    <w:p w14:paraId="3DBE48CA"/>
    <w:p w14:paraId="3B2FC684"/>
    <w:p w14:paraId="077C8412"/>
    <w:p w14:paraId="2862A6D1"/>
    <w:p w14:paraId="1425363C"/>
    <w:p w14:paraId="2DCAB1BB"/>
    <w:p w14:paraId="276F275F"/>
    <w:p w14:paraId="2ACA21F3">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4433E2D0">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6B7FF1F6">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B62EA9B">
      <w:pPr>
        <w:pStyle w:val="15"/>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23AA62A3"/>
    <w:p w14:paraId="4FD3D132">
      <w:pPr>
        <w:pStyle w:val="15"/>
        <w:ind w:left="0" w:leftChars="0" w:firstLine="0"/>
      </w:pPr>
    </w:p>
    <w:p w14:paraId="5C2F5249">
      <w:pPr>
        <w:pStyle w:val="15"/>
        <w:ind w:left="0" w:leftChars="0" w:firstLine="0"/>
        <w:jc w:val="center"/>
        <w:rPr>
          <w:rFonts w:ascii="宋体" w:hAnsi="宋体" w:eastAsia="仿宋" w:cs="宋体"/>
          <w:b/>
          <w:color w:val="333333"/>
          <w:kern w:val="0"/>
          <w:sz w:val="36"/>
          <w:szCs w:val="36"/>
        </w:rPr>
      </w:pPr>
    </w:p>
    <w:p w14:paraId="7A96DD32">
      <w:pPr>
        <w:pStyle w:val="15"/>
        <w:ind w:left="0" w:leftChars="0" w:firstLine="0"/>
        <w:jc w:val="center"/>
        <w:rPr>
          <w:rFonts w:ascii="宋体" w:hAnsi="宋体" w:eastAsia="仿宋" w:cs="宋体"/>
          <w:b/>
          <w:color w:val="333333"/>
          <w:kern w:val="0"/>
          <w:sz w:val="36"/>
          <w:szCs w:val="36"/>
        </w:rPr>
      </w:pPr>
    </w:p>
    <w:p w14:paraId="4403A9F1">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0A38DCE8">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2A31DBD8">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3186BF98">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2D455B64">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4、报价不得超过采购预算价格，否则为无效投标。</w:t>
      </w:r>
    </w:p>
    <w:p w14:paraId="778525E5">
      <w:pPr>
        <w:pStyle w:val="10"/>
        <w:adjustRightInd w:val="0"/>
        <w:snapToGrid w:val="0"/>
        <w:spacing w:line="360" w:lineRule="auto"/>
        <w:rPr>
          <w:rFonts w:ascii="仿宋_GB2312" w:hAnsi="宋体" w:eastAsia="仿宋_GB2312"/>
          <w:b/>
        </w:rPr>
      </w:pPr>
    </w:p>
    <w:p w14:paraId="2AE84731">
      <w:pPr>
        <w:pStyle w:val="10"/>
        <w:adjustRightInd w:val="0"/>
        <w:snapToGrid w:val="0"/>
        <w:spacing w:line="360" w:lineRule="auto"/>
        <w:rPr>
          <w:rFonts w:ascii="仿宋_GB2312" w:hAnsi="宋体" w:eastAsia="仿宋_GB2312"/>
          <w:b/>
        </w:rPr>
      </w:pPr>
    </w:p>
    <w:p w14:paraId="22C19566">
      <w:pPr>
        <w:pStyle w:val="10"/>
        <w:adjustRightInd w:val="0"/>
        <w:snapToGrid w:val="0"/>
        <w:spacing w:line="360" w:lineRule="auto"/>
        <w:rPr>
          <w:rFonts w:ascii="仿宋_GB2312" w:hAnsi="宋体" w:eastAsia="仿宋_GB2312"/>
          <w:b/>
        </w:rPr>
      </w:pPr>
    </w:p>
    <w:p w14:paraId="77FB1AC8">
      <w:pPr>
        <w:pStyle w:val="10"/>
        <w:adjustRightInd w:val="0"/>
        <w:snapToGrid w:val="0"/>
        <w:spacing w:line="360" w:lineRule="auto"/>
        <w:rPr>
          <w:rFonts w:ascii="仿宋_GB2312" w:hAnsi="宋体" w:eastAsia="仿宋_GB2312"/>
          <w:b/>
        </w:rPr>
      </w:pPr>
    </w:p>
    <w:p w14:paraId="565426FC">
      <w:pPr>
        <w:pStyle w:val="10"/>
        <w:adjustRightInd w:val="0"/>
        <w:snapToGrid w:val="0"/>
        <w:spacing w:line="360" w:lineRule="auto"/>
        <w:rPr>
          <w:rFonts w:ascii="仿宋_GB2312" w:hAnsi="宋体" w:eastAsia="仿宋_GB2312"/>
          <w:b/>
        </w:rPr>
      </w:pPr>
    </w:p>
    <w:p w14:paraId="6DA64C4C">
      <w:pPr>
        <w:pStyle w:val="10"/>
        <w:adjustRightInd w:val="0"/>
        <w:snapToGrid w:val="0"/>
        <w:spacing w:line="360" w:lineRule="auto"/>
        <w:rPr>
          <w:rFonts w:ascii="仿宋_GB2312" w:hAnsi="宋体" w:eastAsia="仿宋_GB2312"/>
          <w:b/>
        </w:rPr>
      </w:pPr>
    </w:p>
    <w:p w14:paraId="03A3452A">
      <w:pPr>
        <w:pStyle w:val="10"/>
        <w:adjustRightInd w:val="0"/>
        <w:snapToGrid w:val="0"/>
        <w:spacing w:line="360" w:lineRule="auto"/>
        <w:rPr>
          <w:rFonts w:ascii="仿宋_GB2312" w:hAnsi="宋体" w:eastAsia="仿宋_GB2312"/>
          <w:b/>
        </w:rPr>
      </w:pPr>
    </w:p>
    <w:p w14:paraId="2B2CFB30">
      <w:pPr>
        <w:pStyle w:val="10"/>
        <w:adjustRightInd w:val="0"/>
        <w:snapToGrid w:val="0"/>
        <w:spacing w:line="360" w:lineRule="auto"/>
        <w:rPr>
          <w:rFonts w:ascii="仿宋_GB2312" w:hAnsi="宋体" w:eastAsia="仿宋_GB2312"/>
          <w:b/>
        </w:rPr>
      </w:pPr>
    </w:p>
    <w:p w14:paraId="2883CB11">
      <w:pPr>
        <w:pStyle w:val="10"/>
        <w:adjustRightInd w:val="0"/>
        <w:snapToGrid w:val="0"/>
        <w:spacing w:line="360" w:lineRule="auto"/>
        <w:rPr>
          <w:rFonts w:ascii="仿宋_GB2312" w:hAnsi="宋体" w:eastAsia="仿宋_GB2312"/>
          <w:b/>
        </w:rPr>
      </w:pPr>
    </w:p>
    <w:p w14:paraId="74D9CC3D">
      <w:pPr>
        <w:pStyle w:val="10"/>
        <w:adjustRightInd w:val="0"/>
        <w:snapToGrid w:val="0"/>
        <w:spacing w:line="360" w:lineRule="auto"/>
        <w:rPr>
          <w:rFonts w:ascii="仿宋_GB2312" w:hAnsi="宋体" w:eastAsia="仿宋_GB2312"/>
          <w:b/>
        </w:rPr>
      </w:pPr>
    </w:p>
    <w:p w14:paraId="040ED587">
      <w:pPr>
        <w:pStyle w:val="10"/>
        <w:adjustRightInd w:val="0"/>
        <w:snapToGrid w:val="0"/>
        <w:spacing w:line="360" w:lineRule="auto"/>
        <w:rPr>
          <w:rFonts w:ascii="仿宋_GB2312" w:hAnsi="宋体" w:eastAsia="仿宋_GB2312"/>
          <w:b/>
        </w:rPr>
      </w:pPr>
    </w:p>
    <w:p w14:paraId="05F045B6">
      <w:pPr>
        <w:pStyle w:val="10"/>
        <w:adjustRightInd w:val="0"/>
        <w:snapToGrid w:val="0"/>
        <w:spacing w:line="360" w:lineRule="auto"/>
        <w:rPr>
          <w:rFonts w:ascii="仿宋_GB2312" w:hAnsi="宋体" w:eastAsia="仿宋_GB2312"/>
          <w:b/>
        </w:rPr>
      </w:pPr>
    </w:p>
    <w:p w14:paraId="19C2CF74">
      <w:pPr>
        <w:pStyle w:val="10"/>
        <w:adjustRightInd w:val="0"/>
        <w:snapToGrid w:val="0"/>
        <w:spacing w:line="360" w:lineRule="auto"/>
        <w:rPr>
          <w:rFonts w:ascii="仿宋_GB2312" w:hAnsi="宋体" w:eastAsia="仿宋_GB2312"/>
          <w:b/>
        </w:rPr>
      </w:pPr>
    </w:p>
    <w:p w14:paraId="50BF5C5F">
      <w:pPr>
        <w:pStyle w:val="10"/>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400BC396">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6EAC0EC6">
      <w:pPr>
        <w:adjustRightInd w:val="0"/>
        <w:snapToGrid w:val="0"/>
        <w:spacing w:line="360" w:lineRule="auto"/>
        <w:rPr>
          <w:rFonts w:ascii="仿宋_GB2312" w:hAnsi="宋体" w:eastAsia="仿宋_GB2312"/>
          <w:sz w:val="24"/>
          <w:szCs w:val="24"/>
        </w:rPr>
      </w:pPr>
    </w:p>
    <w:p w14:paraId="611BE8A3">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42AD872">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29E70C2D">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32D8BC6E">
      <w:pPr>
        <w:pStyle w:val="10"/>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524C1E69">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73DB64E4">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46D515F1">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0BF7898F">
      <w:pPr>
        <w:adjustRightInd w:val="0"/>
        <w:snapToGrid w:val="0"/>
        <w:spacing w:line="360" w:lineRule="auto"/>
        <w:ind w:right="24"/>
        <w:rPr>
          <w:rFonts w:ascii="仿宋" w:hAnsi="仿宋" w:eastAsia="仿宋"/>
          <w:bCs/>
          <w:sz w:val="24"/>
          <w:szCs w:val="24"/>
        </w:rPr>
      </w:pPr>
    </w:p>
    <w:p w14:paraId="3524120D">
      <w:pPr>
        <w:adjustRightInd w:val="0"/>
        <w:snapToGrid w:val="0"/>
        <w:spacing w:line="360" w:lineRule="auto"/>
        <w:ind w:right="24"/>
        <w:rPr>
          <w:rFonts w:ascii="仿宋" w:hAnsi="仿宋" w:eastAsia="仿宋"/>
          <w:bCs/>
          <w:sz w:val="24"/>
          <w:szCs w:val="24"/>
        </w:rPr>
      </w:pPr>
    </w:p>
    <w:p w14:paraId="653426C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34E80EEB">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06459039">
      <w:pPr>
        <w:pStyle w:val="10"/>
        <w:adjustRightInd w:val="0"/>
        <w:snapToGrid w:val="0"/>
        <w:spacing w:line="360" w:lineRule="auto"/>
        <w:rPr>
          <w:rFonts w:ascii="仿宋" w:hAnsi="仿宋" w:eastAsia="仿宋"/>
          <w:sz w:val="24"/>
          <w:szCs w:val="24"/>
        </w:rPr>
      </w:pPr>
    </w:p>
    <w:p w14:paraId="77431AE6">
      <w:pPr>
        <w:pStyle w:val="10"/>
        <w:adjustRightInd w:val="0"/>
        <w:snapToGrid w:val="0"/>
        <w:spacing w:line="360" w:lineRule="auto"/>
        <w:rPr>
          <w:rFonts w:ascii="仿宋" w:hAnsi="仿宋" w:eastAsia="仿宋"/>
          <w:sz w:val="24"/>
          <w:szCs w:val="24"/>
        </w:rPr>
      </w:pPr>
    </w:p>
    <w:p w14:paraId="4E2949A7">
      <w:pPr>
        <w:pStyle w:val="10"/>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456A4375">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6B89F1EB">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BAD83B4">
      <w:pPr>
        <w:adjustRightInd w:val="0"/>
        <w:snapToGrid w:val="0"/>
        <w:spacing w:line="360" w:lineRule="auto"/>
        <w:ind w:right="24"/>
        <w:rPr>
          <w:rFonts w:ascii="仿宋" w:hAnsi="仿宋" w:eastAsia="仿宋"/>
          <w:bCs/>
          <w:sz w:val="24"/>
        </w:rPr>
      </w:pPr>
    </w:p>
    <w:p w14:paraId="36759803">
      <w:pPr>
        <w:adjustRightInd w:val="0"/>
        <w:snapToGrid w:val="0"/>
        <w:spacing w:line="360" w:lineRule="auto"/>
        <w:ind w:right="24"/>
        <w:rPr>
          <w:rFonts w:ascii="仿宋_GB2312" w:hAnsi="华文中宋" w:eastAsia="仿宋_GB2312"/>
          <w:bCs/>
          <w:sz w:val="24"/>
        </w:rPr>
      </w:pPr>
    </w:p>
    <w:p w14:paraId="5F4D20DB">
      <w:pPr>
        <w:adjustRightInd w:val="0"/>
        <w:snapToGrid w:val="0"/>
        <w:spacing w:line="360" w:lineRule="auto"/>
        <w:ind w:right="24"/>
        <w:rPr>
          <w:rFonts w:ascii="仿宋_GB2312" w:hAnsi="华文中宋" w:eastAsia="仿宋_GB2312"/>
          <w:bCs/>
          <w:sz w:val="24"/>
        </w:rPr>
      </w:pPr>
    </w:p>
    <w:p w14:paraId="2D1C4978">
      <w:pPr>
        <w:adjustRightInd w:val="0"/>
        <w:snapToGrid w:val="0"/>
        <w:spacing w:line="360" w:lineRule="auto"/>
        <w:ind w:right="24"/>
        <w:rPr>
          <w:szCs w:val="21"/>
        </w:rPr>
      </w:pPr>
    </w:p>
    <w:p w14:paraId="58266E19">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11AD361D">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法定代表人身份证明(法定代表人参加询比)</w:t>
      </w:r>
    </w:p>
    <w:p w14:paraId="0BD0D6B8">
      <w:pPr>
        <w:snapToGrid w:val="0"/>
        <w:spacing w:line="480" w:lineRule="auto"/>
        <w:rPr>
          <w:rFonts w:ascii="仿宋" w:hAnsi="仿宋" w:eastAsia="仿宋"/>
          <w:sz w:val="24"/>
          <w:szCs w:val="24"/>
        </w:rPr>
      </w:pPr>
    </w:p>
    <w:p w14:paraId="39158DD7">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25CF552B">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2774609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4498FC0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066F5B26">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721B0ECC">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2179756A">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6E6538E3">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365BC74">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0006A66B">
      <w:pPr>
        <w:snapToGrid w:val="0"/>
        <w:spacing w:line="480" w:lineRule="auto"/>
        <w:rPr>
          <w:rFonts w:ascii="仿宋" w:hAnsi="仿宋" w:eastAsia="仿宋"/>
          <w:sz w:val="24"/>
          <w:szCs w:val="24"/>
        </w:rPr>
      </w:pPr>
    </w:p>
    <w:p w14:paraId="1FD5D290">
      <w:pPr>
        <w:snapToGrid w:val="0"/>
        <w:rPr>
          <w:rFonts w:ascii="仿宋" w:hAnsi="仿宋" w:eastAsia="仿宋"/>
          <w:sz w:val="24"/>
          <w:szCs w:val="24"/>
        </w:rPr>
      </w:pPr>
    </w:p>
    <w:p w14:paraId="5786C97F">
      <w:pPr>
        <w:snapToGrid w:val="0"/>
        <w:rPr>
          <w:rFonts w:ascii="仿宋" w:hAnsi="仿宋" w:eastAsia="仿宋"/>
          <w:sz w:val="24"/>
          <w:szCs w:val="24"/>
        </w:rPr>
      </w:pPr>
    </w:p>
    <w:p w14:paraId="17918A24">
      <w:pPr>
        <w:snapToGrid w:val="0"/>
        <w:rPr>
          <w:rFonts w:ascii="仿宋" w:hAnsi="仿宋" w:eastAsia="仿宋"/>
          <w:sz w:val="24"/>
          <w:szCs w:val="24"/>
        </w:rPr>
      </w:pPr>
    </w:p>
    <w:p w14:paraId="4E37C5FB">
      <w:pPr>
        <w:snapToGrid w:val="0"/>
        <w:rPr>
          <w:rFonts w:ascii="仿宋" w:hAnsi="仿宋" w:eastAsia="仿宋"/>
          <w:sz w:val="24"/>
          <w:szCs w:val="24"/>
        </w:rPr>
      </w:pPr>
    </w:p>
    <w:p w14:paraId="3734F287">
      <w:pPr>
        <w:adjustRightInd w:val="0"/>
        <w:snapToGrid w:val="0"/>
        <w:spacing w:line="360" w:lineRule="auto"/>
        <w:rPr>
          <w:rFonts w:ascii="仿宋" w:hAnsi="仿宋" w:eastAsia="仿宋"/>
          <w:sz w:val="24"/>
          <w:szCs w:val="24"/>
        </w:rPr>
      </w:pPr>
    </w:p>
    <w:p w14:paraId="09E5093F">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7FF36C6C">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4173F7F4">
      <w:pPr>
        <w:adjustRightInd w:val="0"/>
        <w:snapToGrid w:val="0"/>
        <w:spacing w:before="156" w:beforeLines="50" w:line="360" w:lineRule="auto"/>
        <w:rPr>
          <w:rFonts w:ascii="仿宋_GB2312" w:hAnsi="宋体" w:eastAsia="仿宋_GB2312"/>
          <w:sz w:val="24"/>
          <w:szCs w:val="24"/>
        </w:rPr>
      </w:pPr>
    </w:p>
    <w:p w14:paraId="6A7EB158">
      <w:pPr>
        <w:adjustRightInd w:val="0"/>
        <w:snapToGrid w:val="0"/>
        <w:spacing w:before="156" w:beforeLines="50" w:line="360" w:lineRule="auto"/>
        <w:rPr>
          <w:rFonts w:ascii="仿宋_GB2312" w:hAnsi="宋体" w:eastAsia="仿宋_GB2312"/>
          <w:sz w:val="24"/>
          <w:szCs w:val="24"/>
        </w:rPr>
      </w:pPr>
    </w:p>
    <w:p w14:paraId="7C7D71B2">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13CFC534">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01F2EA82">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法定代表人授权书(委托代理人参加询比)</w:t>
      </w:r>
    </w:p>
    <w:p w14:paraId="24DED1AE">
      <w:pPr>
        <w:adjustRightInd w:val="0"/>
        <w:snapToGrid w:val="0"/>
        <w:spacing w:line="360" w:lineRule="auto"/>
        <w:jc w:val="center"/>
        <w:rPr>
          <w:rFonts w:ascii="仿宋" w:hAnsi="仿宋" w:eastAsia="仿宋"/>
          <w:b/>
          <w:sz w:val="24"/>
          <w:szCs w:val="24"/>
        </w:rPr>
      </w:pPr>
    </w:p>
    <w:p w14:paraId="2584C028">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6E0FC466">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27F7C5E1">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0539B1D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477C0C43">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555CE3EC">
      <w:pPr>
        <w:adjustRightInd w:val="0"/>
        <w:snapToGrid w:val="0"/>
        <w:spacing w:line="360" w:lineRule="auto"/>
        <w:ind w:right="420"/>
        <w:rPr>
          <w:rFonts w:ascii="仿宋_GB2312" w:eastAsia="仿宋_GB2312"/>
          <w:sz w:val="24"/>
          <w:szCs w:val="24"/>
        </w:rPr>
      </w:pPr>
    </w:p>
    <w:p w14:paraId="35C1B8A0">
      <w:pPr>
        <w:adjustRightInd w:val="0"/>
        <w:snapToGrid w:val="0"/>
        <w:spacing w:line="360" w:lineRule="auto"/>
        <w:ind w:right="420"/>
        <w:rPr>
          <w:rFonts w:ascii="仿宋_GB2312" w:eastAsia="仿宋_GB2312"/>
          <w:sz w:val="24"/>
          <w:szCs w:val="24"/>
        </w:rPr>
      </w:pPr>
    </w:p>
    <w:p w14:paraId="457C923A">
      <w:pPr>
        <w:adjustRightInd w:val="0"/>
        <w:snapToGrid w:val="0"/>
        <w:spacing w:line="360" w:lineRule="auto"/>
        <w:ind w:right="420"/>
        <w:rPr>
          <w:rFonts w:ascii="仿宋_GB2312" w:eastAsia="仿宋_GB2312"/>
          <w:sz w:val="24"/>
          <w:szCs w:val="24"/>
        </w:rPr>
      </w:pPr>
    </w:p>
    <w:p w14:paraId="111E6596">
      <w:pPr>
        <w:adjustRightInd w:val="0"/>
        <w:snapToGrid w:val="0"/>
        <w:spacing w:line="360" w:lineRule="auto"/>
        <w:ind w:right="420"/>
        <w:rPr>
          <w:rFonts w:ascii="仿宋_GB2312" w:eastAsia="仿宋_GB2312"/>
          <w:sz w:val="24"/>
          <w:szCs w:val="24"/>
        </w:rPr>
      </w:pPr>
    </w:p>
    <w:p w14:paraId="0197453F">
      <w:pPr>
        <w:adjustRightInd w:val="0"/>
        <w:snapToGrid w:val="0"/>
        <w:spacing w:line="360" w:lineRule="auto"/>
        <w:ind w:right="420"/>
        <w:rPr>
          <w:rFonts w:ascii="仿宋_GB2312" w:eastAsia="仿宋_GB2312"/>
          <w:sz w:val="24"/>
          <w:szCs w:val="24"/>
        </w:rPr>
      </w:pPr>
    </w:p>
    <w:p w14:paraId="61A35D10">
      <w:pPr>
        <w:adjustRightInd w:val="0"/>
        <w:snapToGrid w:val="0"/>
        <w:spacing w:line="360" w:lineRule="auto"/>
        <w:ind w:right="420"/>
        <w:rPr>
          <w:rFonts w:ascii="仿宋_GB2312" w:eastAsia="仿宋_GB2312"/>
          <w:sz w:val="24"/>
          <w:szCs w:val="24"/>
        </w:rPr>
      </w:pPr>
    </w:p>
    <w:p w14:paraId="400884E0">
      <w:pPr>
        <w:adjustRightInd w:val="0"/>
        <w:snapToGrid w:val="0"/>
        <w:spacing w:line="360" w:lineRule="auto"/>
        <w:ind w:right="420"/>
        <w:rPr>
          <w:rFonts w:ascii="仿宋_GB2312" w:eastAsia="仿宋_GB2312"/>
          <w:sz w:val="24"/>
          <w:szCs w:val="24"/>
        </w:rPr>
      </w:pPr>
    </w:p>
    <w:p w14:paraId="66838B3B">
      <w:pPr>
        <w:adjustRightInd w:val="0"/>
        <w:snapToGrid w:val="0"/>
        <w:spacing w:line="360" w:lineRule="auto"/>
        <w:ind w:right="420"/>
        <w:rPr>
          <w:rFonts w:ascii="仿宋_GB2312" w:eastAsia="仿宋_GB2312"/>
          <w:sz w:val="24"/>
          <w:szCs w:val="24"/>
        </w:rPr>
      </w:pPr>
    </w:p>
    <w:p w14:paraId="4457041D">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EDD2C8E">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65F81A49">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2078BE6C">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71C6500">
      <w:pPr>
        <w:spacing w:line="360" w:lineRule="exact"/>
        <w:rPr>
          <w:rFonts w:ascii="仿宋_GB2312" w:eastAsia="仿宋_GB2312"/>
          <w:b/>
          <w:sz w:val="24"/>
          <w:szCs w:val="24"/>
        </w:rPr>
      </w:pPr>
    </w:p>
    <w:p w14:paraId="770BEADB">
      <w:pPr>
        <w:spacing w:line="360" w:lineRule="exact"/>
        <w:rPr>
          <w:rFonts w:ascii="仿宋_GB2312" w:eastAsia="仿宋_GB2312"/>
          <w:b/>
          <w:sz w:val="24"/>
          <w:szCs w:val="24"/>
        </w:rPr>
      </w:pPr>
    </w:p>
    <w:p w14:paraId="78957B20">
      <w:pPr>
        <w:pStyle w:val="15"/>
      </w:pPr>
    </w:p>
    <w:p w14:paraId="57121BDF"/>
    <w:p w14:paraId="24A59405"/>
    <w:p w14:paraId="407DD895">
      <w:pPr>
        <w:pStyle w:val="15"/>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65431245">
      <w:pPr>
        <w:jc w:val="center"/>
        <w:rPr>
          <w:rFonts w:ascii="仿宋" w:hAnsi="仿宋" w:eastAsia="仿宋"/>
          <w:b/>
          <w:sz w:val="32"/>
          <w:szCs w:val="32"/>
        </w:rPr>
      </w:pPr>
      <w:r>
        <w:rPr>
          <w:rFonts w:ascii="仿宋" w:hAnsi="仿宋" w:eastAsia="仿宋"/>
          <w:b/>
          <w:sz w:val="32"/>
          <w:szCs w:val="32"/>
        </w:rPr>
        <w:t>报价函</w:t>
      </w:r>
    </w:p>
    <w:p w14:paraId="0E60E575">
      <w:pPr>
        <w:rPr>
          <w:rFonts w:ascii="仿宋" w:hAnsi="仿宋" w:eastAsia="仿宋"/>
          <w:sz w:val="24"/>
          <w:szCs w:val="24"/>
        </w:rPr>
      </w:pPr>
      <w:r>
        <w:rPr>
          <w:rFonts w:hint="eastAsia" w:ascii="仿宋" w:hAnsi="仿宋" w:eastAsia="仿宋"/>
          <w:sz w:val="24"/>
          <w:szCs w:val="24"/>
        </w:rPr>
        <w:t xml:space="preserve">                               </w:t>
      </w:r>
    </w:p>
    <w:p w14:paraId="4A220D54">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湖南铁道职业技术学校：</w:t>
      </w:r>
    </w:p>
    <w:p w14:paraId="0AA47607">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14:paraId="3F25763C">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14:paraId="16BBF1DB">
      <w:pPr>
        <w:spacing w:before="156" w:beforeLines="50" w:line="360" w:lineRule="auto"/>
        <w:ind w:firstLine="480" w:firstLineChars="200"/>
        <w:rPr>
          <w:rFonts w:ascii="仿宋" w:hAnsi="仿宋" w:eastAsia="仿宋"/>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w:t>
      </w:r>
      <w:r>
        <w:rPr>
          <w:rFonts w:hint="eastAsia" w:ascii="仿宋" w:hAnsi="仿宋" w:eastAsia="仿宋" w:cs="宋体"/>
          <w:sz w:val="24"/>
          <w:szCs w:val="24"/>
          <w:highlight w:val="red"/>
        </w:rPr>
        <w:t>元</w:t>
      </w:r>
      <w:r>
        <w:rPr>
          <w:rFonts w:hint="eastAsia" w:ascii="仿宋" w:hAnsi="仿宋" w:eastAsia="仿宋" w:cs="宋体"/>
          <w:sz w:val="24"/>
          <w:szCs w:val="24"/>
          <w:highlight w:val="red"/>
          <w:lang w:val="en-US" w:eastAsia="zh-CN"/>
        </w:rPr>
        <w:t>/人/半年</w:t>
      </w:r>
      <w:r>
        <w:rPr>
          <w:rFonts w:hint="eastAsia" w:ascii="仿宋" w:hAnsi="仿宋" w:eastAsia="仿宋" w:cs="宋体"/>
          <w:sz w:val="24"/>
          <w:szCs w:val="24"/>
        </w:rPr>
        <w:t>，大写：</w:t>
      </w:r>
      <w:r>
        <w:rPr>
          <w:rFonts w:hint="eastAsia" w:ascii="仿宋" w:hAnsi="仿宋" w:eastAsia="仿宋" w:cs="宋体"/>
          <w:sz w:val="24"/>
          <w:szCs w:val="24"/>
          <w:u w:val="single"/>
        </w:rPr>
        <w:t>人民币</w:t>
      </w:r>
      <w:r>
        <w:rPr>
          <w:rFonts w:ascii="仿宋" w:hAnsi="仿宋" w:eastAsia="仿宋" w:cs="宋体"/>
          <w:sz w:val="24"/>
          <w:szCs w:val="24"/>
          <w:u w:val="single"/>
        </w:rPr>
        <w:t xml:space="preserve">   </w:t>
      </w:r>
      <w:r>
        <w:rPr>
          <w:rFonts w:hint="eastAsia" w:ascii="仿宋" w:hAnsi="仿宋" w:eastAsia="仿宋" w:cs="宋体"/>
          <w:sz w:val="24"/>
          <w:szCs w:val="24"/>
          <w:highlight w:val="red"/>
        </w:rPr>
        <w:t>元</w:t>
      </w:r>
      <w:r>
        <w:rPr>
          <w:rFonts w:hint="eastAsia" w:ascii="仿宋" w:hAnsi="仿宋" w:eastAsia="仿宋" w:cs="宋体"/>
          <w:sz w:val="24"/>
          <w:szCs w:val="24"/>
          <w:highlight w:val="red"/>
          <w:lang w:val="en-US" w:eastAsia="zh-CN"/>
        </w:rPr>
        <w:t>/人/半年</w:t>
      </w:r>
      <w:r>
        <w:rPr>
          <w:rFonts w:hint="eastAsia" w:ascii="仿宋" w:hAnsi="仿宋" w:eastAsia="仿宋" w:cs="宋体"/>
          <w:sz w:val="24"/>
          <w:szCs w:val="24"/>
        </w:rPr>
        <w:t>。</w:t>
      </w:r>
    </w:p>
    <w:p w14:paraId="57ACE27E">
      <w:pPr>
        <w:spacing w:line="480" w:lineRule="auto"/>
        <w:ind w:firstLine="480" w:firstLineChars="200"/>
        <w:jc w:val="left"/>
        <w:rPr>
          <w:rFonts w:ascii="仿宋" w:hAnsi="仿宋" w:eastAsia="仿宋" w:cs="宋体"/>
          <w:sz w:val="24"/>
          <w:szCs w:val="24"/>
        </w:rPr>
      </w:pPr>
    </w:p>
    <w:p w14:paraId="36393EDE">
      <w:pPr>
        <w:pStyle w:val="15"/>
        <w:rPr>
          <w:rFonts w:ascii="仿宋" w:hAnsi="仿宋" w:eastAsia="仿宋"/>
        </w:rPr>
      </w:pPr>
    </w:p>
    <w:p w14:paraId="2569D557">
      <w:pPr>
        <w:pStyle w:val="15"/>
        <w:ind w:left="0" w:leftChars="0" w:firstLine="0"/>
        <w:rPr>
          <w:rFonts w:ascii="仿宋" w:hAnsi="仿宋" w:eastAsia="仿宋"/>
        </w:rPr>
      </w:pPr>
    </w:p>
    <w:p w14:paraId="4B721113">
      <w:pPr>
        <w:spacing w:line="360" w:lineRule="auto"/>
        <w:ind w:firstLine="640"/>
        <w:jc w:val="left"/>
        <w:rPr>
          <w:rFonts w:ascii="仿宋" w:hAnsi="仿宋" w:eastAsia="仿宋"/>
          <w:sz w:val="24"/>
          <w:szCs w:val="24"/>
        </w:rPr>
      </w:pPr>
    </w:p>
    <w:p w14:paraId="71D7648D">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08B97D6E">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47923D14">
        <w:pPr>
          <w:pStyle w:val="12"/>
          <w:jc w:val="center"/>
        </w:pPr>
        <w:r>
          <w:fldChar w:fldCharType="begin"/>
        </w:r>
        <w:r>
          <w:instrText xml:space="preserve">PAGE   \* MERGEFORMAT</w:instrText>
        </w:r>
        <w:r>
          <w:fldChar w:fldCharType="separate"/>
        </w:r>
        <w:r>
          <w:rPr>
            <w:lang w:val="zh-CN"/>
          </w:rPr>
          <w:t>12</w:t>
        </w:r>
        <w:r>
          <w:fldChar w:fldCharType="end"/>
        </w:r>
      </w:p>
    </w:sdtContent>
  </w:sdt>
  <w:p w14:paraId="162907E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BBCF8">
    <w:pPr>
      <w:pStyle w:val="12"/>
      <w:framePr w:wrap="around" w:vAnchor="text" w:hAnchor="margin" w:xAlign="center" w:y="1"/>
      <w:rPr>
        <w:rStyle w:val="19"/>
      </w:rPr>
    </w:pPr>
    <w:r>
      <w:fldChar w:fldCharType="begin"/>
    </w:r>
    <w:r>
      <w:rPr>
        <w:rStyle w:val="19"/>
      </w:rPr>
      <w:instrText xml:space="preserve">PAGE  </w:instrText>
    </w:r>
    <w:r>
      <w:fldChar w:fldCharType="end"/>
    </w:r>
  </w:p>
  <w:p w14:paraId="142A847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5BF9C">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CBB4">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47F6A"/>
    <w:multiLevelType w:val="singleLevel"/>
    <w:tmpl w:val="4F647F6A"/>
    <w:lvl w:ilvl="0" w:tentative="0">
      <w:start w:val="3"/>
      <w:numFmt w:val="decimal"/>
      <w:lvlText w:val="%1."/>
      <w:lvlJc w:val="left"/>
      <w:pPr>
        <w:tabs>
          <w:tab w:val="left" w:pos="312"/>
        </w:tabs>
      </w:pPr>
    </w:lvl>
  </w:abstractNum>
  <w:abstractNum w:abstractNumId="1">
    <w:nsid w:val="5AB8AA2D"/>
    <w:multiLevelType w:val="singleLevel"/>
    <w:tmpl w:val="5AB8AA2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66878"/>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B6320"/>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45677"/>
    <w:rsid w:val="00650ABD"/>
    <w:rsid w:val="006532B9"/>
    <w:rsid w:val="00657E80"/>
    <w:rsid w:val="006600AE"/>
    <w:rsid w:val="00662101"/>
    <w:rsid w:val="00665305"/>
    <w:rsid w:val="00667986"/>
    <w:rsid w:val="00676612"/>
    <w:rsid w:val="0067773F"/>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1DF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8F466A"/>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CE34EF"/>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4A2A"/>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1027CE"/>
    <w:rsid w:val="017442FA"/>
    <w:rsid w:val="0215299B"/>
    <w:rsid w:val="023A0142"/>
    <w:rsid w:val="02406ECC"/>
    <w:rsid w:val="044E0E32"/>
    <w:rsid w:val="047D389E"/>
    <w:rsid w:val="05997E8B"/>
    <w:rsid w:val="066D3445"/>
    <w:rsid w:val="06835ADA"/>
    <w:rsid w:val="08352503"/>
    <w:rsid w:val="08716E9D"/>
    <w:rsid w:val="08964B56"/>
    <w:rsid w:val="08C83CB5"/>
    <w:rsid w:val="08D4742C"/>
    <w:rsid w:val="097D7547"/>
    <w:rsid w:val="09902C2B"/>
    <w:rsid w:val="09A462EC"/>
    <w:rsid w:val="0A9926DB"/>
    <w:rsid w:val="0BF7362B"/>
    <w:rsid w:val="0C054B69"/>
    <w:rsid w:val="0C2B1B80"/>
    <w:rsid w:val="0C3721EC"/>
    <w:rsid w:val="0CEC11E8"/>
    <w:rsid w:val="0CFD51A3"/>
    <w:rsid w:val="0D662836"/>
    <w:rsid w:val="0D7A240F"/>
    <w:rsid w:val="0E047710"/>
    <w:rsid w:val="0FB06655"/>
    <w:rsid w:val="104135F9"/>
    <w:rsid w:val="10912321"/>
    <w:rsid w:val="10C81F6C"/>
    <w:rsid w:val="11BE5B42"/>
    <w:rsid w:val="11C049F1"/>
    <w:rsid w:val="127C4DBC"/>
    <w:rsid w:val="13A26E3E"/>
    <w:rsid w:val="13AE369B"/>
    <w:rsid w:val="144F1BCA"/>
    <w:rsid w:val="14FD6A90"/>
    <w:rsid w:val="15455939"/>
    <w:rsid w:val="15B12877"/>
    <w:rsid w:val="16D36F75"/>
    <w:rsid w:val="16FC64CC"/>
    <w:rsid w:val="17205F01"/>
    <w:rsid w:val="172E31C9"/>
    <w:rsid w:val="17C3509D"/>
    <w:rsid w:val="19A30E80"/>
    <w:rsid w:val="19A67B96"/>
    <w:rsid w:val="19E54DD6"/>
    <w:rsid w:val="1A07140F"/>
    <w:rsid w:val="1A7D2861"/>
    <w:rsid w:val="1ACB5495"/>
    <w:rsid w:val="1B451A26"/>
    <w:rsid w:val="1B952154"/>
    <w:rsid w:val="1BB90E2F"/>
    <w:rsid w:val="1CCB056F"/>
    <w:rsid w:val="1D444728"/>
    <w:rsid w:val="1E4F7829"/>
    <w:rsid w:val="1F9951FF"/>
    <w:rsid w:val="201D3E7D"/>
    <w:rsid w:val="202D76F6"/>
    <w:rsid w:val="20746BB2"/>
    <w:rsid w:val="21E64000"/>
    <w:rsid w:val="22FB1D2D"/>
    <w:rsid w:val="23B073C2"/>
    <w:rsid w:val="23E204C1"/>
    <w:rsid w:val="23E9602A"/>
    <w:rsid w:val="242B03F0"/>
    <w:rsid w:val="24572B1C"/>
    <w:rsid w:val="24F13006"/>
    <w:rsid w:val="25C25709"/>
    <w:rsid w:val="26E533CB"/>
    <w:rsid w:val="27A433C1"/>
    <w:rsid w:val="287737B2"/>
    <w:rsid w:val="295D104C"/>
    <w:rsid w:val="29883748"/>
    <w:rsid w:val="29B665AC"/>
    <w:rsid w:val="29D15596"/>
    <w:rsid w:val="2A7725E1"/>
    <w:rsid w:val="2B473D61"/>
    <w:rsid w:val="2BAE2033"/>
    <w:rsid w:val="2CA02AAF"/>
    <w:rsid w:val="2CB01DDA"/>
    <w:rsid w:val="2D460049"/>
    <w:rsid w:val="2D744BB6"/>
    <w:rsid w:val="2E444588"/>
    <w:rsid w:val="306A7605"/>
    <w:rsid w:val="3163566D"/>
    <w:rsid w:val="31D8203D"/>
    <w:rsid w:val="31FA2FC3"/>
    <w:rsid w:val="3248523C"/>
    <w:rsid w:val="336A522A"/>
    <w:rsid w:val="353327D7"/>
    <w:rsid w:val="35A3072E"/>
    <w:rsid w:val="35BA60CE"/>
    <w:rsid w:val="36EC278E"/>
    <w:rsid w:val="376637C1"/>
    <w:rsid w:val="38487926"/>
    <w:rsid w:val="38CA49CD"/>
    <w:rsid w:val="3975540E"/>
    <w:rsid w:val="39D54C2E"/>
    <w:rsid w:val="3A731769"/>
    <w:rsid w:val="3AB93FA9"/>
    <w:rsid w:val="3B3140E6"/>
    <w:rsid w:val="3B8763FC"/>
    <w:rsid w:val="3C0E61D6"/>
    <w:rsid w:val="3CF74EBC"/>
    <w:rsid w:val="3D912B45"/>
    <w:rsid w:val="3DC92B7D"/>
    <w:rsid w:val="3E7013C9"/>
    <w:rsid w:val="3E8926B6"/>
    <w:rsid w:val="3F173188"/>
    <w:rsid w:val="3F255D10"/>
    <w:rsid w:val="3F2D1069"/>
    <w:rsid w:val="3FDE7641"/>
    <w:rsid w:val="404D79B1"/>
    <w:rsid w:val="40CF23D7"/>
    <w:rsid w:val="411058C0"/>
    <w:rsid w:val="413277CA"/>
    <w:rsid w:val="417A74EF"/>
    <w:rsid w:val="41A31919"/>
    <w:rsid w:val="42507548"/>
    <w:rsid w:val="42D02437"/>
    <w:rsid w:val="457F75CA"/>
    <w:rsid w:val="46D916FE"/>
    <w:rsid w:val="46FD491E"/>
    <w:rsid w:val="471A6376"/>
    <w:rsid w:val="473A2575"/>
    <w:rsid w:val="47DE1830"/>
    <w:rsid w:val="481F2591"/>
    <w:rsid w:val="48B3728C"/>
    <w:rsid w:val="495E1E55"/>
    <w:rsid w:val="49836FB3"/>
    <w:rsid w:val="4A4536F1"/>
    <w:rsid w:val="4A6C57DD"/>
    <w:rsid w:val="4A842484"/>
    <w:rsid w:val="4ACE4B79"/>
    <w:rsid w:val="4ADA413D"/>
    <w:rsid w:val="4BC77A23"/>
    <w:rsid w:val="4BFF48FE"/>
    <w:rsid w:val="4C811ECE"/>
    <w:rsid w:val="4C8E75EA"/>
    <w:rsid w:val="4CD64AED"/>
    <w:rsid w:val="4D1662A3"/>
    <w:rsid w:val="4D755493"/>
    <w:rsid w:val="4DEA6AA2"/>
    <w:rsid w:val="4DF74D1B"/>
    <w:rsid w:val="4F1B24A1"/>
    <w:rsid w:val="505E5526"/>
    <w:rsid w:val="50C025FA"/>
    <w:rsid w:val="51CA3B38"/>
    <w:rsid w:val="529C2402"/>
    <w:rsid w:val="53425821"/>
    <w:rsid w:val="543D7D43"/>
    <w:rsid w:val="54413194"/>
    <w:rsid w:val="554E608A"/>
    <w:rsid w:val="56461130"/>
    <w:rsid w:val="56D36709"/>
    <w:rsid w:val="56EB5013"/>
    <w:rsid w:val="574F170B"/>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5F877E84"/>
    <w:rsid w:val="5F9214DC"/>
    <w:rsid w:val="60511ABB"/>
    <w:rsid w:val="60D40EEC"/>
    <w:rsid w:val="61286299"/>
    <w:rsid w:val="62173015"/>
    <w:rsid w:val="6220263B"/>
    <w:rsid w:val="6228716A"/>
    <w:rsid w:val="62652744"/>
    <w:rsid w:val="63A20CFF"/>
    <w:rsid w:val="63F83144"/>
    <w:rsid w:val="6437765D"/>
    <w:rsid w:val="647F445F"/>
    <w:rsid w:val="663B4D2E"/>
    <w:rsid w:val="66666EF1"/>
    <w:rsid w:val="66DC6D4D"/>
    <w:rsid w:val="677C2805"/>
    <w:rsid w:val="67F95923"/>
    <w:rsid w:val="682D151B"/>
    <w:rsid w:val="68B735CD"/>
    <w:rsid w:val="69982DA3"/>
    <w:rsid w:val="6A400653"/>
    <w:rsid w:val="6A7F45BF"/>
    <w:rsid w:val="6B5A68F5"/>
    <w:rsid w:val="6BBF5D79"/>
    <w:rsid w:val="6BC9041D"/>
    <w:rsid w:val="6CB30EAF"/>
    <w:rsid w:val="6DAB7F02"/>
    <w:rsid w:val="6E080427"/>
    <w:rsid w:val="6E192634"/>
    <w:rsid w:val="6FB66562"/>
    <w:rsid w:val="71251211"/>
    <w:rsid w:val="719E17CE"/>
    <w:rsid w:val="71CD20B4"/>
    <w:rsid w:val="71F9018A"/>
    <w:rsid w:val="72567DE8"/>
    <w:rsid w:val="72C16AF2"/>
    <w:rsid w:val="72FA6ED8"/>
    <w:rsid w:val="73A76E7D"/>
    <w:rsid w:val="74A23383"/>
    <w:rsid w:val="75730384"/>
    <w:rsid w:val="75C64E50"/>
    <w:rsid w:val="77D80035"/>
    <w:rsid w:val="78401AE9"/>
    <w:rsid w:val="7B2D0D45"/>
    <w:rsid w:val="7B3D7962"/>
    <w:rsid w:val="7B4E5EDA"/>
    <w:rsid w:val="7BE67FFA"/>
    <w:rsid w:val="7BEB3862"/>
    <w:rsid w:val="7C7B7C1A"/>
    <w:rsid w:val="7D210FAE"/>
    <w:rsid w:val="7DE95B7F"/>
    <w:rsid w:val="7DF64DA9"/>
    <w:rsid w:val="7E151C77"/>
    <w:rsid w:val="7E8A6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Char"/>
    <w:basedOn w:val="18"/>
    <w:link w:val="13"/>
    <w:qFormat/>
    <w:uiPriority w:val="0"/>
    <w:rPr>
      <w:rFonts w:ascii="Calibri" w:hAnsi="Calibri" w:eastAsia="宋体" w:cs="Times New Roman"/>
      <w:sz w:val="18"/>
      <w:szCs w:val="18"/>
    </w:rPr>
  </w:style>
  <w:style w:type="character" w:customStyle="1" w:styleId="21">
    <w:name w:val="页脚 Char"/>
    <w:basedOn w:val="18"/>
    <w:link w:val="12"/>
    <w:qFormat/>
    <w:uiPriority w:val="99"/>
    <w:rPr>
      <w:rFonts w:ascii="Calibri" w:hAnsi="Calibri" w:eastAsia="宋体" w:cs="Times New Roman"/>
      <w:sz w:val="18"/>
      <w:szCs w:val="18"/>
    </w:rPr>
  </w:style>
  <w:style w:type="character" w:customStyle="1" w:styleId="22">
    <w:name w:val="文档结构图 Char"/>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Char"/>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Char"/>
    <w:basedOn w:val="18"/>
    <w:link w:val="2"/>
    <w:qFormat/>
    <w:uiPriority w:val="0"/>
    <w:rPr>
      <w:rFonts w:ascii="Cambria" w:hAnsi="Cambria" w:eastAsia="华文中宋" w:cs="Times New Roman"/>
      <w:b/>
      <w:bCs/>
      <w:sz w:val="44"/>
      <w:szCs w:val="28"/>
    </w:rPr>
  </w:style>
  <w:style w:type="character" w:customStyle="1" w:styleId="27">
    <w:name w:val="纯文本 Char1"/>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Char"/>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Char"/>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Char"/>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Char"/>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2254</Words>
  <Characters>2442</Characters>
  <Lines>60</Lines>
  <Paragraphs>17</Paragraphs>
  <TotalTime>0</TotalTime>
  <ScaleCrop>false</ScaleCrop>
  <LinksUpToDate>false</LinksUpToDate>
  <CharactersWithSpaces>2495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 </cp:lastModifiedBy>
  <cp:lastPrinted>2020-08-24T02:17:00Z</cp:lastPrinted>
  <dcterms:modified xsi:type="dcterms:W3CDTF">2025-08-21T15:14:40Z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A61FE69F856144A6AE582CFB5F86F1B7_13</vt:lpwstr>
  </property>
  <property fmtid="{D5CDD505-2E9C-101B-9397-08002B2CF9AE}" pid="4" name="KSOTemplateDocerSaveRecord">
    <vt:lpwstr>eyJoZGlkIjoiMzFjY2UwY2M2ODFhYjJmMGFlYjJiMTI2YjFiMDY3MjEiLCJ1c2VySWQiOiI0MjI1ODIyOTAifQ==</vt:lpwstr>
  </property>
</Properties>
</file>