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firstLine="643" w:firstLineChars="200"/>
        <w:jc w:val="center"/>
        <w:rPr>
          <w:rFonts w:hint="default" w:ascii="宋体" w:hAnsi="宋体" w:eastAsia="宋体" w:cs="宋体"/>
          <w:b/>
          <w:bCs/>
          <w:kern w:val="0"/>
          <w:sz w:val="32"/>
          <w:szCs w:val="32"/>
          <w:lang w:val="en-US" w:eastAsia="zh-CN"/>
        </w:rPr>
      </w:pPr>
      <w:r>
        <w:rPr>
          <w:rFonts w:hint="eastAsia" w:ascii="宋体" w:hAnsi="宋体" w:cs="宋体"/>
          <w:b/>
          <w:bCs/>
          <w:kern w:val="0"/>
          <w:sz w:val="32"/>
          <w:szCs w:val="32"/>
          <w:lang w:val="en-US" w:eastAsia="zh-CN"/>
        </w:rPr>
        <w:t>全国</w:t>
      </w:r>
      <w:r>
        <w:rPr>
          <w:rFonts w:hint="eastAsia" w:ascii="宋体" w:hAnsi="宋体" w:eastAsia="宋体" w:cs="宋体"/>
          <w:b/>
          <w:bCs/>
          <w:kern w:val="0"/>
          <w:sz w:val="32"/>
          <w:szCs w:val="32"/>
          <w:lang w:val="zh-CN"/>
        </w:rPr>
        <w:t>职</w:t>
      </w:r>
      <w:r>
        <w:rPr>
          <w:rFonts w:hint="eastAsia" w:ascii="宋体" w:hAnsi="宋体" w:cs="宋体"/>
          <w:b/>
          <w:bCs/>
          <w:kern w:val="0"/>
          <w:sz w:val="32"/>
          <w:szCs w:val="32"/>
          <w:lang w:val="en-US" w:eastAsia="zh-CN"/>
        </w:rPr>
        <w:t>业</w:t>
      </w:r>
      <w:r>
        <w:rPr>
          <w:rFonts w:hint="eastAsia" w:ascii="宋体" w:hAnsi="宋体" w:eastAsia="宋体" w:cs="宋体"/>
          <w:b/>
          <w:bCs/>
          <w:kern w:val="0"/>
          <w:sz w:val="32"/>
          <w:szCs w:val="32"/>
          <w:lang w:val="zh-CN"/>
        </w:rPr>
        <w:t>教</w:t>
      </w:r>
      <w:r>
        <w:rPr>
          <w:rFonts w:hint="eastAsia" w:ascii="宋体" w:hAnsi="宋体" w:cs="宋体"/>
          <w:b/>
          <w:bCs/>
          <w:kern w:val="0"/>
          <w:sz w:val="32"/>
          <w:szCs w:val="32"/>
          <w:lang w:val="en-US" w:eastAsia="zh-CN"/>
        </w:rPr>
        <w:t>育</w:t>
      </w:r>
      <w:r>
        <w:rPr>
          <w:rFonts w:hint="eastAsia" w:ascii="宋体" w:hAnsi="宋体" w:eastAsia="宋体" w:cs="宋体"/>
          <w:b/>
          <w:bCs/>
          <w:kern w:val="0"/>
          <w:sz w:val="32"/>
          <w:szCs w:val="32"/>
          <w:lang w:val="zh-CN"/>
        </w:rPr>
        <w:t>智慧大脑数据上报</w:t>
      </w:r>
      <w:r>
        <w:rPr>
          <w:rFonts w:hint="eastAsia" w:ascii="宋体" w:hAnsi="宋体" w:cs="宋体"/>
          <w:b/>
          <w:bCs/>
          <w:kern w:val="0"/>
          <w:sz w:val="32"/>
          <w:szCs w:val="32"/>
          <w:lang w:val="en-US" w:eastAsia="zh-CN"/>
        </w:rPr>
        <w:t>平台采购需求</w:t>
      </w:r>
    </w:p>
    <w:p>
      <w:pPr>
        <w:widowControl/>
        <w:spacing w:line="360" w:lineRule="auto"/>
        <w:ind w:firstLine="422" w:firstLineChars="200"/>
        <w:jc w:val="left"/>
        <w:rPr>
          <w:rFonts w:hint="eastAsia" w:ascii="宋体" w:hAnsi="宋体" w:eastAsia="宋体" w:cs="宋体"/>
          <w:b/>
          <w:bCs/>
          <w:kern w:val="0"/>
          <w:szCs w:val="21"/>
          <w:lang w:val="zh-CN"/>
        </w:rPr>
      </w:pPr>
      <w:r>
        <w:rPr>
          <w:rFonts w:hint="eastAsia" w:ascii="宋体" w:hAnsi="宋体" w:cs="宋体"/>
          <w:b/>
          <w:bCs/>
          <w:kern w:val="0"/>
          <w:szCs w:val="21"/>
          <w:lang w:val="en-US" w:eastAsia="zh-CN"/>
        </w:rPr>
        <w:t>一</w:t>
      </w:r>
      <w:r>
        <w:rPr>
          <w:rFonts w:hint="eastAsia" w:ascii="宋体" w:hAnsi="宋体" w:eastAsia="宋体" w:cs="宋体"/>
          <w:b/>
          <w:bCs/>
          <w:kern w:val="0"/>
          <w:szCs w:val="21"/>
          <w:lang w:val="zh-CN"/>
        </w:rPr>
        <w:t>、项目名称：</w:t>
      </w:r>
      <w:r>
        <w:rPr>
          <w:rFonts w:hint="eastAsia" w:ascii="宋体" w:hAnsi="宋体" w:eastAsia="宋体" w:cs="宋体"/>
          <w:kern w:val="0"/>
          <w:szCs w:val="21"/>
          <w:lang w:val="zh-CN"/>
        </w:rPr>
        <w:t>职教智慧大脑数据上报</w:t>
      </w:r>
      <w:r>
        <w:rPr>
          <w:rFonts w:hint="eastAsia" w:ascii="宋体" w:hAnsi="宋体" w:cs="宋体"/>
          <w:kern w:val="0"/>
          <w:szCs w:val="21"/>
          <w:lang w:val="en-US" w:eastAsia="zh-CN"/>
        </w:rPr>
        <w:t>平台</w:t>
      </w:r>
      <w:r>
        <w:rPr>
          <w:rFonts w:hint="eastAsia" w:ascii="宋体" w:hAnsi="宋体" w:eastAsia="宋体" w:cs="宋体"/>
          <w:kern w:val="0"/>
          <w:szCs w:val="21"/>
          <w:lang w:val="zh-CN"/>
        </w:rPr>
        <w:t xml:space="preserve"> </w:t>
      </w:r>
    </w:p>
    <w:p>
      <w:pPr>
        <w:widowControl/>
        <w:spacing w:line="360" w:lineRule="auto"/>
        <w:ind w:firstLine="422" w:firstLineChars="200"/>
        <w:jc w:val="left"/>
        <w:rPr>
          <w:rFonts w:hint="default" w:ascii="宋体" w:hAnsi="宋体" w:eastAsia="宋体" w:cs="宋体"/>
          <w:b/>
          <w:bCs/>
          <w:color w:val="auto"/>
          <w:kern w:val="0"/>
          <w:szCs w:val="21"/>
          <w:lang w:val="en-US" w:eastAsia="zh-CN"/>
        </w:rPr>
      </w:pPr>
      <w:r>
        <w:rPr>
          <w:rFonts w:hint="eastAsia" w:ascii="宋体" w:hAnsi="宋体" w:cs="宋体"/>
          <w:b/>
          <w:bCs/>
          <w:color w:val="auto"/>
          <w:kern w:val="0"/>
          <w:szCs w:val="21"/>
          <w:lang w:val="en-US" w:eastAsia="zh-CN"/>
        </w:rPr>
        <w:t>二</w:t>
      </w:r>
      <w:r>
        <w:rPr>
          <w:rFonts w:hint="eastAsia" w:ascii="宋体" w:hAnsi="宋体" w:eastAsia="宋体" w:cs="宋体"/>
          <w:b/>
          <w:bCs/>
          <w:color w:val="auto"/>
          <w:kern w:val="0"/>
          <w:szCs w:val="21"/>
          <w:lang w:val="zh-CN"/>
        </w:rPr>
        <w:t>、预算金额：</w:t>
      </w:r>
      <w:r>
        <w:rPr>
          <w:rFonts w:hint="eastAsia" w:ascii="宋体" w:hAnsi="宋体" w:eastAsia="宋体" w:cs="宋体"/>
          <w:kern w:val="0"/>
          <w:szCs w:val="21"/>
          <w:lang w:val="en-US" w:eastAsia="zh-CN"/>
        </w:rPr>
        <w:t>10万</w:t>
      </w:r>
    </w:p>
    <w:p>
      <w:pPr>
        <w:widowControl/>
        <w:spacing w:line="360" w:lineRule="auto"/>
        <w:ind w:firstLine="422" w:firstLineChars="200"/>
        <w:jc w:val="left"/>
        <w:rPr>
          <w:rFonts w:hint="eastAsia" w:ascii="宋体" w:hAnsi="宋体" w:eastAsia="宋体" w:cs="宋体"/>
          <w:b/>
          <w:bCs/>
          <w:color w:val="auto"/>
          <w:kern w:val="0"/>
          <w:szCs w:val="21"/>
          <w:lang w:val="zh-CN"/>
        </w:rPr>
      </w:pPr>
      <w:r>
        <w:rPr>
          <w:rFonts w:hint="eastAsia" w:ascii="宋体" w:hAnsi="宋体" w:cs="宋体"/>
          <w:b/>
          <w:bCs/>
          <w:color w:val="auto"/>
          <w:kern w:val="0"/>
          <w:szCs w:val="21"/>
          <w:lang w:val="en-US" w:eastAsia="zh-CN"/>
        </w:rPr>
        <w:t>三</w:t>
      </w:r>
      <w:r>
        <w:rPr>
          <w:rFonts w:hint="eastAsia" w:ascii="宋体" w:hAnsi="宋体" w:eastAsia="宋体" w:cs="宋体"/>
          <w:b/>
          <w:bCs/>
          <w:color w:val="auto"/>
          <w:kern w:val="0"/>
          <w:szCs w:val="21"/>
          <w:lang w:val="zh-CN"/>
        </w:rPr>
        <w:t>、服务期限：</w:t>
      </w:r>
      <w:r>
        <w:rPr>
          <w:rFonts w:hint="eastAsia" w:ascii="宋体" w:hAnsi="宋体" w:eastAsia="宋体" w:cs="Times New Roman"/>
          <w:color w:val="auto"/>
          <w:kern w:val="0"/>
          <w:szCs w:val="21"/>
          <w:lang w:eastAsia="zh-Hans"/>
        </w:rPr>
        <w:t>自合同签订生效后</w:t>
      </w:r>
      <w:r>
        <w:rPr>
          <w:rFonts w:ascii="宋体" w:hAnsi="宋体" w:eastAsia="宋体" w:cs="Times New Roman"/>
          <w:color w:val="auto"/>
          <w:kern w:val="0"/>
          <w:szCs w:val="21"/>
          <w:lang w:eastAsia="zh-Hans"/>
        </w:rPr>
        <w:t>90</w:t>
      </w:r>
      <w:r>
        <w:rPr>
          <w:rFonts w:hint="eastAsia" w:ascii="宋体" w:hAnsi="宋体" w:eastAsia="宋体" w:cs="Times New Roman"/>
          <w:color w:val="auto"/>
          <w:kern w:val="0"/>
          <w:szCs w:val="21"/>
          <w:lang w:eastAsia="zh-Hans"/>
        </w:rPr>
        <w:t>日完成全部平台建设工作，并能通过采购人验收</w:t>
      </w:r>
      <w:r>
        <w:rPr>
          <w:rFonts w:hint="eastAsia" w:ascii="宋体" w:hAnsi="宋体" w:eastAsia="宋体" w:cs="宋体"/>
          <w:color w:val="auto"/>
          <w:kern w:val="0"/>
          <w:szCs w:val="21"/>
          <w:lang w:val="zh-CN"/>
        </w:rPr>
        <w:t>。</w:t>
      </w:r>
    </w:p>
    <w:p>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ascii="宋体" w:hAnsi="宋体" w:eastAsia="宋体" w:cs="宋体"/>
          <w:b/>
          <w:bCs/>
          <w:kern w:val="0"/>
          <w:szCs w:val="21"/>
          <w:lang w:val="zh-CN"/>
        </w:rPr>
      </w:pPr>
      <w:r>
        <w:rPr>
          <w:rFonts w:hint="eastAsia" w:ascii="宋体" w:hAnsi="宋体" w:cs="宋体"/>
          <w:b/>
          <w:bCs/>
          <w:kern w:val="0"/>
          <w:szCs w:val="21"/>
          <w:lang w:val="en-US" w:eastAsia="zh-CN"/>
        </w:rPr>
        <w:t>四</w:t>
      </w:r>
      <w:r>
        <w:rPr>
          <w:rFonts w:hint="eastAsia" w:ascii="宋体" w:hAnsi="宋体" w:eastAsia="宋体" w:cs="宋体"/>
          <w:b/>
          <w:bCs/>
          <w:kern w:val="0"/>
          <w:szCs w:val="21"/>
          <w:lang w:val="zh-CN"/>
        </w:rPr>
        <w:t>、采购要求</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Style w:val="10"/>
          <w:rFonts w:ascii="等线" w:hAnsi="等线" w:eastAsia="等线" w:cs="Times New Roman"/>
          <w:b/>
          <w:szCs w:val="21"/>
        </w:rPr>
      </w:pPr>
      <w:r>
        <w:rPr>
          <w:rStyle w:val="10"/>
          <w:rFonts w:hint="eastAsia" w:ascii="等线" w:hAnsi="等线" w:eastAsia="等线"/>
          <w:b/>
          <w:szCs w:val="21"/>
          <w:lang w:val="en-US" w:eastAsia="zh-CN"/>
        </w:rPr>
        <w:t>（一）</w:t>
      </w:r>
      <w:r>
        <w:rPr>
          <w:rStyle w:val="10"/>
          <w:rFonts w:hint="eastAsia" w:ascii="等线" w:hAnsi="等线" w:eastAsia="等线"/>
          <w:b/>
          <w:szCs w:val="21"/>
        </w:rPr>
        <w:t xml:space="preserve">项目概况 </w:t>
      </w:r>
    </w:p>
    <w:p>
      <w:pPr>
        <w:ind w:firstLine="420" w:firstLineChars="200"/>
        <w:rPr>
          <w:rFonts w:hint="eastAsia" w:ascii="宋体" w:hAnsi="宋体" w:eastAsia="宋体" w:cs="宋体"/>
        </w:rPr>
      </w:pPr>
      <w:r>
        <w:rPr>
          <w:rFonts w:hint="eastAsia" w:ascii="宋体" w:hAnsi="宋体" w:eastAsia="宋体" w:cs="宋体"/>
        </w:rPr>
        <w:t>为深入贯彻落实习近平总书记关于职业教育工作的重要指示和全国职业教育大会精神，教育部坚持稳中求进工作总基调，聚焦“提高质量、提升形象”这两大任务，落实好“三个文件”，突破“五大重点”，不断夯实职业教育信息化工作基础，服务高质量发展。</w:t>
      </w:r>
      <w:r>
        <w:rPr>
          <w:rFonts w:hint="eastAsia" w:ascii="宋体" w:hAnsi="宋体" w:eastAsia="宋体" w:cs="宋体"/>
          <w:lang w:eastAsia="zh-Hans"/>
        </w:rPr>
        <w:t>根据</w:t>
      </w:r>
      <w:r>
        <w:rPr>
          <w:rFonts w:hint="eastAsia" w:ascii="宋体" w:hAnsi="宋体" w:eastAsia="宋体" w:cs="宋体"/>
        </w:rPr>
        <w:t>《中国教育现代化2035》的要求，重点服务职业教育数字化转型和职业院校数字校园建设，保障职业教育战线教育教学、教育管理等基础业务数据汇聚和共享交换，保障数据一致性和准确性。教育部已陆续建设各类职业教育信息化管理系统，按照“源头录入、规范采集”的原则，实现职业院校教育教学数据规范有序的采集和填报，为教育教学规范管理、事业统计、科学决策等提供了全面、真实、客观的数据支撑和基础，完善了职业教育科学化、规范化、精细化管理水平。</w:t>
      </w:r>
    </w:p>
    <w:p>
      <w:pPr>
        <w:ind w:firstLine="420" w:firstLineChars="200"/>
        <w:rPr>
          <w:rFonts w:hint="default" w:ascii="宋体" w:hAnsi="宋体" w:eastAsia="宋体" w:cs="宋体"/>
          <w:lang w:val="en-US"/>
        </w:rPr>
      </w:pPr>
      <w:r>
        <w:rPr>
          <w:rFonts w:hint="eastAsia" w:ascii="宋体" w:hAnsi="宋体" w:eastAsia="宋体" w:cs="宋体"/>
          <w:lang w:val="zh-CN"/>
        </w:rPr>
        <w:t>职教智慧大脑数据上报</w:t>
      </w:r>
      <w:r>
        <w:rPr>
          <w:rFonts w:hint="eastAsia" w:ascii="宋体" w:hAnsi="宋体" w:eastAsia="宋体" w:cs="宋体"/>
          <w:lang w:val="en-US" w:eastAsia="zh-CN"/>
        </w:rPr>
        <w:t>平</w:t>
      </w:r>
      <w:bookmarkStart w:id="1" w:name="_GoBack"/>
      <w:bookmarkEnd w:id="1"/>
      <w:r>
        <w:rPr>
          <w:rFonts w:hint="eastAsia" w:ascii="宋体" w:hAnsi="宋体" w:eastAsia="宋体" w:cs="宋体"/>
          <w:lang w:val="en-US" w:eastAsia="zh-CN"/>
        </w:rPr>
        <w:t>台</w:t>
      </w:r>
      <w:r>
        <w:rPr>
          <w:rFonts w:hint="eastAsia" w:ascii="宋体" w:hAnsi="宋体" w:cs="宋体"/>
          <w:lang w:val="en-US" w:eastAsia="zh-CN"/>
        </w:rPr>
        <w:t>要求</w:t>
      </w:r>
      <w:r>
        <w:rPr>
          <w:rFonts w:hint="eastAsia" w:ascii="宋体" w:hAnsi="宋体" w:eastAsia="宋体" w:cs="宋体"/>
          <w:lang w:val="zh-CN"/>
        </w:rPr>
        <w:t>根据教育部要求，对不同数据表按照</w:t>
      </w:r>
      <w:r>
        <w:rPr>
          <w:rFonts w:hint="eastAsia" w:ascii="宋体" w:hAnsi="宋体" w:eastAsia="宋体" w:cs="宋体"/>
          <w:lang w:val="zh-CN" w:eastAsia="zh-Hans"/>
        </w:rPr>
        <w:t>年、</w:t>
      </w:r>
      <w:r>
        <w:rPr>
          <w:rFonts w:hint="eastAsia" w:ascii="宋体" w:hAnsi="宋体" w:eastAsia="宋体" w:cs="宋体"/>
          <w:lang w:val="zh-CN"/>
        </w:rPr>
        <w:t>学期、月、</w:t>
      </w:r>
      <w:r>
        <w:rPr>
          <w:rFonts w:hint="eastAsia" w:ascii="宋体" w:hAnsi="宋体" w:eastAsia="宋体" w:cs="宋体"/>
          <w:lang w:val="zh-CN" w:eastAsia="zh-Hans"/>
        </w:rPr>
        <w:t>周、</w:t>
      </w:r>
      <w:r>
        <w:rPr>
          <w:rFonts w:hint="eastAsia" w:ascii="宋体" w:hAnsi="宋体" w:eastAsia="宋体" w:cs="宋体"/>
          <w:lang w:val="zh-CN"/>
        </w:rPr>
        <w:t>天等周期，对接教育部数据上报API接口，按照规定时间、规定周期，准时、准确提交85张基础数据表。</w:t>
      </w:r>
    </w:p>
    <w:p>
      <w:pPr>
        <w:pStyle w:val="4"/>
        <w:spacing w:before="0"/>
        <w:rPr>
          <w:rFonts w:ascii="等线" w:hAnsi="等线" w:eastAsia="等线"/>
          <w:sz w:val="21"/>
          <w:szCs w:val="21"/>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Style w:val="10"/>
          <w:rFonts w:hint="eastAsia" w:ascii="等线" w:hAnsi="等线" w:eastAsia="等线"/>
          <w:b/>
          <w:szCs w:val="21"/>
          <w:lang w:val="en-US" w:eastAsia="zh-CN"/>
        </w:rPr>
      </w:pPr>
      <w:r>
        <w:rPr>
          <w:rStyle w:val="10"/>
          <w:rFonts w:hint="eastAsia" w:ascii="等线" w:hAnsi="等线" w:eastAsia="等线"/>
          <w:b/>
          <w:szCs w:val="21"/>
          <w:lang w:val="en-US" w:eastAsia="zh-CN"/>
        </w:rPr>
        <w:t>（二）填报系统技术要求</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
        <w:gridCol w:w="1804"/>
        <w:gridCol w:w="5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tcPr>
          <w:p>
            <w:pPr>
              <w:jc w:val="center"/>
              <w:rPr>
                <w:rFonts w:ascii="宋体" w:hAnsi="宋体"/>
                <w:b/>
                <w:bCs/>
              </w:rPr>
            </w:pPr>
            <w:bookmarkStart w:id="0" w:name="_Hlk118450751"/>
            <w:r>
              <w:rPr>
                <w:rFonts w:hint="eastAsia" w:ascii="宋体" w:hAnsi="宋体"/>
                <w:b/>
                <w:bCs/>
              </w:rPr>
              <w:t>序号</w:t>
            </w:r>
          </w:p>
        </w:tc>
        <w:tc>
          <w:tcPr>
            <w:tcW w:w="2106" w:type="dxa"/>
            <w:vAlign w:val="center"/>
          </w:tcPr>
          <w:p>
            <w:pPr>
              <w:rPr>
                <w:rFonts w:ascii="宋体" w:hAnsi="宋体"/>
                <w:b/>
                <w:bCs/>
              </w:rPr>
            </w:pPr>
            <w:r>
              <w:rPr>
                <w:rFonts w:hint="eastAsia" w:ascii="宋体" w:hAnsi="宋体"/>
                <w:b/>
                <w:bCs/>
              </w:rPr>
              <w:t>建设模块</w:t>
            </w:r>
          </w:p>
        </w:tc>
        <w:tc>
          <w:tcPr>
            <w:tcW w:w="6801" w:type="dxa"/>
          </w:tcPr>
          <w:p>
            <w:pPr>
              <w:rPr>
                <w:rFonts w:ascii="宋体" w:hAnsi="宋体"/>
                <w:b/>
                <w:bCs/>
              </w:rPr>
            </w:pPr>
            <w:r>
              <w:rPr>
                <w:rFonts w:hint="eastAsia" w:ascii="宋体" w:hAnsi="宋体"/>
                <w:b/>
                <w:bCs/>
              </w:rPr>
              <w:t>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b/>
                <w:bCs/>
              </w:rPr>
            </w:pPr>
          </w:p>
        </w:tc>
        <w:tc>
          <w:tcPr>
            <w:tcW w:w="2106" w:type="dxa"/>
            <w:vMerge w:val="restart"/>
            <w:vAlign w:val="center"/>
          </w:tcPr>
          <w:p>
            <w:pPr>
              <w:rPr>
                <w:rFonts w:ascii="宋体" w:hAnsi="宋体"/>
                <w:b/>
                <w:bCs/>
              </w:rPr>
            </w:pPr>
            <w:r>
              <w:rPr>
                <w:rFonts w:hint="eastAsia" w:ascii="宋体" w:hAnsi="宋体"/>
              </w:rPr>
              <w:t>数据准备服务</w:t>
            </w:r>
          </w:p>
        </w:tc>
        <w:tc>
          <w:tcPr>
            <w:tcW w:w="6801" w:type="dxa"/>
          </w:tcPr>
          <w:p>
            <w:r>
              <w:rPr>
                <w:rFonts w:hint="eastAsia"/>
              </w:rPr>
              <w:t>投标人需充分调研、识别学校已经存在的各项数据，梳理已有数据与待上报数据之间的对应关系，最大程度的利用好现有数据资源，减少重复填报现象。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b/>
                <w:bCs/>
              </w:rPr>
            </w:pPr>
          </w:p>
        </w:tc>
        <w:tc>
          <w:tcPr>
            <w:tcW w:w="2106" w:type="dxa"/>
            <w:vMerge w:val="continue"/>
            <w:vAlign w:val="center"/>
          </w:tcPr>
          <w:p>
            <w:pPr>
              <w:rPr>
                <w:rFonts w:ascii="宋体" w:hAnsi="宋体"/>
                <w:b/>
                <w:bCs/>
              </w:rPr>
            </w:pPr>
          </w:p>
        </w:tc>
        <w:tc>
          <w:tcPr>
            <w:tcW w:w="6801" w:type="dxa"/>
          </w:tcPr>
          <w:p>
            <w:r>
              <w:rPr>
                <w:rFonts w:hint="eastAsia"/>
              </w:rPr>
              <w:t>对于已完成识别的数据，对数据的完整性、规范性等特征进行评估，确定数据是否适合用于上报。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b/>
                <w:bCs/>
              </w:rPr>
            </w:pPr>
          </w:p>
        </w:tc>
        <w:tc>
          <w:tcPr>
            <w:tcW w:w="2106" w:type="dxa"/>
            <w:vMerge w:val="continue"/>
            <w:vAlign w:val="center"/>
          </w:tcPr>
          <w:p>
            <w:pPr>
              <w:rPr>
                <w:rFonts w:ascii="宋体" w:hAnsi="宋体"/>
                <w:b/>
                <w:bCs/>
              </w:rPr>
            </w:pPr>
          </w:p>
        </w:tc>
        <w:tc>
          <w:tcPr>
            <w:tcW w:w="6801" w:type="dxa"/>
          </w:tcPr>
          <w:p>
            <w:pPr>
              <w:rPr>
                <w:rFonts w:hint="default" w:eastAsia="宋体"/>
                <w:lang w:eastAsia="zh-Hans"/>
              </w:rPr>
            </w:pPr>
            <w:r>
              <w:rPr>
                <w:rFonts w:hint="eastAsia"/>
              </w:rPr>
              <w:t>对于经评估确认可用的数据，需要根据</w:t>
            </w:r>
            <w:r>
              <w:rPr>
                <w:rFonts w:hint="eastAsia" w:ascii="宋体" w:hAnsi="宋体" w:cs="宋体"/>
                <w:kern w:val="0"/>
                <w:szCs w:val="21"/>
              </w:rPr>
              <w:t>全国职教大脑</w:t>
            </w:r>
            <w:r>
              <w:rPr>
                <w:rFonts w:hint="eastAsia"/>
              </w:rPr>
              <w:t>数据上报的要求，通过映射、转换、过滤、关联等操作，将原始数据处理为符合上报要求的数据，供</w:t>
            </w:r>
            <w:r>
              <w:rPr>
                <w:rFonts w:hint="eastAsia"/>
                <w:lang w:val="en-US" w:eastAsia="zh-Hans"/>
              </w:rPr>
              <w:t>数据</w:t>
            </w:r>
            <w:r>
              <w:rPr>
                <w:rFonts w:hint="eastAsia"/>
              </w:rPr>
              <w:t>表单自动加载</w:t>
            </w:r>
            <w:r>
              <w:rPr>
                <w:rFonts w:hint="eastAsia"/>
                <w:lang w:val="en-US" w:eastAsia="zh-Hans"/>
              </w:rPr>
              <w:t>完成上报</w:t>
            </w:r>
            <w:r>
              <w:rPr>
                <w:rFonts w:hint="default"/>
                <w:lang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pStyle w:val="13"/>
              <w:spacing w:line="360" w:lineRule="auto"/>
              <w:ind w:firstLine="0" w:firstLineChars="0"/>
              <w:rPr>
                <w:rFonts w:ascii="Times New Roman" w:hAnsi="Times New Roman" w:cs="Times New Roman"/>
                <w:sz w:val="24"/>
                <w:szCs w:val="22"/>
              </w:rPr>
            </w:pPr>
            <w:r>
              <w:rPr>
                <w:rFonts w:hint="eastAsia" w:ascii="Times New Roman" w:hAnsi="Times New Roman" w:cs="Times New Roman"/>
                <w:sz w:val="24"/>
                <w:szCs w:val="22"/>
              </w:rPr>
              <w:t>针对本次需要对接的数据表，提供数据表采集功能，要求与学校当前的数据中心进行对接，支持已有数据自动带出，对于数据中心没有的数据可提供填报表单进行采集。</w:t>
            </w:r>
          </w:p>
          <w:p>
            <w:pPr>
              <w:pStyle w:val="13"/>
              <w:spacing w:line="360" w:lineRule="auto"/>
              <w:ind w:firstLine="240" w:firstLineChars="100"/>
              <w:rPr>
                <w:rFonts w:ascii="Times New Roman" w:hAnsi="Times New Roman" w:cs="Times New Roman"/>
                <w:sz w:val="24"/>
                <w:szCs w:val="22"/>
              </w:rPr>
            </w:pPr>
            <w:r>
              <w:rPr>
                <w:rFonts w:hint="eastAsia" w:ascii="Times New Roman" w:hAnsi="Times New Roman" w:cs="Times New Roman"/>
                <w:sz w:val="24"/>
                <w:szCs w:val="22"/>
              </w:rPr>
              <w:t>具体采集范围如下：</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学校基本数据子类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信息化系统建设数据子类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信息化系统访问记录数据子类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学校特色信息化系统应用数据子类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课程基本数据子类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课程建设数据子类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国家平台资源对接数据子类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实习基础数据子类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实习保险购买情况数据子类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实习违规行为情况数据子类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实习报告记录数据子类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专业建设情况数据子类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专业设置数据子类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实训基地数据子类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实训室基本数据子类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实训项目数据子类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实训教学过程数据子类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虚拟仿真基地对外服务数据子类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排课数据子类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学生选课数据子类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访问教学资源情况数据子类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网络课程在线学习记录数据子类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课堂互动数据子类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访问数字图书馆资源数据子类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教学质量与评价数据子类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巡课数据子类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数字资源基本数据子类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虚拟仿真数字资源基本数据子类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产学合作数据子类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1+X证书数据子类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职业技能鉴定机构数据子类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总体计划数据子类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计划课程数据子类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教材基本数据子类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获奖教材数据子类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教室基本数据子类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教室视频流数据子类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教师画像数据子类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教师企业兼职/实践数据子类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学习进修数据子类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教师考核数据子类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学生画像数据子类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学生技能证书数据子类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综合成绩与评价数据子类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奖助贷申请数据子类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社团（协会）基本数据子类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学生参与社团数据子类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举办社团活动数据子类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参加社团活动数据子类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心理咨询记录数据子类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离校手续办理数据子类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毕业去向【升学】数据子类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毕业去向【就业】数据子类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毕业去向【未就业】数据子类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党组织情况基础数据子类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党员发展数据子类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党员干部学习数据子类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党课数据子类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三会数据子类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党员日常活动数据子类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党员主题党日数据子类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思政活动数据子类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思政教职工数据子类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仪器设备基本数据子类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智慧教室设备运行数据子类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科研项目基本数据子类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科研项目研究活动数据子类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科研经费支出数据子类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论文发表数据子类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专利发布数据子类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专著发表数据子类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学术讲座数据子类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学生消费数据子类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一卡通认证数据子类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在线事务办理数据子类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校园动态信息数据子类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图书基本数据子类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图书借阅数据子类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期刊基本数据子类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校内学生赛事活动数据子类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网络安全管理数据子类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校本数据中心数据集成情况数据子类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数据标准与信息系统映射关系数据子类</w:t>
            </w:r>
          </w:p>
          <w:p>
            <w:pPr>
              <w:pStyle w:val="13"/>
              <w:numPr>
                <w:ilvl w:val="0"/>
                <w:numId w:val="2"/>
              </w:numPr>
              <w:spacing w:line="360" w:lineRule="auto"/>
              <w:ind w:firstLineChars="0"/>
              <w:rPr>
                <w:rFonts w:ascii="Times New Roman" w:hAnsi="Times New Roman" w:cs="Times New Roman"/>
                <w:sz w:val="24"/>
                <w:szCs w:val="22"/>
              </w:rPr>
            </w:pPr>
            <w:r>
              <w:rPr>
                <w:rFonts w:hint="eastAsia" w:ascii="Times New Roman" w:hAnsi="Times New Roman" w:cs="Times New Roman"/>
                <w:sz w:val="24"/>
                <w:szCs w:val="22"/>
              </w:rPr>
              <w:t>信息化系统集成情况数据子类</w:t>
            </w:r>
          </w:p>
          <w:p>
            <w:pPr>
              <w:numPr>
                <w:ilvl w:val="0"/>
                <w:numId w:val="2"/>
              </w:numPr>
            </w:pPr>
            <w:r>
              <w:rPr>
                <w:rFonts w:hint="eastAsia"/>
              </w:rPr>
              <w:t>统一用户认证登录数据子类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Align w:val="center"/>
          </w:tcPr>
          <w:p>
            <w:pPr>
              <w:rPr>
                <w:rFonts w:ascii="宋体" w:hAnsi="宋体"/>
              </w:rPr>
            </w:pPr>
            <w:r>
              <w:rPr>
                <w:szCs w:val="21"/>
              </w:rPr>
              <w:t>内置上报表单</w:t>
            </w:r>
          </w:p>
        </w:tc>
        <w:tc>
          <w:tcPr>
            <w:tcW w:w="6801" w:type="dxa"/>
          </w:tcPr>
          <w:p>
            <w:pPr>
              <w:rPr>
                <w:rFonts w:ascii="宋体" w:hAnsi="宋体" w:cs="宋体"/>
                <w:kern w:val="0"/>
                <w:szCs w:val="21"/>
              </w:rPr>
            </w:pPr>
            <w:r>
              <w:rPr>
                <w:rFonts w:hint="eastAsia" w:ascii="宋体" w:hAnsi="宋体"/>
                <w:bCs/>
                <w:szCs w:val="21"/>
              </w:rPr>
              <w:t>要求平台内置教育部本批次要求上报的所有8</w:t>
            </w:r>
            <w:r>
              <w:rPr>
                <w:rFonts w:ascii="宋体" w:hAnsi="宋体"/>
                <w:bCs/>
                <w:szCs w:val="21"/>
              </w:rPr>
              <w:t>5</w:t>
            </w:r>
            <w:r>
              <w:rPr>
                <w:rFonts w:hint="eastAsia" w:ascii="宋体" w:hAnsi="宋体"/>
                <w:bCs/>
                <w:szCs w:val="21"/>
              </w:rPr>
              <w:t>张数据表，</w:t>
            </w:r>
            <w:r>
              <w:rPr>
                <w:rFonts w:hint="eastAsia" w:ascii="宋体" w:hAnsi="宋体"/>
                <w:bCs/>
                <w:szCs w:val="21"/>
                <w:lang w:val="en-US" w:eastAsia="zh-Hans"/>
              </w:rPr>
              <w:t>提供表单数据服务功能</w:t>
            </w:r>
            <w:r>
              <w:rPr>
                <w:rFonts w:hint="default" w:ascii="宋体" w:hAnsi="宋体"/>
                <w:bCs/>
                <w:szCs w:val="21"/>
                <w:lang w:eastAsia="zh-Hans"/>
              </w:rPr>
              <w:t>，</w:t>
            </w:r>
            <w:r>
              <w:rPr>
                <w:rFonts w:hint="eastAsia" w:ascii="宋体" w:hAnsi="宋体"/>
                <w:bCs/>
                <w:szCs w:val="21"/>
              </w:rPr>
              <w:t>表中内置完整的字段，具有正确的字段名称、长度、类型等定义，无需现场配置生成。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Align w:val="center"/>
          </w:tcPr>
          <w:p>
            <w:pPr>
              <w:rPr>
                <w:rFonts w:ascii="宋体" w:hAnsi="宋体"/>
              </w:rPr>
            </w:pPr>
            <w:r>
              <w:rPr>
                <w:rFonts w:hint="eastAsia"/>
                <w:szCs w:val="21"/>
              </w:rPr>
              <w:t>内置代码定义</w:t>
            </w:r>
          </w:p>
        </w:tc>
        <w:tc>
          <w:tcPr>
            <w:tcW w:w="6801" w:type="dxa"/>
          </w:tcPr>
          <w:p>
            <w:pPr>
              <w:rPr>
                <w:rFonts w:ascii="宋体" w:hAnsi="宋体" w:cs="宋体"/>
                <w:kern w:val="0"/>
                <w:szCs w:val="21"/>
              </w:rPr>
            </w:pPr>
            <w:r>
              <w:rPr>
                <w:rFonts w:hint="eastAsia" w:ascii="宋体" w:hAnsi="宋体" w:cs="宋体"/>
                <w:kern w:val="0"/>
                <w:szCs w:val="21"/>
              </w:rPr>
              <w:t>※</w:t>
            </w:r>
            <w:r>
              <w:rPr>
                <w:rFonts w:hint="eastAsia" w:ascii="宋体" w:hAnsi="宋体"/>
                <w:bCs/>
                <w:szCs w:val="21"/>
              </w:rPr>
              <w:t>要求平台内置教育部指定的所有代码表，并与对应字段建立关联。在填报页面中，关联了代码表的字段，需自动按照代码表的内容提供下拉选项供用户选择录入，避免输入不合法的数据。</w:t>
            </w:r>
            <w:r>
              <w:rPr>
                <w:rFonts w:hint="eastAsia" w:ascii="宋体" w:hAnsi="宋体" w:cs="宋体"/>
                <w:b/>
                <w:bCs/>
                <w:kern w:val="0"/>
                <w:szCs w:val="21"/>
              </w:rPr>
              <w:t>提供系统演示。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Align w:val="center"/>
          </w:tcPr>
          <w:p>
            <w:pPr>
              <w:rPr>
                <w:rFonts w:ascii="宋体" w:hAnsi="宋体"/>
              </w:rPr>
            </w:pPr>
            <w:r>
              <w:rPr>
                <w:rFonts w:hint="eastAsia" w:ascii="宋体" w:hAnsi="宋体"/>
                <w:bCs/>
                <w:szCs w:val="21"/>
              </w:rPr>
              <w:t>内置上报接口</w:t>
            </w:r>
          </w:p>
        </w:tc>
        <w:tc>
          <w:tcPr>
            <w:tcW w:w="6801" w:type="dxa"/>
          </w:tcPr>
          <w:p>
            <w:pPr>
              <w:rPr>
                <w:rFonts w:ascii="宋体" w:hAnsi="宋体" w:cs="宋体"/>
                <w:kern w:val="0"/>
                <w:szCs w:val="21"/>
              </w:rPr>
            </w:pPr>
            <w:r>
              <w:rPr>
                <w:rFonts w:hint="eastAsia" w:ascii="宋体" w:hAnsi="宋体"/>
                <w:bCs/>
                <w:szCs w:val="21"/>
              </w:rPr>
              <w:t>要求平台内置向教育部上传数据的接口，具备定时自动上传数据的功能。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Align w:val="center"/>
          </w:tcPr>
          <w:p>
            <w:pPr>
              <w:rPr>
                <w:rFonts w:ascii="宋体" w:hAnsi="宋体"/>
              </w:rPr>
            </w:pPr>
            <w:r>
              <w:rPr>
                <w:rFonts w:hint="eastAsia" w:ascii="宋体" w:hAnsi="宋体"/>
              </w:rPr>
              <w:t>数据自动带出</w:t>
            </w:r>
          </w:p>
        </w:tc>
        <w:tc>
          <w:tcPr>
            <w:tcW w:w="6801" w:type="dxa"/>
            <w:vAlign w:val="center"/>
          </w:tcPr>
          <w:p>
            <w:pPr>
              <w:rPr>
                <w:rFonts w:ascii="宋体" w:hAnsi="宋体" w:cs="宋体"/>
                <w:kern w:val="0"/>
                <w:szCs w:val="21"/>
              </w:rPr>
            </w:pPr>
            <w:r>
              <w:rPr>
                <w:rFonts w:hint="eastAsia" w:ascii="宋体" w:hAnsi="宋体" w:cs="宋体"/>
                <w:kern w:val="0"/>
                <w:szCs w:val="21"/>
              </w:rPr>
              <w:t>上报平台应能够充分利用学校已有的数据。投标人完成数据预处理并导入上报平台后，上报平台中需能够将数据自动加载到相应表单中，作为表单的初始数据。且对于表单中自动加载的数据，填报者可以对数据进行修改、删除等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restart"/>
            <w:vAlign w:val="center"/>
          </w:tcPr>
          <w:p>
            <w:pPr>
              <w:rPr>
                <w:rFonts w:ascii="宋体" w:hAnsi="宋体"/>
              </w:rPr>
            </w:pPr>
            <w:r>
              <w:rPr>
                <w:rFonts w:hint="eastAsia" w:ascii="宋体" w:hAnsi="宋体"/>
              </w:rPr>
              <w:t>用户管理</w:t>
            </w:r>
          </w:p>
        </w:tc>
        <w:tc>
          <w:tcPr>
            <w:tcW w:w="6801" w:type="dxa"/>
            <w:vAlign w:val="center"/>
          </w:tcPr>
          <w:p>
            <w:pPr>
              <w:rPr>
                <w:rFonts w:ascii="宋体" w:hAnsi="宋体" w:cs="宋体"/>
                <w:kern w:val="0"/>
                <w:szCs w:val="21"/>
              </w:rPr>
            </w:pPr>
            <w:r>
              <w:rPr>
                <w:rFonts w:hint="eastAsia" w:ascii="宋体" w:hAnsi="宋体" w:cs="宋体"/>
                <w:kern w:val="0"/>
                <w:szCs w:val="21"/>
              </w:rPr>
              <w:t>支持多级用户管理功能，可实现用户、用户组、角色、部门的定义、授权、导入等管理。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对部门进行手工定义及自动同步，可定义部门代码、部门名称、上级部门相关属性，采用自动同步的方式，可配置需要同步的数据来源，同步的目标表以及同步频率及时间，自动同步可将部门来源的动态部门信息自动更新到平台中。</w:t>
            </w:r>
            <w:r>
              <w:rPr>
                <w:rFonts w:hint="eastAsia" w:ascii="宋体" w:hAnsi="宋体" w:cs="宋体"/>
                <w:b/>
                <w:bCs/>
                <w:kern w:val="0"/>
                <w:szCs w:val="21"/>
              </w:rPr>
              <w:t>提供真实软件产品的功能截图。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对管理角色、填报角色及审核角色的定义，管理角色对整个平台进行管理，可进行数据模型调整、表单调整、审核流程定义等管理。填报角色相关数据的填报者，可按部门进行划分填报角色。审核角色是定义经过填报后的数据之后的审核者，可支持按部门进行划分审核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※支持用户组管理，可将不同部门、不同角色的用户进行重新分组，支持在给填报人员下发表单时可按用户选择、按部门选择、按用户组选择填报人员，同时也支持通过批量输入职工号进行智能识别填报人员。</w:t>
            </w:r>
            <w:r>
              <w:rPr>
                <w:rFonts w:hint="eastAsia" w:ascii="宋体" w:hAnsi="宋体" w:cs="宋体"/>
                <w:b/>
                <w:bCs/>
                <w:kern w:val="0"/>
                <w:szCs w:val="21"/>
              </w:rPr>
              <w:t>提供系统演示。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restart"/>
            <w:vAlign w:val="center"/>
          </w:tcPr>
          <w:p>
            <w:pPr>
              <w:rPr>
                <w:rFonts w:ascii="宋体" w:hAnsi="宋体"/>
              </w:rPr>
            </w:pPr>
            <w:r>
              <w:rPr>
                <w:rFonts w:hint="eastAsia" w:ascii="宋体" w:hAnsi="宋体"/>
              </w:rPr>
              <w:t>填报方式</w:t>
            </w:r>
          </w:p>
        </w:tc>
        <w:tc>
          <w:tcPr>
            <w:tcW w:w="6801" w:type="dxa"/>
            <w:vAlign w:val="center"/>
          </w:tcPr>
          <w:p>
            <w:pPr>
              <w:rPr>
                <w:rFonts w:ascii="宋体" w:hAnsi="宋体" w:cs="宋体"/>
                <w:kern w:val="0"/>
                <w:szCs w:val="21"/>
              </w:rPr>
            </w:pPr>
            <w:r>
              <w:rPr>
                <w:rFonts w:hint="eastAsia" w:ascii="宋体" w:hAnsi="宋体" w:cs="宋体"/>
                <w:kern w:val="0"/>
                <w:szCs w:val="21"/>
              </w:rPr>
              <w:t>支持通过在线填报及通过E</w:t>
            </w:r>
            <w:r>
              <w:rPr>
                <w:rFonts w:ascii="宋体" w:hAnsi="宋体" w:cs="宋体"/>
                <w:kern w:val="0"/>
                <w:szCs w:val="21"/>
              </w:rPr>
              <w:t>XCEL</w:t>
            </w:r>
            <w:r>
              <w:rPr>
                <w:rFonts w:hint="eastAsia" w:ascii="宋体" w:hAnsi="宋体" w:cs="宋体"/>
                <w:kern w:val="0"/>
                <w:szCs w:val="21"/>
              </w:rPr>
              <w:t>文件导入填报两种填报方式。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▲在线填报可通过新增行数据的方式进行填写，支持设置必填项数据项、下拉菜单选项数据项及编辑数据项多种填写方式。</w:t>
            </w:r>
            <w:r>
              <w:rPr>
                <w:rFonts w:hint="eastAsia" w:ascii="宋体" w:hAnsi="宋体" w:cs="宋体"/>
                <w:b/>
                <w:bCs/>
                <w:kern w:val="0"/>
                <w:szCs w:val="21"/>
              </w:rPr>
              <w:t>提供真实软件产品的功能截图。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※通过E</w:t>
            </w:r>
            <w:r>
              <w:rPr>
                <w:rFonts w:ascii="宋体" w:hAnsi="宋体" w:cs="宋体"/>
                <w:kern w:val="0"/>
                <w:szCs w:val="21"/>
              </w:rPr>
              <w:t>XCEL</w:t>
            </w:r>
            <w:r>
              <w:rPr>
                <w:rFonts w:hint="eastAsia" w:ascii="宋体" w:hAnsi="宋体" w:cs="宋体"/>
                <w:kern w:val="0"/>
                <w:szCs w:val="21"/>
              </w:rPr>
              <w:t>文件导入填报数据可支持下载空模版用于新增数据场景，也可下载全部数据用于对数据编辑的场景，通过模版编辑后的数据进行上传，可实现批量数据填报。</w:t>
            </w:r>
            <w:r>
              <w:rPr>
                <w:rFonts w:hint="eastAsia" w:ascii="宋体" w:hAnsi="宋体" w:cs="宋体"/>
                <w:b/>
                <w:bCs/>
                <w:kern w:val="0"/>
                <w:szCs w:val="21"/>
              </w:rPr>
              <w:t>提供系统演示。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▲支持对填报后的数据进行下载、在线批量删除及专注查看等管理。</w:t>
            </w:r>
            <w:r>
              <w:rPr>
                <w:rFonts w:hint="eastAsia" w:ascii="宋体" w:hAnsi="宋体" w:cs="宋体"/>
                <w:b/>
                <w:bCs/>
                <w:kern w:val="0"/>
                <w:szCs w:val="21"/>
              </w:rPr>
              <w:t>提供真实软件产品的功能截图。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※支持数据查询功能，可针对所填报的数据，进行自定义查询，包括设定查询字段、查询条件和要查询的值，支持逻辑与、逻辑或的复合条件查询。</w:t>
            </w:r>
            <w:r>
              <w:rPr>
                <w:rFonts w:hint="eastAsia" w:ascii="宋体" w:hAnsi="宋体" w:cs="宋体"/>
                <w:b/>
                <w:bCs/>
                <w:kern w:val="0"/>
                <w:szCs w:val="21"/>
              </w:rPr>
              <w:t>提供系统演示。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支持按列筛选功能，可根据所填报数据表的列进行数据筛选，仅查看筛选列的数据内容。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支持对填报后的数据临时保存，临时保存的数据不进行审核，仅方便填报人员下次继续编辑。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支持对填报后的数据进行提交，提交后的数据可由审核员进行审核。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center"/>
          </w:tcPr>
          <w:p>
            <w:pPr>
              <w:rPr>
                <w:rFonts w:ascii="宋体" w:hAnsi="宋体" w:cs="宋体"/>
                <w:kern w:val="0"/>
                <w:szCs w:val="21"/>
              </w:rPr>
            </w:pPr>
            <w:r>
              <w:rPr>
                <w:rFonts w:hint="eastAsia" w:ascii="宋体" w:hAnsi="宋体" w:cs="宋体"/>
                <w:kern w:val="0"/>
                <w:szCs w:val="21"/>
              </w:rPr>
              <w:t>▲支持按照数据的状态进行检索，状态包括审核中、已通过、已拒绝、暂存数据、已撤回。</w:t>
            </w:r>
            <w:r>
              <w:rPr>
                <w:rFonts w:hint="eastAsia" w:ascii="宋体" w:hAnsi="宋体" w:cs="宋体"/>
                <w:b/>
                <w:bCs/>
                <w:kern w:val="0"/>
                <w:szCs w:val="21"/>
              </w:rPr>
              <w:t>提供真实软件产品的功能截图。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restart"/>
            <w:vAlign w:val="center"/>
          </w:tcPr>
          <w:p>
            <w:pPr>
              <w:rPr>
                <w:rFonts w:ascii="宋体" w:hAnsi="宋体"/>
              </w:rPr>
            </w:pPr>
            <w:r>
              <w:rPr>
                <w:rFonts w:hint="eastAsia" w:ascii="宋体" w:hAnsi="宋体"/>
              </w:rPr>
              <w:t>审核方式</w:t>
            </w:r>
          </w:p>
        </w:tc>
        <w:tc>
          <w:tcPr>
            <w:tcW w:w="6801" w:type="dxa"/>
            <w:vAlign w:val="bottom"/>
          </w:tcPr>
          <w:p>
            <w:pPr>
              <w:rPr>
                <w:rFonts w:ascii="宋体" w:hAnsi="宋体" w:cs="宋体"/>
                <w:kern w:val="0"/>
                <w:szCs w:val="21"/>
              </w:rPr>
            </w:pPr>
            <w:r>
              <w:rPr>
                <w:rFonts w:hint="eastAsia" w:ascii="宋体" w:hAnsi="宋体" w:cs="宋体"/>
                <w:kern w:val="0"/>
                <w:szCs w:val="21"/>
              </w:rPr>
              <w:t>支持在填报表单管理中，以可视化画布的形式定义该表单的填报后的审核流程，满足相关职能部门对数据进行验证、修改和审核的需求，提升数据上报的准确性；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pPr>
              <w:rPr>
                <w:rFonts w:ascii="宋体" w:hAnsi="宋体" w:cs="宋体"/>
                <w:kern w:val="0"/>
                <w:szCs w:val="21"/>
              </w:rPr>
            </w:pPr>
            <w:r>
              <w:rPr>
                <w:rFonts w:hint="eastAsia" w:ascii="宋体" w:hAnsi="宋体" w:cs="宋体"/>
                <w:kern w:val="0"/>
                <w:szCs w:val="21"/>
              </w:rPr>
              <w:t>审核流程设置界面支持动态放大和缩小，方便流程设计人员对全局或局部进行查看；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pPr>
              <w:rPr>
                <w:rFonts w:ascii="宋体" w:hAnsi="宋体" w:cs="宋体"/>
                <w:kern w:val="0"/>
                <w:szCs w:val="21"/>
              </w:rPr>
            </w:pPr>
            <w:r>
              <w:rPr>
                <w:rFonts w:hint="eastAsia" w:ascii="宋体" w:hAnsi="宋体" w:cs="宋体"/>
                <w:kern w:val="0"/>
                <w:szCs w:val="21"/>
              </w:rPr>
              <w:t>支持添加普通审核节点、条件节点、条件结束节点、并行审核节点、并行结束节点五种类型的审核节点，支持随意组合各类审核类型节点，满足复杂审核流程配置要求，并支持针对每类审核节点的属性进行可视化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pPr>
              <w:rPr>
                <w:rFonts w:ascii="宋体" w:hAnsi="宋体" w:cs="宋体"/>
                <w:kern w:val="0"/>
                <w:szCs w:val="21"/>
              </w:rPr>
            </w:pPr>
            <w:r>
              <w:rPr>
                <w:rFonts w:hint="eastAsia" w:ascii="宋体" w:hAnsi="宋体" w:cs="宋体"/>
                <w:kern w:val="0"/>
                <w:szCs w:val="21"/>
              </w:rPr>
              <w:t>对于普通审核节点，支持设置该审核节点的审核策略相关属性，即支持以日历形态选择填报表单的审核截止时间，要求时间精确到时分秒；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pPr>
              <w:rPr>
                <w:rFonts w:ascii="宋体" w:hAnsi="宋体" w:cs="宋体"/>
                <w:kern w:val="0"/>
                <w:szCs w:val="21"/>
              </w:rPr>
            </w:pPr>
            <w:r>
              <w:rPr>
                <w:rFonts w:hint="eastAsia" w:ascii="宋体" w:hAnsi="宋体" w:cs="宋体"/>
                <w:kern w:val="0"/>
                <w:szCs w:val="21"/>
              </w:rPr>
              <w:t>对于普通审核节点，支持按照用户、部门、用户组、批量导入四种方式选择特定人群，并通过设置审核截止时间，实现特定人群审核时间的适当延长；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ascii="宋体" w:hAnsi="宋体" w:cs="宋体"/>
                <w:kern w:val="0"/>
                <w:szCs w:val="21"/>
              </w:rPr>
              <w:t>▲</w:t>
            </w:r>
            <w:r>
              <w:rPr>
                <w:rFonts w:hint="eastAsia"/>
              </w:rPr>
              <w:t>对于普通审核节点，支持设置该审核节点下一步执行策略，即支持自动通过审核、指定审核人、结束该审核分支下的后续流程三种审核策略的配置；</w:t>
            </w:r>
            <w:r>
              <w:rPr>
                <w:rFonts w:hint="eastAsia" w:ascii="宋体" w:hAnsi="宋体" w:cs="宋体"/>
                <w:b/>
                <w:bCs/>
                <w:kern w:val="0"/>
                <w:szCs w:val="21"/>
              </w:rPr>
              <w:t>提供真实软件产品的功能截图。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rPr>
              <w:t>审核节点采用指定审核人策略，支持按照用户、制定业务角色、指定职务、填报人自身四种方式选择审核人；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rPr>
              <w:t>对于普通审核节点，支持设置节点审核方式，即存在多人审核时，支持选择依次审批、会签、或签三种审核方式，以实现不同审核方式需求；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rPr>
              <w:t>对于普通审核节点，支持设置字段级的审核权限配置，即支持通过勾选实现审核人对数据修改权限的配置，并支持配置实现审核人修改后的数据对填报人是否可见；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rPr>
              <w:t>支持增加条件审核节点。增加条件审核节点后，自动添加至少两个条件审核节点，并可手动添加同级别的条件审核节点；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rPr>
              <w:t>支持配置条件审核的细化条件配置，即通过选择表单字段、填写目标值、与目标值的关系等配置，实现不同条件下（不同数据行由不同审核人进行审核）的分支审核流程；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rPr>
              <w:t>支持配置多个审核条件，并支持配置多个条件之间的与或关系，以通过多个筛选条件组合实现复杂的条件审核分分支配置；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rPr>
              <w:t>支持增加并行审核节点。增加并行审核节点后，自动添加至少两个并行的普通审核节点，并可手动添加同级别的并行普通审核节点；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vAlign w:val="bottom"/>
          </w:tcPr>
          <w:p>
            <w:r>
              <w:rPr>
                <w:rFonts w:hint="eastAsia"/>
              </w:rPr>
              <w:t>※支持设置审核流程后，表单能够按照设计的审核流程进行表单审核流转，具体要求为：投标人准备填报表单、数据，通过审核流程配置审核截止时间、特定审核人群、特定人群审核截止时间、审核人是否可修改数据并指定多个审核人，实现依次会签、会签、或签其中一种的整体审核过程。</w:t>
            </w:r>
            <w:r>
              <w:rPr>
                <w:rFonts w:hint="eastAsia" w:ascii="宋体" w:hAnsi="宋体" w:cs="宋体"/>
                <w:b/>
                <w:bCs/>
                <w:kern w:val="0"/>
                <w:szCs w:val="21"/>
              </w:rPr>
              <w:t>提供系统演示。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restart"/>
            <w:vAlign w:val="center"/>
          </w:tcPr>
          <w:p>
            <w:pPr>
              <w:rPr>
                <w:rFonts w:ascii="宋体" w:hAnsi="宋体"/>
              </w:rPr>
            </w:pPr>
            <w:r>
              <w:rPr>
                <w:rFonts w:hint="eastAsia" w:ascii="宋体" w:hAnsi="宋体"/>
              </w:rPr>
              <w:t>自动上报</w:t>
            </w:r>
          </w:p>
        </w:tc>
        <w:tc>
          <w:tcPr>
            <w:tcW w:w="6801" w:type="dxa"/>
          </w:tcPr>
          <w:p>
            <w:pPr>
              <w:rPr>
                <w:rFonts w:ascii="宋体" w:hAnsi="宋体" w:cs="宋体"/>
                <w:kern w:val="0"/>
                <w:szCs w:val="21"/>
              </w:rPr>
            </w:pPr>
            <w:r>
              <w:rPr>
                <w:rFonts w:hint="eastAsia"/>
              </w:rPr>
              <w:t>支持统计当日上报次数及上报表单详情，且可自定义查询表单名称，快速了解整体数据上报情况。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tcPr>
          <w:p>
            <w:pPr>
              <w:rPr>
                <w:rFonts w:ascii="宋体" w:hAnsi="宋体" w:cs="宋体"/>
                <w:kern w:val="0"/>
                <w:szCs w:val="21"/>
              </w:rPr>
            </w:pPr>
            <w:r>
              <w:rPr>
                <w:rFonts w:hint="eastAsia"/>
              </w:rPr>
              <w:t>需内置教育部智慧大脑院校中台官方地址，并提示以院校中台查询结果为准。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tcPr>
          <w:p>
            <w:pPr>
              <w:rPr>
                <w:rFonts w:ascii="宋体" w:hAnsi="宋体" w:cs="宋体"/>
                <w:kern w:val="0"/>
                <w:szCs w:val="21"/>
              </w:rPr>
            </w:pPr>
            <w:r>
              <w:rPr>
                <w:rFonts w:hint="eastAsia"/>
              </w:rPr>
              <w:t>支持通过数据上报页面完整呈现上报表单名称、上报频率、上报数据范围、最近上报时间、最近上报结果、总上报次数等明细情况，且需支持主动出发上报任务；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tcPr>
          <w:p>
            <w:pPr>
              <w:rPr>
                <w:rFonts w:ascii="宋体" w:hAnsi="宋体" w:cs="宋体"/>
                <w:kern w:val="0"/>
                <w:szCs w:val="21"/>
              </w:rPr>
            </w:pPr>
            <w:r>
              <w:rPr>
                <w:rFonts w:hint="eastAsia"/>
              </w:rPr>
              <w:t>需内置教育部规定的上报频率及上报数据范围进行自动化上报任务配置，无需人工处理；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12"/>
              <w:numPr>
                <w:ilvl w:val="0"/>
                <w:numId w:val="1"/>
              </w:numPr>
              <w:jc w:val="center"/>
              <w:rPr>
                <w:rFonts w:ascii="宋体" w:hAnsi="宋体"/>
              </w:rPr>
            </w:pPr>
          </w:p>
        </w:tc>
        <w:tc>
          <w:tcPr>
            <w:tcW w:w="2106" w:type="dxa"/>
            <w:vMerge w:val="continue"/>
            <w:vAlign w:val="center"/>
          </w:tcPr>
          <w:p>
            <w:pPr>
              <w:rPr>
                <w:rFonts w:ascii="宋体" w:hAnsi="宋体"/>
              </w:rPr>
            </w:pPr>
          </w:p>
        </w:tc>
        <w:tc>
          <w:tcPr>
            <w:tcW w:w="6801" w:type="dxa"/>
          </w:tcPr>
          <w:p>
            <w:pPr>
              <w:rPr>
                <w:rFonts w:ascii="宋体" w:hAnsi="宋体" w:cs="宋体"/>
                <w:kern w:val="0"/>
                <w:szCs w:val="21"/>
              </w:rPr>
            </w:pPr>
            <w:r>
              <w:rPr>
                <w:rFonts w:hint="eastAsia"/>
              </w:rPr>
              <w:t>支持与教育部上报接口打通，通过教育部数据上报接口进行数据的自动化报送，且可通过数据上报界面显示上报结果，快速了解数据上报状态。</w:t>
            </w:r>
          </w:p>
        </w:tc>
      </w:tr>
      <w:bookmarkEnd w:id="0"/>
    </w:tbl>
    <w:p>
      <w:pPr>
        <w:pStyle w:val="5"/>
        <w:rPr>
          <w:rFonts w:ascii="等线" w:hAnsi="等线" w:eastAsia="等线" w:cs="Times New Roman"/>
          <w:szCs w:val="21"/>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Style w:val="10"/>
          <w:rFonts w:hint="eastAsia" w:ascii="等线" w:hAnsi="等线" w:eastAsia="等线"/>
          <w:b/>
          <w:szCs w:val="21"/>
          <w:lang w:val="en-US" w:eastAsia="zh-CN"/>
        </w:rPr>
      </w:pPr>
      <w:r>
        <w:rPr>
          <w:rStyle w:val="10"/>
          <w:rFonts w:hint="eastAsia" w:ascii="等线" w:hAnsi="等线" w:eastAsia="等线"/>
          <w:b/>
          <w:szCs w:val="21"/>
          <w:lang w:val="en-US" w:eastAsia="zh-CN"/>
        </w:rPr>
        <w:t>（三）上报服务要求</w:t>
      </w:r>
    </w:p>
    <w:p>
      <w:pPr>
        <w:ind w:firstLine="420" w:firstLineChars="200"/>
        <w:rPr>
          <w:rFonts w:ascii="等线" w:hAnsi="等线" w:eastAsia="等线" w:cs="仿宋"/>
          <w:szCs w:val="21"/>
        </w:rPr>
      </w:pPr>
      <w:r>
        <w:rPr>
          <w:rFonts w:ascii="等线" w:hAnsi="等线" w:eastAsia="等线" w:cs="仿宋"/>
          <w:szCs w:val="21"/>
        </w:rPr>
        <w:t>1.</w:t>
      </w:r>
      <w:r>
        <w:rPr>
          <w:rFonts w:hint="eastAsia" w:ascii="等线" w:hAnsi="等线" w:eastAsia="等线" w:cs="仿宋"/>
          <w:szCs w:val="21"/>
        </w:rPr>
        <w:t>投标方需承诺配合校方完成</w:t>
      </w:r>
      <w:r>
        <w:rPr>
          <w:rFonts w:ascii="等线" w:hAnsi="等线" w:eastAsia="等线" w:cs="仿宋"/>
          <w:szCs w:val="21"/>
        </w:rPr>
        <w:t>85</w:t>
      </w:r>
      <w:r>
        <w:rPr>
          <w:rFonts w:hint="eastAsia" w:ascii="等线" w:hAnsi="等线" w:eastAsia="等线" w:cs="仿宋"/>
          <w:szCs w:val="21"/>
        </w:rPr>
        <w:t>张数据表的拆解工作</w:t>
      </w:r>
      <w:r>
        <w:rPr>
          <w:rFonts w:ascii="等线" w:hAnsi="等线" w:eastAsia="等线" w:cs="仿宋"/>
          <w:szCs w:val="21"/>
        </w:rPr>
        <w:t>，确定各个上报数据表的提供方式和责任部门。</w:t>
      </w:r>
    </w:p>
    <w:p>
      <w:pPr>
        <w:ind w:firstLine="420" w:firstLineChars="200"/>
        <w:rPr>
          <w:rFonts w:ascii="等线" w:hAnsi="等线" w:eastAsia="等线" w:cs="仿宋"/>
          <w:szCs w:val="21"/>
        </w:rPr>
      </w:pPr>
      <w:r>
        <w:rPr>
          <w:rFonts w:hint="eastAsia" w:ascii="等线" w:hAnsi="等线" w:eastAsia="等线" w:cs="仿宋"/>
          <w:szCs w:val="21"/>
        </w:rPr>
        <w:t>2.投标方需</w:t>
      </w:r>
      <w:r>
        <w:rPr>
          <w:rFonts w:ascii="等线" w:hAnsi="等线" w:eastAsia="等线" w:cs="仿宋"/>
          <w:szCs w:val="21"/>
        </w:rPr>
        <w:t>按照教育部要求搭建上报平台，完成85张基础数据表的模型创建、元数据维护、模板导出工作，完成111张代码字典表的模型创建、管理和初始化工作。</w:t>
      </w:r>
    </w:p>
    <w:p>
      <w:pPr>
        <w:ind w:firstLine="420" w:firstLineChars="200"/>
        <w:rPr>
          <w:rFonts w:ascii="等线" w:hAnsi="等线" w:eastAsia="等线" w:cs="仿宋"/>
          <w:szCs w:val="21"/>
        </w:rPr>
      </w:pPr>
      <w:r>
        <w:rPr>
          <w:rFonts w:ascii="等线" w:hAnsi="等线" w:eastAsia="等线" w:cs="仿宋"/>
          <w:szCs w:val="21"/>
        </w:rPr>
        <w:t>3.</w:t>
      </w:r>
      <w:r>
        <w:rPr>
          <w:rFonts w:hint="eastAsia" w:ascii="等线" w:hAnsi="等线" w:eastAsia="等线" w:cs="仿宋"/>
          <w:szCs w:val="21"/>
        </w:rPr>
        <w:t>投标方需</w:t>
      </w:r>
      <w:r>
        <w:rPr>
          <w:rFonts w:ascii="等线" w:hAnsi="等线" w:eastAsia="等线" w:cs="仿宋"/>
          <w:szCs w:val="21"/>
        </w:rPr>
        <w:t>根据教育部的数据上报要求，完成基础数据模型的构建，为上报工作打好规范的底座，数据汇聚能够按照目标数据集的要求进行清洗和整理，配合数据计算和标准化数据上报工作的开展。</w:t>
      </w:r>
    </w:p>
    <w:p>
      <w:pPr>
        <w:ind w:firstLine="420" w:firstLineChars="200"/>
        <w:rPr>
          <w:rFonts w:ascii="等线" w:hAnsi="等线" w:eastAsia="等线" w:cs="仿宋"/>
          <w:szCs w:val="21"/>
        </w:rPr>
      </w:pPr>
      <w:r>
        <w:rPr>
          <w:rFonts w:hint="eastAsia" w:ascii="等线" w:hAnsi="等线" w:eastAsia="等线" w:cs="仿宋"/>
          <w:szCs w:val="21"/>
        </w:rPr>
        <w:t>4</w:t>
      </w:r>
      <w:r>
        <w:rPr>
          <w:rFonts w:ascii="等线" w:hAnsi="等线" w:eastAsia="等线" w:cs="仿宋"/>
          <w:szCs w:val="21"/>
        </w:rPr>
        <w:t>.</w:t>
      </w:r>
      <w:r>
        <w:rPr>
          <w:rFonts w:hint="eastAsia" w:ascii="等线" w:hAnsi="等线" w:eastAsia="等线" w:cs="仿宋"/>
          <w:szCs w:val="21"/>
        </w:rPr>
        <w:t>投标方需</w:t>
      </w:r>
      <w:r>
        <w:rPr>
          <w:rFonts w:ascii="等线" w:hAnsi="等线" w:eastAsia="等线" w:cs="仿宋"/>
          <w:szCs w:val="21"/>
        </w:rPr>
        <w:t>基于上述</w:t>
      </w:r>
      <w:r>
        <w:rPr>
          <w:rFonts w:hint="eastAsia" w:ascii="等线" w:hAnsi="等线" w:eastAsia="等线" w:cs="仿宋"/>
          <w:szCs w:val="21"/>
        </w:rPr>
        <w:t>系统</w:t>
      </w:r>
      <w:r>
        <w:rPr>
          <w:rFonts w:ascii="等线" w:hAnsi="等线" w:eastAsia="等线" w:cs="仿宋"/>
          <w:szCs w:val="21"/>
        </w:rPr>
        <w:t>中内置的数据模型，提供一键导出的方案，针对每一张数据表提供线下Excel，为各部门和责任人梳理数据提供标准化模板，让数据准备工作更加有效。</w:t>
      </w:r>
    </w:p>
    <w:p>
      <w:pPr>
        <w:ind w:firstLine="420" w:firstLineChars="200"/>
        <w:rPr>
          <w:rFonts w:ascii="等线" w:hAnsi="等线" w:eastAsia="等线" w:cs="仿宋"/>
          <w:szCs w:val="21"/>
        </w:rPr>
      </w:pPr>
      <w:r>
        <w:rPr>
          <w:rFonts w:hint="eastAsia" w:ascii="等线" w:hAnsi="等线" w:eastAsia="等线" w:cs="仿宋"/>
          <w:szCs w:val="21"/>
        </w:rPr>
        <w:t>5</w:t>
      </w:r>
      <w:r>
        <w:rPr>
          <w:rFonts w:ascii="等线" w:hAnsi="等线" w:eastAsia="等线" w:cs="仿宋"/>
          <w:szCs w:val="21"/>
        </w:rPr>
        <w:t>.</w:t>
      </w:r>
      <w:r>
        <w:rPr>
          <w:rFonts w:hint="eastAsia" w:ascii="等线" w:hAnsi="等线" w:eastAsia="等线" w:cs="仿宋"/>
          <w:szCs w:val="21"/>
        </w:rPr>
        <w:t>投标方需</w:t>
      </w:r>
      <w:r>
        <w:rPr>
          <w:rFonts w:ascii="等线" w:hAnsi="等线" w:eastAsia="等线" w:cs="仿宋"/>
          <w:szCs w:val="21"/>
        </w:rPr>
        <w:t>根据学校任务拆解，责任到人的工作安排，搭建上报流程，初始化各负责部门和上报人员信息，根据学校任务分配情况，完成部门、人员和填报表的权责分配，方便后续进行线上填报环节的开展。</w:t>
      </w:r>
    </w:p>
    <w:p>
      <w:pPr>
        <w:ind w:firstLine="420" w:firstLineChars="200"/>
        <w:rPr>
          <w:rFonts w:ascii="等线" w:hAnsi="等线" w:eastAsia="等线" w:cs="仿宋"/>
          <w:szCs w:val="21"/>
        </w:rPr>
      </w:pPr>
      <w:r>
        <w:rPr>
          <w:rFonts w:hint="eastAsia" w:ascii="等线" w:hAnsi="等线" w:eastAsia="等线" w:cs="仿宋"/>
          <w:szCs w:val="21"/>
        </w:rPr>
        <w:t>6</w:t>
      </w:r>
      <w:r>
        <w:rPr>
          <w:rFonts w:ascii="等线" w:hAnsi="等线" w:eastAsia="等线" w:cs="仿宋"/>
          <w:szCs w:val="21"/>
        </w:rPr>
        <w:t>.针对</w:t>
      </w:r>
      <w:r>
        <w:rPr>
          <w:rFonts w:hint="eastAsia" w:ascii="等线" w:hAnsi="等线" w:eastAsia="等线" w:cs="仿宋"/>
          <w:szCs w:val="21"/>
        </w:rPr>
        <w:t>所有可自动采集对接</w:t>
      </w:r>
      <w:r>
        <w:rPr>
          <w:rFonts w:ascii="等线" w:hAnsi="等线" w:eastAsia="等线" w:cs="仿宋"/>
          <w:szCs w:val="21"/>
        </w:rPr>
        <w:t>的数据表，</w:t>
      </w:r>
      <w:r>
        <w:rPr>
          <w:rFonts w:hint="eastAsia" w:ascii="等线" w:hAnsi="等线" w:eastAsia="等线" w:cs="仿宋"/>
          <w:szCs w:val="21"/>
        </w:rPr>
        <w:t>投标方</w:t>
      </w:r>
      <w:r>
        <w:rPr>
          <w:rFonts w:ascii="等线" w:hAnsi="等线" w:eastAsia="等线" w:cs="仿宋"/>
          <w:szCs w:val="21"/>
        </w:rPr>
        <w:t>需要</w:t>
      </w:r>
      <w:r>
        <w:rPr>
          <w:rFonts w:hint="eastAsia" w:ascii="等线" w:hAnsi="等线" w:eastAsia="等线" w:cs="仿宋"/>
          <w:szCs w:val="21"/>
        </w:rPr>
        <w:t>配合学校</w:t>
      </w:r>
      <w:r>
        <w:rPr>
          <w:rFonts w:ascii="等线" w:hAnsi="等线" w:eastAsia="等线" w:cs="仿宋"/>
          <w:szCs w:val="21"/>
        </w:rPr>
        <w:t>对接业务系统的数据，按照上报要求定制数据视图，完成数据准备工作。</w:t>
      </w:r>
      <w:r>
        <w:rPr>
          <w:rFonts w:hint="eastAsia" w:ascii="等线" w:hAnsi="等线" w:eastAsia="等线" w:cs="仿宋"/>
          <w:szCs w:val="21"/>
        </w:rPr>
        <w:t>投标方需</w:t>
      </w:r>
      <w:r>
        <w:rPr>
          <w:rFonts w:ascii="等线" w:hAnsi="等线" w:eastAsia="等线" w:cs="仿宋"/>
          <w:szCs w:val="21"/>
        </w:rPr>
        <w:t>将该部分数据直接初始化至填报工具，实现原始数据内置，减少线上填报复杂度和工作量。</w:t>
      </w:r>
    </w:p>
    <w:p>
      <w:pPr>
        <w:ind w:firstLine="420" w:firstLineChars="200"/>
        <w:rPr>
          <w:rFonts w:ascii="等线" w:hAnsi="等线" w:eastAsia="等线" w:cs="仿宋"/>
          <w:szCs w:val="21"/>
        </w:rPr>
      </w:pPr>
      <w:r>
        <w:rPr>
          <w:rFonts w:hint="eastAsia" w:ascii="等线" w:hAnsi="等线" w:eastAsia="等线" w:cs="仿宋"/>
          <w:szCs w:val="21"/>
        </w:rPr>
        <w:t>7</w:t>
      </w:r>
      <w:r>
        <w:rPr>
          <w:rFonts w:ascii="等线" w:hAnsi="等线" w:eastAsia="等线" w:cs="仿宋"/>
          <w:szCs w:val="21"/>
        </w:rPr>
        <w:t>.</w:t>
      </w:r>
      <w:r>
        <w:rPr>
          <w:rFonts w:hint="eastAsia" w:ascii="等线" w:hAnsi="等线" w:eastAsia="等线" w:cs="仿宋"/>
          <w:szCs w:val="21"/>
        </w:rPr>
        <w:t>投标方需熟悉学校现有数据模型状况，支持与现有</w:t>
      </w:r>
      <w:r>
        <w:rPr>
          <w:rFonts w:hint="eastAsia" w:ascii="等线" w:hAnsi="等线" w:eastAsia="等线" w:cs="仿宋"/>
          <w:szCs w:val="21"/>
          <w:lang w:val="en-US" w:eastAsia="zh-CN"/>
        </w:rPr>
        <w:t>系统</w:t>
      </w:r>
      <w:r>
        <w:rPr>
          <w:rFonts w:hint="eastAsia" w:ascii="等线" w:hAnsi="等线" w:eastAsia="等线" w:cs="仿宋"/>
          <w:szCs w:val="21"/>
        </w:rPr>
        <w:t>无缝对接，支持</w:t>
      </w:r>
      <w:r>
        <w:rPr>
          <w:rFonts w:hint="eastAsia" w:ascii="等线" w:hAnsi="等线" w:eastAsia="等线" w:cs="仿宋"/>
          <w:szCs w:val="21"/>
          <w:lang w:val="en-US" w:eastAsia="zh-CN"/>
        </w:rPr>
        <w:t>现有系统</w:t>
      </w:r>
      <w:r>
        <w:rPr>
          <w:rFonts w:hint="eastAsia" w:ascii="等线" w:hAnsi="等线" w:eastAsia="等线" w:cs="仿宋"/>
          <w:szCs w:val="21"/>
        </w:rPr>
        <w:t>数据初始化集成到上报的数据表中，提供详细的对接方案。</w:t>
      </w:r>
    </w:p>
    <w:p>
      <w:pPr>
        <w:ind w:firstLine="420" w:firstLineChars="200"/>
        <w:rPr>
          <w:rFonts w:hint="eastAsia" w:ascii="等线" w:hAnsi="等线" w:eastAsia="等线" w:cs="仿宋"/>
          <w:szCs w:val="21"/>
        </w:rPr>
      </w:pPr>
      <w:r>
        <w:rPr>
          <w:rFonts w:hint="eastAsia" w:ascii="等线" w:hAnsi="等线" w:eastAsia="等线" w:cs="仿宋"/>
          <w:szCs w:val="21"/>
        </w:rPr>
        <w:t>8</w:t>
      </w:r>
      <w:r>
        <w:rPr>
          <w:rFonts w:ascii="等线" w:hAnsi="等线" w:eastAsia="等线" w:cs="仿宋"/>
          <w:szCs w:val="21"/>
        </w:rPr>
        <w:t>.</w:t>
      </w:r>
      <w:r>
        <w:rPr>
          <w:rFonts w:hint="eastAsia" w:ascii="等线" w:hAnsi="等线" w:eastAsia="等线" w:cs="仿宋"/>
          <w:szCs w:val="21"/>
        </w:rPr>
        <w:t>必须遵照软件工程规范进行项目系统开发，执行学校的信息化建设规范和标准，严格执行学校已发布的相关数据标准，以确保各系统数据共享和交换的一致性；需要配合学校对数据标准进行补充、完善；系统须支持IPv4/ IPv6双栈部署及访问。</w:t>
      </w:r>
    </w:p>
    <w:p>
      <w:pPr>
        <w:ind w:firstLine="420" w:firstLineChars="200"/>
        <w:rPr>
          <w:rFonts w:hint="default" w:ascii="等线" w:hAnsi="等线" w:eastAsia="等线" w:cs="仿宋"/>
          <w:szCs w:val="21"/>
          <w:lang w:val="en-US" w:eastAsia="zh-CN"/>
        </w:rPr>
      </w:pPr>
      <w:r>
        <w:rPr>
          <w:rFonts w:hint="eastAsia" w:ascii="等线" w:hAnsi="等线" w:eastAsia="等线" w:cs="仿宋"/>
          <w:szCs w:val="21"/>
          <w:lang w:val="en-US" w:eastAsia="zh-CN"/>
        </w:rPr>
        <w:t>9.投标方需承诺2023年7月28日前完成数据80%的对接，2023年9月20日前完成数据100%的对接。</w:t>
      </w:r>
    </w:p>
    <w:p>
      <w:pPr>
        <w:pStyle w:val="4"/>
        <w:rPr>
          <w:rFonts w:eastAsia="宋体"/>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Style w:val="10"/>
          <w:rFonts w:hint="eastAsia" w:ascii="等线" w:hAnsi="等线" w:eastAsia="等线"/>
          <w:b/>
          <w:szCs w:val="21"/>
          <w:lang w:val="en-US" w:eastAsia="zh-CN"/>
        </w:rPr>
      </w:pPr>
      <w:r>
        <w:rPr>
          <w:rStyle w:val="10"/>
          <w:rFonts w:hint="eastAsia" w:ascii="等线" w:hAnsi="等线" w:eastAsia="等线"/>
          <w:b/>
          <w:szCs w:val="21"/>
          <w:lang w:val="en-US" w:eastAsia="zh-CN"/>
        </w:rPr>
        <w:t>（四）项目实施要求</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1</w:t>
      </w:r>
      <w:r>
        <w:rPr>
          <w:rFonts w:ascii="等线" w:hAnsi="等线" w:eastAsia="等线" w:cs="Times New Roman"/>
          <w:szCs w:val="21"/>
          <w:lang w:val="zh-CN"/>
        </w:rPr>
        <w:t>.</w:t>
      </w:r>
      <w:r>
        <w:rPr>
          <w:rFonts w:hint="eastAsia" w:ascii="等线" w:hAnsi="等线" w:eastAsia="等线" w:cs="Times New Roman"/>
          <w:szCs w:val="21"/>
          <w:lang w:val="zh-CN"/>
        </w:rPr>
        <w:t>安排至少1名熟悉高校数据建设业务的技术人员驻场实施，驻场人员的人选须经校方认可，未经校方许可，成交方不得擅自更换驻场人员。保障项目的实施过程的顺利推进。驻场人员自项目开始进驻，至完成验收离场。</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2</w:t>
      </w:r>
      <w:r>
        <w:rPr>
          <w:rFonts w:ascii="等线" w:hAnsi="等线" w:eastAsia="等线" w:cs="Times New Roman"/>
          <w:szCs w:val="21"/>
          <w:lang w:val="zh-CN"/>
        </w:rPr>
        <w:t>.</w:t>
      </w:r>
      <w:r>
        <w:rPr>
          <w:rFonts w:hint="eastAsia" w:ascii="等线" w:hAnsi="等线" w:eastAsia="等线" w:cs="Times New Roman"/>
          <w:szCs w:val="21"/>
          <w:lang w:val="zh-CN"/>
        </w:rPr>
        <w:t>项目进度管理的依据是项目合同所约定的工期目标。</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3</w:t>
      </w:r>
      <w:r>
        <w:rPr>
          <w:rFonts w:ascii="等线" w:hAnsi="等线" w:eastAsia="等线" w:cs="Times New Roman"/>
          <w:szCs w:val="21"/>
          <w:lang w:val="zh-CN"/>
        </w:rPr>
        <w:t>.</w:t>
      </w:r>
      <w:r>
        <w:rPr>
          <w:rFonts w:hint="eastAsia" w:ascii="等线" w:hAnsi="等线" w:eastAsia="等线" w:cs="Times New Roman"/>
          <w:szCs w:val="21"/>
          <w:lang w:val="zh-CN"/>
        </w:rPr>
        <w:t>在确保项目质量的原则下，控制项目进度。</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4</w:t>
      </w:r>
      <w:r>
        <w:rPr>
          <w:rFonts w:ascii="等线" w:hAnsi="等线" w:eastAsia="等线" w:cs="Times New Roman"/>
          <w:szCs w:val="21"/>
          <w:lang w:val="zh-CN"/>
        </w:rPr>
        <w:t>.</w:t>
      </w:r>
      <w:r>
        <w:rPr>
          <w:rFonts w:hint="eastAsia" w:ascii="等线" w:hAnsi="等线" w:eastAsia="等线" w:cs="Times New Roman"/>
          <w:szCs w:val="21"/>
          <w:lang w:val="zh-CN"/>
        </w:rPr>
        <w:t>制定详细的项目建设进度计划，按照合同的进度计划制定具体的实施计划，定期跟踪检查，对可能发生的工程延误提出相应对策。</w:t>
      </w:r>
    </w:p>
    <w:p>
      <w:pPr>
        <w:ind w:firstLine="420" w:firstLineChars="200"/>
        <w:rPr>
          <w:rFonts w:ascii="等线" w:hAnsi="等线" w:eastAsia="等线" w:cs="Times New Roman"/>
          <w:szCs w:val="21"/>
          <w:lang w:val="zh-CN"/>
        </w:rPr>
      </w:pPr>
      <w:r>
        <w:rPr>
          <w:rFonts w:ascii="等线" w:hAnsi="等线" w:eastAsia="等线" w:cs="Times New Roman"/>
          <w:szCs w:val="21"/>
          <w:lang w:val="zh-CN"/>
        </w:rPr>
        <w:t>5.</w:t>
      </w:r>
      <w:r>
        <w:rPr>
          <w:rFonts w:hint="eastAsia" w:ascii="等线" w:hAnsi="等线" w:eastAsia="等线" w:cs="Times New Roman"/>
          <w:szCs w:val="21"/>
          <w:lang w:val="zh-CN"/>
        </w:rPr>
        <w:t>定期或不定期地召开或参加项目例会、协调会议等，向项目单位通报项目进展情况，提交进度报告，及时解决相关问题。</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6</w:t>
      </w:r>
      <w:r>
        <w:rPr>
          <w:rFonts w:ascii="等线" w:hAnsi="等线" w:eastAsia="等线" w:cs="Times New Roman"/>
          <w:szCs w:val="21"/>
          <w:lang w:val="zh-CN"/>
        </w:rPr>
        <w:t>.</w:t>
      </w:r>
      <w:r>
        <w:rPr>
          <w:rFonts w:hint="eastAsia" w:ascii="等线" w:hAnsi="等线" w:eastAsia="等线" w:cs="Times New Roman"/>
          <w:szCs w:val="21"/>
          <w:lang w:val="zh-CN"/>
        </w:rPr>
        <w:t>建立项目变更流程，记录项目变更情况。</w:t>
      </w:r>
    </w:p>
    <w:p>
      <w:pPr>
        <w:pStyle w:val="4"/>
        <w:rPr>
          <w:rFonts w:eastAsia="宋体"/>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Style w:val="10"/>
          <w:rFonts w:hint="eastAsia" w:ascii="等线" w:hAnsi="等线" w:eastAsia="等线"/>
          <w:b/>
          <w:szCs w:val="21"/>
          <w:lang w:val="en-US" w:eastAsia="zh-CN"/>
        </w:rPr>
      </w:pPr>
      <w:r>
        <w:rPr>
          <w:rStyle w:val="10"/>
          <w:rFonts w:hint="eastAsia" w:ascii="等线" w:hAnsi="等线" w:eastAsia="等线"/>
          <w:b/>
          <w:szCs w:val="21"/>
          <w:lang w:val="en-US" w:eastAsia="zh-CN"/>
        </w:rPr>
        <w:t>（五）交付验收</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1</w:t>
      </w:r>
      <w:r>
        <w:rPr>
          <w:rFonts w:ascii="等线" w:hAnsi="等线" w:eastAsia="等线" w:cs="Times New Roman"/>
          <w:szCs w:val="21"/>
          <w:lang w:val="zh-CN"/>
        </w:rPr>
        <w:t>.</w:t>
      </w:r>
      <w:r>
        <w:rPr>
          <w:rFonts w:hint="eastAsia" w:ascii="等线" w:hAnsi="等线" w:eastAsia="等线" w:cs="Times New Roman"/>
          <w:szCs w:val="21"/>
          <w:lang w:val="zh-CN"/>
        </w:rPr>
        <w:t>系统开发应严格按软件工程规范进行，供应商须根据项目进度及时提供相关文档，文档应有严格的版本控制，最终交付的文档必须是最新的，文档需提供纸质和</w:t>
      </w:r>
      <w:r>
        <w:rPr>
          <w:rFonts w:hint="eastAsia" w:ascii="等线" w:hAnsi="等线" w:eastAsia="等线" w:cs="Times New Roman"/>
          <w:szCs w:val="21"/>
          <w:lang w:val="en-US" w:eastAsia="zh-CN"/>
        </w:rPr>
        <w:t>电子版</w:t>
      </w:r>
      <w:r>
        <w:rPr>
          <w:rFonts w:hint="eastAsia" w:ascii="等线" w:hAnsi="等线" w:eastAsia="等线" w:cs="Times New Roman"/>
          <w:szCs w:val="21"/>
          <w:lang w:val="zh-CN"/>
        </w:rPr>
        <w:t>文件。</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2</w:t>
      </w:r>
      <w:r>
        <w:rPr>
          <w:rFonts w:ascii="等线" w:hAnsi="等线" w:eastAsia="等线" w:cs="Times New Roman"/>
          <w:szCs w:val="21"/>
          <w:lang w:val="zh-CN"/>
        </w:rPr>
        <w:t>.</w:t>
      </w:r>
      <w:r>
        <w:rPr>
          <w:rFonts w:hint="eastAsia" w:ascii="等线" w:hAnsi="等线" w:eastAsia="等线" w:cs="Times New Roman"/>
          <w:szCs w:val="21"/>
          <w:lang w:val="zh-CN"/>
        </w:rPr>
        <w:t>组织验收：根据项目进度，在项目验收阶段，由采购人、供应商共同对系统进行验收。</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3</w:t>
      </w:r>
      <w:r>
        <w:rPr>
          <w:rFonts w:ascii="等线" w:hAnsi="等线" w:eastAsia="等线" w:cs="Times New Roman"/>
          <w:szCs w:val="21"/>
          <w:lang w:val="zh-CN"/>
        </w:rPr>
        <w:t>.</w:t>
      </w:r>
      <w:r>
        <w:rPr>
          <w:rFonts w:hint="eastAsia" w:ascii="等线" w:hAnsi="等线" w:eastAsia="等线" w:cs="Times New Roman"/>
          <w:szCs w:val="21"/>
          <w:lang w:val="zh-CN"/>
        </w:rPr>
        <w:t>交付文档应包含但不局限于以下内容：软件操作说明书、软件总体设计说明书、验收文档等。</w:t>
      </w:r>
    </w:p>
    <w:p>
      <w:pPr>
        <w:pStyle w:val="4"/>
        <w:rPr>
          <w:rFonts w:eastAsia="宋体"/>
          <w:lang w:val="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Style w:val="10"/>
          <w:rFonts w:hint="eastAsia" w:ascii="等线" w:hAnsi="等线" w:eastAsia="等线"/>
          <w:b/>
          <w:szCs w:val="21"/>
          <w:lang w:val="en-US" w:eastAsia="zh-CN"/>
        </w:rPr>
      </w:pPr>
      <w:r>
        <w:rPr>
          <w:rStyle w:val="10"/>
          <w:rFonts w:hint="eastAsia" w:ascii="等线" w:hAnsi="等线" w:eastAsia="等线"/>
          <w:b/>
          <w:szCs w:val="21"/>
          <w:lang w:val="en-US" w:eastAsia="zh-CN"/>
        </w:rPr>
        <w:t>（六）售后服务</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1</w:t>
      </w:r>
      <w:r>
        <w:rPr>
          <w:rFonts w:ascii="等线" w:hAnsi="等线" w:eastAsia="等线" w:cs="Times New Roman"/>
          <w:szCs w:val="21"/>
          <w:lang w:val="zh-CN"/>
        </w:rPr>
        <w:t>.</w:t>
      </w:r>
      <w:r>
        <w:rPr>
          <w:rFonts w:hint="eastAsia" w:ascii="等线" w:hAnsi="等线" w:eastAsia="等线" w:cs="Times New Roman"/>
          <w:szCs w:val="21"/>
          <w:lang w:val="zh-CN"/>
        </w:rPr>
        <w:t>首次数据上报服务完成后，在现有85张所含的表结构、逻辑及字段不变化的情况下，</w:t>
      </w:r>
      <w:r>
        <w:rPr>
          <w:rFonts w:hint="eastAsia" w:ascii="宋体" w:hAnsi="宋体" w:eastAsia="宋体" w:cs="Times New Roman"/>
          <w:lang w:val="zh-CN"/>
        </w:rPr>
        <w:t>成交供应商继续提供现有85张表所涉及数据的集成入库工作，</w:t>
      </w:r>
      <w:r>
        <w:rPr>
          <w:rFonts w:hint="eastAsia" w:ascii="等线" w:hAnsi="等线" w:eastAsia="等线" w:cs="Times New Roman"/>
          <w:szCs w:val="21"/>
          <w:lang w:val="zh-CN"/>
        </w:rPr>
        <w:t>根据情况不断推动自动采集上报。项目验收后供应商对指标填报系统提供不少于3年的免费质保服务。</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2</w:t>
      </w:r>
      <w:r>
        <w:rPr>
          <w:rFonts w:ascii="等线" w:hAnsi="等线" w:eastAsia="等线" w:cs="Times New Roman"/>
          <w:szCs w:val="21"/>
          <w:lang w:val="zh-CN"/>
        </w:rPr>
        <w:t>.</w:t>
      </w:r>
      <w:r>
        <w:rPr>
          <w:rFonts w:hint="eastAsia" w:ascii="等线" w:hAnsi="等线" w:eastAsia="等线" w:cs="Times New Roman"/>
          <w:szCs w:val="21"/>
          <w:lang w:val="zh-CN"/>
        </w:rPr>
        <w:t>成交供应商应按采购人指定的方式提供7×24小时支持维护服务，包括邮件、电话、远程维护、现场服务等方式。须保证有足够的人员及技术支持电话负责本系统运维工作。</w:t>
      </w:r>
    </w:p>
    <w:p>
      <w:pPr>
        <w:ind w:firstLine="420" w:firstLineChars="200"/>
        <w:rPr>
          <w:rFonts w:ascii="等线" w:hAnsi="等线" w:eastAsia="等线" w:cs="Times New Roman"/>
          <w:szCs w:val="21"/>
          <w:lang w:val="zh-CN"/>
        </w:rPr>
      </w:pPr>
      <w:r>
        <w:rPr>
          <w:rFonts w:hint="eastAsia" w:ascii="等线" w:hAnsi="等线" w:eastAsia="等线" w:cs="Times New Roman"/>
          <w:szCs w:val="21"/>
          <w:lang w:val="zh-CN"/>
        </w:rPr>
        <w:t>3</w:t>
      </w:r>
      <w:r>
        <w:rPr>
          <w:rFonts w:ascii="等线" w:hAnsi="等线" w:eastAsia="等线" w:cs="Times New Roman"/>
          <w:szCs w:val="21"/>
          <w:lang w:val="zh-CN"/>
        </w:rPr>
        <w:t>.</w:t>
      </w:r>
      <w:r>
        <w:rPr>
          <w:rFonts w:hint="eastAsia" w:ascii="等线" w:hAnsi="等线" w:eastAsia="等线" w:cs="Times New Roman"/>
          <w:szCs w:val="21"/>
          <w:lang w:val="zh-CN"/>
        </w:rPr>
        <w:t>质保期内的技术服务</w:t>
      </w:r>
    </w:p>
    <w:p>
      <w:pPr>
        <w:widowControl/>
        <w:ind w:firstLine="420" w:firstLineChars="200"/>
        <w:jc w:val="left"/>
        <w:rPr>
          <w:rFonts w:ascii="等线" w:hAnsi="等线" w:eastAsia="等线" w:cs="Times New Roman"/>
          <w:szCs w:val="21"/>
          <w:lang w:val="zh-CN"/>
        </w:rPr>
      </w:pPr>
      <w:r>
        <w:rPr>
          <w:rFonts w:hint="eastAsia" w:ascii="等线" w:hAnsi="等线" w:eastAsia="等线" w:cs="Times New Roman"/>
          <w:szCs w:val="21"/>
          <w:lang w:val="zh-CN"/>
        </w:rPr>
        <w:t>（1）电话或现场技术服务：在质保期内提供电话或现场技术服务。</w:t>
      </w:r>
    </w:p>
    <w:p>
      <w:pPr>
        <w:widowControl/>
        <w:ind w:firstLine="420" w:firstLineChars="200"/>
        <w:jc w:val="left"/>
        <w:rPr>
          <w:rFonts w:hint="eastAsia" w:ascii="等线" w:hAnsi="等线" w:eastAsia="等线" w:cs="宋体"/>
          <w:szCs w:val="21"/>
        </w:rPr>
      </w:pPr>
      <w:r>
        <w:rPr>
          <w:rFonts w:hint="eastAsia" w:ascii="等线" w:hAnsi="等线" w:eastAsia="等线" w:cs="宋体"/>
          <w:szCs w:val="21"/>
        </w:rPr>
        <w:t>（2）故障响应时间要求：</w:t>
      </w:r>
      <w:r>
        <w:rPr>
          <w:rFonts w:hint="eastAsia" w:ascii="等线" w:hAnsi="等线" w:eastAsia="等线" w:cs="宋体"/>
          <w:snapToGrid w:val="0"/>
          <w:szCs w:val="21"/>
        </w:rPr>
        <w:t>接到使用方产品出现问题的通知后立即作出响应</w:t>
      </w:r>
      <w:r>
        <w:rPr>
          <w:rFonts w:hint="eastAsia" w:ascii="等线" w:hAnsi="等线" w:eastAsia="等线" w:cs="宋体"/>
          <w:szCs w:val="21"/>
        </w:rPr>
        <w:t>，半小时内通过远程处理，远程不能解决的，</w:t>
      </w:r>
      <w:r>
        <w:rPr>
          <w:rFonts w:ascii="等线" w:hAnsi="等线" w:eastAsia="等线" w:cs="宋体"/>
          <w:szCs w:val="21"/>
        </w:rPr>
        <w:t>1</w:t>
      </w:r>
      <w:r>
        <w:rPr>
          <w:rFonts w:hint="eastAsia" w:ascii="等线" w:hAnsi="等线" w:eastAsia="等线" w:cs="宋体"/>
          <w:szCs w:val="21"/>
        </w:rPr>
        <w:t>小内到达现场进行处理。</w:t>
      </w:r>
    </w:p>
    <w:p>
      <w:pPr>
        <w:pStyle w:val="3"/>
        <w:rPr>
          <w:rFonts w:hint="default"/>
          <w:lang w:val="en-US" w:eastAsia="zh-CN"/>
        </w:rPr>
      </w:pPr>
    </w:p>
    <w:p>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default" w:ascii="宋体" w:hAnsi="宋体" w:cs="宋体"/>
          <w:b/>
          <w:bCs/>
          <w:kern w:val="0"/>
          <w:szCs w:val="21"/>
          <w:lang w:val="en-US" w:eastAsia="zh-CN"/>
        </w:rPr>
      </w:pPr>
      <w:r>
        <w:rPr>
          <w:rFonts w:hint="eastAsia" w:ascii="宋体" w:hAnsi="宋体" w:cs="宋体"/>
          <w:b/>
          <w:bCs/>
          <w:kern w:val="0"/>
          <w:szCs w:val="21"/>
          <w:lang w:val="en-US" w:eastAsia="zh-CN"/>
        </w:rPr>
        <w:t>五、评分要求</w:t>
      </w:r>
    </w:p>
    <w:tbl>
      <w:tblPr>
        <w:tblStyle w:val="8"/>
        <w:tblpPr w:leftFromText="180" w:rightFromText="180" w:vertAnchor="text" w:horzAnchor="margin" w:tblpY="10"/>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850"/>
        <w:gridCol w:w="7088"/>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01"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项目</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分项名称</w:t>
            </w:r>
          </w:p>
        </w:tc>
        <w:tc>
          <w:tcPr>
            <w:tcW w:w="7088"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评分标准</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101"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价格部分（</w:t>
            </w:r>
            <w:r>
              <w:rPr>
                <w:rFonts w:cs="宋体"/>
                <w:kern w:val="2"/>
                <w:sz w:val="21"/>
                <w:szCs w:val="21"/>
              </w:rPr>
              <w:t>1</w:t>
            </w:r>
            <w:r>
              <w:rPr>
                <w:rFonts w:hint="eastAsia" w:cs="宋体"/>
                <w:kern w:val="2"/>
                <w:sz w:val="21"/>
                <w:szCs w:val="21"/>
                <w:lang w:val="en-US" w:eastAsia="zh-CN"/>
              </w:rPr>
              <w:t>0</w:t>
            </w:r>
            <w:r>
              <w:rPr>
                <w:rFonts w:hint="eastAsia" w:cs="宋体"/>
                <w:kern w:val="2"/>
                <w:sz w:val="21"/>
                <w:szCs w:val="21"/>
              </w:rPr>
              <w:t>分</w:t>
            </w:r>
            <w:r>
              <w:rPr>
                <w:rFonts w:cs="宋体"/>
                <w:kern w:val="2"/>
                <w:sz w:val="21"/>
                <w:szCs w:val="21"/>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价格评议</w:t>
            </w:r>
          </w:p>
        </w:tc>
        <w:tc>
          <w:tcPr>
            <w:tcW w:w="7088"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cs="宋体"/>
                <w:kern w:val="0"/>
                <w:szCs w:val="21"/>
              </w:rPr>
            </w:pPr>
            <w:r>
              <w:rPr>
                <w:rFonts w:hint="eastAsia" w:ascii="宋体" w:hAnsi="宋体" w:cs="宋体"/>
                <w:kern w:val="0"/>
                <w:szCs w:val="21"/>
              </w:rPr>
              <w:t>1.综合评分法中的价格分统一采用低价优先法计算，即满足招标文件要求且投标价格最低的投标报价为评标基准价，其价格分为满分。</w:t>
            </w:r>
          </w:p>
          <w:p>
            <w:pPr>
              <w:spacing w:line="288" w:lineRule="auto"/>
              <w:jc w:val="left"/>
              <w:rPr>
                <w:rFonts w:hint="eastAsia" w:ascii="宋体" w:hAnsi="宋体" w:cs="宋体"/>
                <w:kern w:val="0"/>
                <w:szCs w:val="21"/>
              </w:rPr>
            </w:pPr>
            <w:r>
              <w:rPr>
                <w:rFonts w:hint="eastAsia" w:ascii="宋体" w:hAnsi="宋体" w:cs="宋体"/>
                <w:kern w:val="0"/>
                <w:szCs w:val="21"/>
              </w:rPr>
              <w:t>2.其他供应商的价格分统一按照下列公式计算：</w:t>
            </w:r>
          </w:p>
          <w:p>
            <w:pPr>
              <w:spacing w:line="288" w:lineRule="auto"/>
              <w:jc w:val="left"/>
              <w:rPr>
                <w:rFonts w:hint="eastAsia" w:ascii="宋体" w:hAnsi="宋体" w:cs="宋体"/>
                <w:kern w:val="0"/>
                <w:szCs w:val="21"/>
              </w:rPr>
            </w:pPr>
            <w:r>
              <w:rPr>
                <w:rFonts w:hint="eastAsia" w:ascii="宋体" w:hAnsi="宋体" w:cs="宋体"/>
                <w:kern w:val="0"/>
                <w:szCs w:val="21"/>
              </w:rPr>
              <w:t>投标报价得分=(评标基准价／投标报价)×100×价格权重。</w:t>
            </w:r>
          </w:p>
          <w:p>
            <w:pPr>
              <w:spacing w:line="288" w:lineRule="auto"/>
              <w:jc w:val="left"/>
              <w:rPr>
                <w:rFonts w:hint="eastAsia" w:ascii="宋体" w:hAnsi="宋体" w:cs="宋体"/>
                <w:b/>
                <w:bCs/>
                <w:kern w:val="0"/>
                <w:szCs w:val="21"/>
              </w:rPr>
            </w:pPr>
            <w:r>
              <w:rPr>
                <w:rFonts w:hint="eastAsia" w:ascii="宋体" w:hAnsi="宋体" w:cs="宋体"/>
                <w:b/>
                <w:bCs/>
                <w:kern w:val="0"/>
                <w:szCs w:val="21"/>
              </w:rPr>
              <w:t>注：1）因落实政府采购政策进行价格调整的，以调整后的价格计算评标基准价和投标报价。</w:t>
            </w:r>
          </w:p>
          <w:p>
            <w:pPr>
              <w:pStyle w:val="2"/>
              <w:spacing w:line="288" w:lineRule="auto"/>
              <w:rPr>
                <w:rFonts w:hint="eastAsia"/>
                <w:sz w:val="21"/>
                <w:szCs w:val="21"/>
              </w:rPr>
            </w:pPr>
            <w:r>
              <w:rPr>
                <w:rFonts w:hint="eastAsia" w:cs="宋体"/>
                <w:kern w:val="0"/>
                <w:sz w:val="21"/>
                <w:szCs w:val="21"/>
              </w:rPr>
              <w:t>2）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cs="宋体"/>
                <w:kern w:val="2"/>
                <w:sz w:val="21"/>
                <w:szCs w:val="21"/>
              </w:rPr>
              <w:t>1</w:t>
            </w:r>
            <w:r>
              <w:rPr>
                <w:rFonts w:hint="eastAsia" w:cs="宋体"/>
                <w:kern w:val="2"/>
                <w:sz w:val="21"/>
                <w:szCs w:val="21"/>
                <w:lang w:val="en-US" w:eastAsia="zh-CN"/>
              </w:rPr>
              <w:t>0</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1101" w:type="dxa"/>
            <w:vMerge w:val="restart"/>
            <w:tcBorders>
              <w:top w:val="single" w:color="auto" w:sz="4" w:space="0"/>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技术部分（</w:t>
            </w:r>
            <w:r>
              <w:rPr>
                <w:rFonts w:hint="eastAsia" w:cs="宋体"/>
                <w:kern w:val="2"/>
                <w:sz w:val="21"/>
                <w:szCs w:val="21"/>
                <w:lang w:val="en-US" w:eastAsia="zh-CN"/>
              </w:rPr>
              <w:t>70</w:t>
            </w:r>
            <w:r>
              <w:rPr>
                <w:rFonts w:hint="eastAsia" w:cs="宋体"/>
                <w:kern w:val="2"/>
                <w:sz w:val="21"/>
                <w:szCs w:val="21"/>
              </w:rPr>
              <w:t>分</w:t>
            </w:r>
            <w:r>
              <w:rPr>
                <w:rFonts w:cs="宋体"/>
                <w:kern w:val="2"/>
                <w:sz w:val="21"/>
                <w:szCs w:val="21"/>
              </w:rPr>
              <w:t>）</w:t>
            </w:r>
          </w:p>
        </w:tc>
        <w:tc>
          <w:tcPr>
            <w:tcW w:w="850" w:type="dxa"/>
            <w:vMerge w:val="restart"/>
            <w:tcBorders>
              <w:top w:val="single" w:color="auto" w:sz="4" w:space="0"/>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仿宋_GB2312"/>
                <w:sz w:val="21"/>
                <w:szCs w:val="21"/>
              </w:rPr>
              <w:t>技术参数</w:t>
            </w:r>
          </w:p>
        </w:tc>
        <w:tc>
          <w:tcPr>
            <w:tcW w:w="7088" w:type="dxa"/>
            <w:tcBorders>
              <w:top w:val="single" w:color="auto" w:sz="4" w:space="0"/>
              <w:left w:val="single" w:color="auto" w:sz="4" w:space="0"/>
              <w:right w:val="single" w:color="auto" w:sz="4" w:space="0"/>
            </w:tcBorders>
            <w:noWrap w:val="0"/>
            <w:vAlign w:val="center"/>
          </w:tcPr>
          <w:p>
            <w:pPr>
              <w:spacing w:line="288" w:lineRule="auto"/>
              <w:jc w:val="left"/>
              <w:rPr>
                <w:rFonts w:hint="eastAsia" w:ascii="宋体" w:hAnsi="宋体" w:cs="宋体"/>
                <w:kern w:val="0"/>
                <w:szCs w:val="21"/>
              </w:rPr>
            </w:pPr>
            <w:r>
              <w:rPr>
                <w:rFonts w:hint="eastAsia" w:ascii="宋体" w:hAnsi="宋体" w:cs="宋体"/>
                <w:kern w:val="0"/>
                <w:szCs w:val="21"/>
              </w:rPr>
              <w:t>1</w:t>
            </w:r>
            <w:r>
              <w:rPr>
                <w:rFonts w:hint="eastAsia" w:ascii="宋体" w:hAnsi="宋体" w:cs="宋体"/>
                <w:kern w:val="0"/>
                <w:szCs w:val="21"/>
                <w:lang w:val="en-US" w:eastAsia="zh-CN"/>
              </w:rPr>
              <w:t>.</w:t>
            </w:r>
            <w:r>
              <w:rPr>
                <w:rFonts w:hint="eastAsia" w:ascii="宋体" w:hAnsi="宋体" w:cs="宋体"/>
                <w:kern w:val="0"/>
                <w:szCs w:val="21"/>
              </w:rPr>
              <w:t>对采购需求中</w:t>
            </w:r>
            <w:r>
              <w:rPr>
                <w:rFonts w:hint="eastAsia" w:ascii="宋体" w:hAnsi="宋体" w:cs="仿宋_GB2312"/>
                <w:kern w:val="0"/>
                <w:szCs w:val="21"/>
              </w:rPr>
              <w:t>标注“</w:t>
            </w:r>
            <w:r>
              <w:rPr>
                <w:rFonts w:hint="eastAsia" w:ascii="宋体" w:hAnsi="宋体" w:cs="宋体"/>
                <w:szCs w:val="21"/>
              </w:rPr>
              <w:t>▲</w:t>
            </w:r>
            <w:r>
              <w:rPr>
                <w:rFonts w:hint="eastAsia" w:ascii="宋体" w:hAnsi="宋体" w:cs="仿宋_GB2312"/>
                <w:kern w:val="0"/>
                <w:szCs w:val="21"/>
              </w:rPr>
              <w:t>”的(共</w:t>
            </w:r>
            <w:r>
              <w:rPr>
                <w:rFonts w:ascii="宋体" w:hAnsi="宋体" w:cs="仿宋_GB2312"/>
                <w:kern w:val="0"/>
                <w:szCs w:val="21"/>
              </w:rPr>
              <w:t>5</w:t>
            </w:r>
            <w:r>
              <w:rPr>
                <w:rFonts w:hint="eastAsia" w:ascii="宋体" w:hAnsi="宋体" w:cs="仿宋_GB2312"/>
                <w:kern w:val="0"/>
                <w:szCs w:val="21"/>
              </w:rPr>
              <w:t>项)重要</w:t>
            </w:r>
            <w:r>
              <w:rPr>
                <w:rFonts w:hint="eastAsia" w:ascii="宋体" w:hAnsi="宋体" w:cs="宋体"/>
                <w:kern w:val="0"/>
                <w:szCs w:val="21"/>
              </w:rPr>
              <w:t>功能及</w:t>
            </w:r>
            <w:r>
              <w:rPr>
                <w:rFonts w:hint="eastAsia" w:ascii="宋体" w:hAnsi="宋体" w:cs="仿宋_GB2312"/>
                <w:kern w:val="0"/>
                <w:szCs w:val="21"/>
              </w:rPr>
              <w:t>技术参数进行响应评审：全部满足或优于招标文件要求得</w:t>
            </w:r>
            <w:r>
              <w:rPr>
                <w:rFonts w:ascii="宋体" w:hAnsi="宋体" w:cs="仿宋_GB2312"/>
                <w:kern w:val="0"/>
                <w:szCs w:val="21"/>
              </w:rPr>
              <w:t>10</w:t>
            </w:r>
            <w:r>
              <w:rPr>
                <w:rFonts w:hint="eastAsia" w:ascii="宋体" w:hAnsi="宋体" w:cs="仿宋_GB2312"/>
                <w:kern w:val="0"/>
                <w:szCs w:val="21"/>
              </w:rPr>
              <w:t>分，负偏离一项扣</w:t>
            </w:r>
            <w:r>
              <w:rPr>
                <w:rFonts w:ascii="宋体" w:hAnsi="宋体" w:cs="仿宋_GB2312"/>
                <w:kern w:val="0"/>
                <w:szCs w:val="21"/>
              </w:rPr>
              <w:t>2</w:t>
            </w:r>
            <w:r>
              <w:rPr>
                <w:rFonts w:hint="eastAsia" w:ascii="宋体" w:hAnsi="宋体" w:cs="仿宋_GB2312"/>
                <w:kern w:val="0"/>
                <w:szCs w:val="21"/>
              </w:rPr>
              <w:t>分；</w:t>
            </w:r>
            <w:r>
              <w:rPr>
                <w:rFonts w:hint="eastAsia" w:ascii="宋体" w:hAnsi="宋体" w:cs="仿宋_GB2312"/>
                <w:b/>
                <w:bCs/>
                <w:kern w:val="0"/>
                <w:szCs w:val="21"/>
              </w:rPr>
              <w:t>所</w:t>
            </w:r>
            <w:r>
              <w:rPr>
                <w:rFonts w:hint="eastAsia" w:ascii="宋体" w:hAnsi="宋体" w:cs="仿宋_GB2312"/>
                <w:b/>
                <w:kern w:val="0"/>
                <w:szCs w:val="21"/>
              </w:rPr>
              <w:t>要求提供证明文件的须按要求提供，若未提供证明文件的或提供的证明文件不能够明确佐证的视为不满足该条技术参数。</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cs="宋体"/>
                <w:kern w:val="2"/>
                <w:sz w:val="21"/>
                <w:szCs w:val="21"/>
              </w:rPr>
              <w:t>10</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1101" w:type="dxa"/>
            <w:vMerge w:val="continue"/>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p>
        </w:tc>
        <w:tc>
          <w:tcPr>
            <w:tcW w:w="850" w:type="dxa"/>
            <w:vMerge w:val="continue"/>
            <w:tcBorders>
              <w:left w:val="single" w:color="auto" w:sz="4" w:space="0"/>
              <w:right w:val="single" w:color="auto" w:sz="4" w:space="0"/>
            </w:tcBorders>
            <w:noWrap w:val="0"/>
            <w:vAlign w:val="center"/>
          </w:tcPr>
          <w:p>
            <w:pPr>
              <w:pStyle w:val="7"/>
              <w:snapToGrid w:val="0"/>
              <w:spacing w:line="288" w:lineRule="auto"/>
              <w:jc w:val="center"/>
              <w:rPr>
                <w:rFonts w:hint="eastAsia" w:cs="仿宋_GB2312"/>
                <w:sz w:val="21"/>
                <w:szCs w:val="21"/>
              </w:rPr>
            </w:pPr>
          </w:p>
        </w:tc>
        <w:tc>
          <w:tcPr>
            <w:tcW w:w="7088" w:type="dxa"/>
            <w:tcBorders>
              <w:top w:val="single" w:color="auto" w:sz="4" w:space="0"/>
              <w:left w:val="single" w:color="auto" w:sz="4" w:space="0"/>
              <w:right w:val="single" w:color="auto" w:sz="4" w:space="0"/>
            </w:tcBorders>
            <w:noWrap w:val="0"/>
            <w:vAlign w:val="center"/>
          </w:tcPr>
          <w:p>
            <w:pPr>
              <w:spacing w:line="288" w:lineRule="auto"/>
              <w:jc w:val="left"/>
              <w:rPr>
                <w:rFonts w:hint="eastAsia" w:ascii="宋体" w:hAnsi="宋体" w:cs="仿宋_GB2312"/>
                <w:kern w:val="0"/>
                <w:szCs w:val="21"/>
              </w:rPr>
            </w:pPr>
            <w:r>
              <w:rPr>
                <w:rFonts w:hint="eastAsia" w:ascii="宋体" w:hAnsi="宋体" w:cs="宋体"/>
                <w:kern w:val="0"/>
                <w:szCs w:val="21"/>
              </w:rPr>
              <w:t>2</w:t>
            </w:r>
            <w:r>
              <w:rPr>
                <w:rFonts w:hint="eastAsia" w:ascii="宋体" w:hAnsi="宋体" w:cs="宋体"/>
                <w:kern w:val="0"/>
                <w:szCs w:val="21"/>
                <w:lang w:val="en-US" w:eastAsia="zh-CN"/>
              </w:rPr>
              <w:t>.</w:t>
            </w:r>
            <w:r>
              <w:rPr>
                <w:rFonts w:hint="eastAsia" w:ascii="宋体" w:hAnsi="宋体" w:cs="宋体"/>
                <w:kern w:val="0"/>
                <w:szCs w:val="21"/>
              </w:rPr>
              <w:t>对采购需求中</w:t>
            </w:r>
            <w:r>
              <w:rPr>
                <w:rFonts w:hint="eastAsia" w:ascii="宋体" w:hAnsi="宋体" w:cs="仿宋_GB2312"/>
                <w:kern w:val="0"/>
                <w:szCs w:val="21"/>
              </w:rPr>
              <w:t>未标注“</w:t>
            </w:r>
            <w:r>
              <w:rPr>
                <w:rFonts w:hint="eastAsia" w:ascii="宋体" w:hAnsi="宋体" w:cs="宋体"/>
                <w:szCs w:val="21"/>
              </w:rPr>
              <w:t>▲</w:t>
            </w:r>
            <w:r>
              <w:rPr>
                <w:rFonts w:hint="eastAsia" w:ascii="宋体" w:hAnsi="宋体" w:cs="仿宋_GB2312"/>
                <w:kern w:val="0"/>
                <w:szCs w:val="21"/>
              </w:rPr>
              <w:t>”或“※”的一般性</w:t>
            </w:r>
            <w:r>
              <w:rPr>
                <w:rFonts w:hint="eastAsia" w:ascii="宋体" w:hAnsi="宋体" w:cs="宋体"/>
                <w:kern w:val="0"/>
                <w:szCs w:val="21"/>
              </w:rPr>
              <w:t>功能及</w:t>
            </w:r>
            <w:r>
              <w:rPr>
                <w:rFonts w:hint="eastAsia" w:ascii="宋体" w:hAnsi="宋体" w:cs="仿宋_GB2312"/>
                <w:kern w:val="0"/>
                <w:szCs w:val="21"/>
              </w:rPr>
              <w:t>技术参数进行响应评审：</w:t>
            </w:r>
            <w:r>
              <w:rPr>
                <w:rFonts w:hint="eastAsia" w:ascii="宋体" w:hAnsi="宋体" w:cs="仿宋_GB2312"/>
                <w:szCs w:val="21"/>
              </w:rPr>
              <w:t>全部满足或优于招标要求得</w:t>
            </w:r>
            <w:r>
              <w:rPr>
                <w:rFonts w:ascii="宋体" w:hAnsi="宋体" w:cs="仿宋_GB2312"/>
                <w:szCs w:val="21"/>
              </w:rPr>
              <w:t>25</w:t>
            </w:r>
            <w:r>
              <w:rPr>
                <w:rFonts w:hint="eastAsia" w:ascii="宋体" w:hAnsi="宋体" w:cs="仿宋_GB2312"/>
                <w:szCs w:val="21"/>
              </w:rPr>
              <w:t>分，每负偏离一项扣</w:t>
            </w:r>
            <w:r>
              <w:rPr>
                <w:rFonts w:ascii="宋体" w:hAnsi="宋体" w:cs="仿宋_GB2312"/>
                <w:szCs w:val="21"/>
              </w:rPr>
              <w:t>1</w:t>
            </w:r>
            <w:r>
              <w:rPr>
                <w:rFonts w:hint="eastAsia" w:ascii="宋体" w:hAnsi="宋体" w:cs="仿宋_GB2312"/>
                <w:szCs w:val="21"/>
              </w:rPr>
              <w:t>分</w:t>
            </w:r>
            <w:r>
              <w:rPr>
                <w:rFonts w:hint="eastAsia" w:ascii="宋体" w:hAnsi="宋体" w:cs="宋体"/>
                <w:szCs w:val="21"/>
              </w:rPr>
              <w:t>，扣完为止。</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cs="宋体"/>
                <w:kern w:val="2"/>
                <w:sz w:val="21"/>
                <w:szCs w:val="21"/>
              </w:rPr>
              <w:t>25</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01" w:type="dxa"/>
            <w:vMerge w:val="continue"/>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p>
        </w:tc>
        <w:tc>
          <w:tcPr>
            <w:tcW w:w="850" w:type="dxa"/>
            <w:tcBorders>
              <w:left w:val="single" w:color="auto" w:sz="4" w:space="0"/>
              <w:right w:val="single" w:color="auto" w:sz="4" w:space="0"/>
            </w:tcBorders>
            <w:noWrap w:val="0"/>
            <w:vAlign w:val="center"/>
          </w:tcPr>
          <w:p>
            <w:pPr>
              <w:pStyle w:val="7"/>
              <w:snapToGrid w:val="0"/>
              <w:spacing w:line="288" w:lineRule="auto"/>
              <w:jc w:val="center"/>
              <w:rPr>
                <w:rFonts w:hint="eastAsia" w:cs="仿宋_GB2312"/>
                <w:sz w:val="21"/>
                <w:szCs w:val="21"/>
              </w:rPr>
            </w:pPr>
            <w:r>
              <w:rPr>
                <w:rFonts w:hint="eastAsia" w:cs="宋体"/>
                <w:bCs/>
                <w:sz w:val="21"/>
                <w:szCs w:val="21"/>
              </w:rPr>
              <w:t>功能演示</w:t>
            </w:r>
          </w:p>
        </w:tc>
        <w:tc>
          <w:tcPr>
            <w:tcW w:w="7088" w:type="dxa"/>
            <w:tcBorders>
              <w:top w:val="single" w:color="auto" w:sz="4" w:space="0"/>
              <w:left w:val="single" w:color="auto" w:sz="4" w:space="0"/>
              <w:right w:val="single" w:color="auto" w:sz="4" w:space="0"/>
            </w:tcBorders>
            <w:noWrap w:val="0"/>
            <w:vAlign w:val="center"/>
          </w:tcPr>
          <w:p>
            <w:pPr>
              <w:pStyle w:val="14"/>
              <w:spacing w:before="1" w:line="312" w:lineRule="auto"/>
              <w:ind w:right="95"/>
              <w:jc w:val="both"/>
              <w:rPr>
                <w:rFonts w:ascii="Times New Roman" w:hAnsi="Times New Roman" w:cs="Times New Roman"/>
                <w:kern w:val="2"/>
                <w:sz w:val="21"/>
                <w:szCs w:val="22"/>
                <w:lang w:val="en-US" w:bidi="ar-SA"/>
              </w:rPr>
            </w:pPr>
            <w:r>
              <w:rPr>
                <w:rFonts w:hint="eastAsia" w:ascii="Times New Roman" w:hAnsi="Times New Roman" w:cs="Times New Roman"/>
                <w:kern w:val="2"/>
                <w:sz w:val="21"/>
                <w:szCs w:val="22"/>
                <w:lang w:val="en-US" w:bidi="ar-SA"/>
              </w:rPr>
              <w:t>对招标参数中功能需求的标※号（共</w:t>
            </w:r>
            <w:r>
              <w:rPr>
                <w:rFonts w:ascii="Times New Roman" w:hAnsi="Times New Roman" w:cs="Times New Roman"/>
                <w:kern w:val="2"/>
                <w:sz w:val="21"/>
                <w:szCs w:val="22"/>
                <w:lang w:val="en-US" w:bidi="ar-SA"/>
              </w:rPr>
              <w:t>5</w:t>
            </w:r>
            <w:r>
              <w:rPr>
                <w:rFonts w:hint="eastAsia" w:ascii="Times New Roman" w:hAnsi="Times New Roman" w:cs="Times New Roman"/>
                <w:kern w:val="2"/>
                <w:sz w:val="21"/>
                <w:szCs w:val="22"/>
                <w:lang w:val="en-US" w:bidi="ar-SA"/>
              </w:rPr>
              <w:t>项）部分进行演示。演示内容能完全满足功能点的得</w:t>
            </w:r>
            <w:r>
              <w:rPr>
                <w:rFonts w:ascii="Times New Roman" w:hAnsi="Times New Roman" w:cs="Times New Roman"/>
                <w:kern w:val="2"/>
                <w:sz w:val="21"/>
                <w:szCs w:val="22"/>
                <w:lang w:val="en-US" w:bidi="ar-SA"/>
              </w:rPr>
              <w:t>20分，演示内容缺一项或对每项内容部分满足或者无法满足功能要求的扣4分，扣完为止。不演示不得分。</w:t>
            </w:r>
          </w:p>
          <w:p>
            <w:pPr>
              <w:spacing w:line="312" w:lineRule="auto"/>
              <w:jc w:val="left"/>
              <w:rPr>
                <w:rFonts w:hint="eastAsia"/>
              </w:rPr>
            </w:pPr>
            <w:r>
              <w:rPr>
                <w:rFonts w:hint="eastAsia"/>
              </w:rPr>
              <w:t>注：演示时间不超过1</w:t>
            </w:r>
            <w:r>
              <w:t>0</w:t>
            </w:r>
            <w:r>
              <w:rPr>
                <w:rFonts w:hint="eastAsia"/>
              </w:rPr>
              <w:t>分钟。所演示的产品必须是供应商搭建的正在运行的真实系统；用截图、视频、演示程序、PPT等非真实系统的方式演示视为无效演示。无效演示或无演示计0分</w:t>
            </w:r>
          </w:p>
          <w:p>
            <w:pPr>
              <w:pStyle w:val="14"/>
              <w:spacing w:before="1" w:line="312" w:lineRule="auto"/>
              <w:ind w:right="95"/>
              <w:jc w:val="both"/>
              <w:rPr>
                <w:rFonts w:ascii="Times New Roman" w:hAnsi="Times New Roman" w:cs="Times New Roman"/>
                <w:kern w:val="2"/>
                <w:sz w:val="21"/>
                <w:szCs w:val="22"/>
                <w:lang w:val="en-US" w:bidi="ar-SA"/>
              </w:rPr>
            </w:pPr>
            <w:r>
              <w:rPr>
                <w:rFonts w:hint="eastAsia" w:ascii="Times New Roman" w:hAnsi="Times New Roman" w:cs="Times New Roman"/>
                <w:kern w:val="2"/>
                <w:sz w:val="21"/>
                <w:szCs w:val="22"/>
                <w:lang w:val="en-US" w:bidi="ar-SA"/>
              </w:rPr>
              <w:t>具体演示内容要求如下：</w:t>
            </w:r>
          </w:p>
          <w:p>
            <w:pPr>
              <w:pStyle w:val="14"/>
              <w:spacing w:before="1" w:line="312" w:lineRule="auto"/>
              <w:ind w:right="95"/>
              <w:jc w:val="both"/>
              <w:rPr>
                <w:rFonts w:ascii="Times New Roman" w:hAnsi="Times New Roman" w:cs="Times New Roman"/>
                <w:kern w:val="2"/>
                <w:sz w:val="21"/>
                <w:szCs w:val="22"/>
                <w:lang w:val="en-US" w:bidi="ar-SA"/>
              </w:rPr>
            </w:pPr>
            <w:r>
              <w:rPr>
                <w:rFonts w:hint="eastAsia" w:ascii="Times New Roman" w:hAnsi="Times New Roman" w:cs="Times New Roman"/>
                <w:kern w:val="2"/>
                <w:sz w:val="21"/>
                <w:szCs w:val="22"/>
                <w:lang w:val="en-US" w:bidi="ar-SA"/>
              </w:rPr>
              <w:t>1</w:t>
            </w:r>
            <w:r>
              <w:rPr>
                <w:rFonts w:hint="eastAsia" w:ascii="Times New Roman" w:hAnsi="Times New Roman" w:cs="Times New Roman"/>
                <w:kern w:val="2"/>
                <w:sz w:val="21"/>
                <w:szCs w:val="22"/>
                <w:lang w:val="en-US" w:eastAsia="zh-CN" w:bidi="ar-SA"/>
              </w:rPr>
              <w:t>.</w:t>
            </w:r>
            <w:r>
              <w:rPr>
                <w:rFonts w:hint="eastAsia" w:ascii="Times New Roman" w:hAnsi="Times New Roman" w:cs="Times New Roman"/>
                <w:kern w:val="2"/>
                <w:sz w:val="21"/>
                <w:szCs w:val="22"/>
                <w:lang w:val="en-US" w:bidi="ar-SA"/>
              </w:rPr>
              <w:t>要求平台内置教育部指定的所有代码表，并与对应字段建立关联。在填报页面中，关联了代码表的字段，需自动按照代码表的内容提供下拉选项供用户选择录入，避免输入不合法的数据。</w:t>
            </w:r>
          </w:p>
          <w:p>
            <w:pPr>
              <w:pStyle w:val="14"/>
              <w:spacing w:before="1" w:line="312" w:lineRule="auto"/>
              <w:ind w:right="95"/>
              <w:jc w:val="both"/>
              <w:rPr>
                <w:rFonts w:hint="eastAsia" w:ascii="Times New Roman" w:hAnsi="Times New Roman" w:cs="Times New Roman"/>
                <w:kern w:val="2"/>
                <w:sz w:val="21"/>
                <w:szCs w:val="22"/>
                <w:lang w:val="en-US" w:bidi="ar-SA"/>
              </w:rPr>
            </w:pPr>
            <w:r>
              <w:rPr>
                <w:rFonts w:hint="eastAsia" w:ascii="Times New Roman" w:hAnsi="Times New Roman" w:cs="Times New Roman"/>
                <w:kern w:val="2"/>
                <w:sz w:val="21"/>
                <w:szCs w:val="22"/>
                <w:lang w:val="en-US" w:bidi="ar-SA"/>
              </w:rPr>
              <w:t>2</w:t>
            </w:r>
            <w:r>
              <w:rPr>
                <w:rFonts w:hint="eastAsia" w:ascii="Times New Roman" w:hAnsi="Times New Roman" w:cs="Times New Roman"/>
                <w:kern w:val="2"/>
                <w:sz w:val="21"/>
                <w:szCs w:val="22"/>
                <w:lang w:val="en-US" w:eastAsia="zh-CN" w:bidi="ar-SA"/>
              </w:rPr>
              <w:t>.</w:t>
            </w:r>
            <w:r>
              <w:rPr>
                <w:rFonts w:hint="eastAsia" w:ascii="Times New Roman" w:hAnsi="Times New Roman" w:cs="Times New Roman"/>
                <w:kern w:val="2"/>
                <w:sz w:val="21"/>
                <w:szCs w:val="22"/>
                <w:lang w:val="en-US" w:bidi="ar-SA"/>
              </w:rPr>
              <w:t>支持用户组管理，可将不同部门、不同角色的用户进行重新分组，支持在给填报人员下发表单时可按用户选择、按部门选择、按用户组选择填报人员，同时也支持通过批量输入职工号进行智能识别填报人员。</w:t>
            </w:r>
          </w:p>
          <w:p>
            <w:pPr>
              <w:pStyle w:val="14"/>
              <w:spacing w:before="1" w:line="312" w:lineRule="auto"/>
              <w:ind w:right="95"/>
              <w:jc w:val="both"/>
              <w:rPr>
                <w:rFonts w:ascii="Times New Roman" w:hAnsi="Times New Roman" w:cs="Times New Roman"/>
                <w:kern w:val="2"/>
                <w:sz w:val="21"/>
                <w:szCs w:val="22"/>
                <w:lang w:val="en-US" w:bidi="ar-SA"/>
              </w:rPr>
            </w:pPr>
            <w:r>
              <w:rPr>
                <w:rFonts w:ascii="Times New Roman" w:hAnsi="Times New Roman" w:cs="Times New Roman"/>
                <w:kern w:val="2"/>
                <w:sz w:val="21"/>
                <w:szCs w:val="22"/>
                <w:lang w:val="en-US" w:bidi="ar-SA"/>
              </w:rPr>
              <w:t>3</w:t>
            </w:r>
            <w:r>
              <w:rPr>
                <w:rFonts w:hint="eastAsia" w:ascii="Times New Roman" w:hAnsi="Times New Roman" w:cs="Times New Roman"/>
                <w:kern w:val="2"/>
                <w:sz w:val="21"/>
                <w:szCs w:val="22"/>
                <w:lang w:val="en-US" w:eastAsia="zh-CN" w:bidi="ar-SA"/>
              </w:rPr>
              <w:t>.</w:t>
            </w:r>
            <w:r>
              <w:rPr>
                <w:rFonts w:hint="eastAsia" w:ascii="Times New Roman" w:hAnsi="Times New Roman" w:cs="Times New Roman"/>
                <w:kern w:val="2"/>
                <w:sz w:val="21"/>
                <w:szCs w:val="22"/>
                <w:lang w:val="en-US" w:bidi="ar-SA"/>
              </w:rPr>
              <w:t>通过EXCEL文件导入填报数据可支持下载空模版用于新增数据场景，也可下载全部数据用于对数据编辑的场景，通过模版编辑后的数据进行上传，可实现批量数据填报。</w:t>
            </w:r>
          </w:p>
          <w:p>
            <w:pPr>
              <w:pStyle w:val="14"/>
              <w:spacing w:before="1" w:line="312" w:lineRule="auto"/>
              <w:ind w:right="95"/>
              <w:jc w:val="both"/>
              <w:rPr>
                <w:rFonts w:ascii="Times New Roman" w:hAnsi="Times New Roman" w:cs="Times New Roman"/>
                <w:kern w:val="2"/>
                <w:sz w:val="21"/>
                <w:szCs w:val="22"/>
                <w:lang w:val="en-US" w:bidi="ar-SA"/>
              </w:rPr>
            </w:pPr>
            <w:r>
              <w:rPr>
                <w:rFonts w:ascii="Times New Roman" w:hAnsi="Times New Roman" w:cs="Times New Roman"/>
                <w:kern w:val="2"/>
                <w:sz w:val="21"/>
                <w:szCs w:val="22"/>
                <w:lang w:val="en-US" w:bidi="ar-SA"/>
              </w:rPr>
              <w:t>4</w:t>
            </w:r>
            <w:r>
              <w:rPr>
                <w:rFonts w:hint="eastAsia" w:ascii="Times New Roman" w:hAnsi="Times New Roman" w:cs="Times New Roman"/>
                <w:kern w:val="2"/>
                <w:sz w:val="21"/>
                <w:szCs w:val="22"/>
                <w:lang w:val="en-US" w:eastAsia="zh-CN" w:bidi="ar-SA"/>
              </w:rPr>
              <w:t>.</w:t>
            </w:r>
            <w:r>
              <w:rPr>
                <w:rFonts w:hint="eastAsia" w:ascii="Times New Roman" w:hAnsi="Times New Roman" w:cs="Times New Roman"/>
                <w:kern w:val="2"/>
                <w:sz w:val="21"/>
                <w:szCs w:val="22"/>
                <w:lang w:val="en-US" w:bidi="ar-SA"/>
              </w:rPr>
              <w:t>支持数据查询功能，可针对所填报的数据，进行自定义查询，包括设定查询字段、查询条件和要查询的值，支持逻辑与、逻辑或的复合条件查询。</w:t>
            </w:r>
          </w:p>
          <w:p>
            <w:pPr>
              <w:pStyle w:val="14"/>
              <w:spacing w:before="1" w:line="312" w:lineRule="auto"/>
              <w:ind w:right="95"/>
              <w:jc w:val="both"/>
              <w:rPr>
                <w:rFonts w:hint="eastAsia" w:ascii="Times New Roman" w:hAnsi="Times New Roman"/>
                <w:b/>
                <w:sz w:val="21"/>
                <w:szCs w:val="22"/>
              </w:rPr>
            </w:pPr>
            <w:r>
              <w:rPr>
                <w:rFonts w:hint="eastAsia" w:ascii="Times New Roman" w:hAnsi="Times New Roman"/>
                <w:sz w:val="21"/>
                <w:szCs w:val="22"/>
              </w:rPr>
              <w:t>5</w:t>
            </w:r>
            <w:r>
              <w:rPr>
                <w:rFonts w:hint="eastAsia" w:ascii="Times New Roman" w:hAnsi="Times New Roman"/>
                <w:sz w:val="21"/>
                <w:szCs w:val="22"/>
                <w:lang w:val="en-US" w:eastAsia="zh-CN"/>
              </w:rPr>
              <w:t>.</w:t>
            </w:r>
            <w:r>
              <w:rPr>
                <w:rFonts w:hint="eastAsia" w:ascii="Times New Roman" w:hAnsi="Times New Roman"/>
                <w:sz w:val="21"/>
                <w:szCs w:val="22"/>
              </w:rPr>
              <w:t>支持设置审核流程后，表单能够按照设计的审核流程进行表单审核流转，具体要求为：投标人准备填报表单、数据，通过审核流程配置审核截止时间、特定审核人群、特定人群审核截止时间、审核人是否可修改数据并指定多个审核人，实现依次会签或签其中一种的整体审核过程。</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cs="宋体"/>
                <w:kern w:val="2"/>
                <w:sz w:val="21"/>
                <w:szCs w:val="21"/>
              </w:rPr>
              <w:t>20</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101" w:type="dxa"/>
            <w:vMerge w:val="continue"/>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p>
        </w:tc>
        <w:tc>
          <w:tcPr>
            <w:tcW w:w="850" w:type="dxa"/>
            <w:tcBorders>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bCs/>
                <w:sz w:val="21"/>
                <w:szCs w:val="21"/>
              </w:rPr>
            </w:pPr>
            <w:r>
              <w:rPr>
                <w:rFonts w:hint="eastAsia"/>
                <w:sz w:val="21"/>
                <w:szCs w:val="21"/>
              </w:rPr>
              <w:t>实施方案</w:t>
            </w:r>
          </w:p>
        </w:tc>
        <w:tc>
          <w:tcPr>
            <w:tcW w:w="7088"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cs="宋体"/>
                <w:kern w:val="0"/>
                <w:szCs w:val="21"/>
              </w:rPr>
            </w:pPr>
            <w:r>
              <w:rPr>
                <w:rFonts w:hint="eastAsia" w:ascii="宋体" w:hAnsi="宋体" w:cs="宋体"/>
                <w:kern w:val="0"/>
                <w:szCs w:val="21"/>
              </w:rPr>
              <w:t>供应商应提供详细的项目实施方案，方案内容至少包含项目重难点分析、实施进度计划、质量保障方案、项目组织管理方案和具体人员安排、风险管控等内容。具体评分标准如下：</w:t>
            </w:r>
          </w:p>
          <w:p>
            <w:pPr>
              <w:spacing w:line="288" w:lineRule="auto"/>
              <w:jc w:val="left"/>
              <w:rPr>
                <w:rFonts w:hint="eastAsia" w:ascii="宋体" w:hAnsi="宋体" w:cs="宋体"/>
                <w:kern w:val="0"/>
                <w:szCs w:val="21"/>
              </w:rPr>
            </w:pPr>
            <w:r>
              <w:rPr>
                <w:rFonts w:hint="eastAsia" w:ascii="宋体" w:hAnsi="宋体" w:cs="宋体"/>
                <w:kern w:val="0"/>
                <w:szCs w:val="21"/>
              </w:rPr>
              <w:t>1</w:t>
            </w:r>
            <w:r>
              <w:rPr>
                <w:rFonts w:hint="eastAsia" w:ascii="宋体" w:hAnsi="宋体" w:cs="宋体"/>
                <w:kern w:val="0"/>
                <w:szCs w:val="21"/>
                <w:lang w:val="en-US" w:eastAsia="zh-CN"/>
              </w:rPr>
              <w:t>.</w:t>
            </w:r>
            <w:r>
              <w:rPr>
                <w:rFonts w:hint="eastAsia" w:ascii="宋体" w:hAnsi="宋体" w:cs="宋体"/>
                <w:kern w:val="0"/>
                <w:szCs w:val="21"/>
              </w:rPr>
              <w:t>实施方案内容非常齐全，条理非常清晰优得</w:t>
            </w:r>
            <w:r>
              <w:rPr>
                <w:rFonts w:hint="eastAsia" w:ascii="宋体" w:hAnsi="宋体" w:cs="宋体"/>
                <w:kern w:val="0"/>
                <w:szCs w:val="21"/>
                <w:lang w:val="en-US" w:eastAsia="zh-CN"/>
              </w:rPr>
              <w:t>6</w:t>
            </w:r>
            <w:r>
              <w:rPr>
                <w:rFonts w:hint="eastAsia" w:ascii="宋体" w:hAnsi="宋体" w:cs="宋体"/>
                <w:kern w:val="0"/>
                <w:szCs w:val="21"/>
              </w:rPr>
              <w:t>分；</w:t>
            </w:r>
          </w:p>
          <w:p>
            <w:pPr>
              <w:spacing w:line="288" w:lineRule="auto"/>
              <w:jc w:val="left"/>
              <w:rPr>
                <w:rFonts w:hint="eastAsia" w:ascii="宋体" w:hAnsi="宋体" w:cs="宋体"/>
                <w:kern w:val="0"/>
                <w:szCs w:val="21"/>
              </w:rPr>
            </w:pPr>
            <w:r>
              <w:rPr>
                <w:rFonts w:hint="eastAsia" w:ascii="宋体" w:hAnsi="宋体" w:cs="宋体"/>
                <w:kern w:val="0"/>
                <w:szCs w:val="21"/>
              </w:rPr>
              <w:t>2</w:t>
            </w:r>
            <w:r>
              <w:rPr>
                <w:rFonts w:hint="eastAsia" w:ascii="宋体" w:hAnsi="宋体" w:cs="宋体"/>
                <w:kern w:val="0"/>
                <w:szCs w:val="21"/>
                <w:lang w:val="en-US" w:eastAsia="zh-CN"/>
              </w:rPr>
              <w:t>.</w:t>
            </w:r>
            <w:r>
              <w:rPr>
                <w:rFonts w:hint="eastAsia" w:ascii="宋体" w:hAnsi="宋体" w:cs="宋体"/>
                <w:kern w:val="0"/>
                <w:szCs w:val="21"/>
              </w:rPr>
              <w:t>实施方案内容较齐全，条理较清晰得</w:t>
            </w:r>
            <w:r>
              <w:rPr>
                <w:rFonts w:hint="eastAsia" w:ascii="宋体" w:hAnsi="宋体" w:cs="宋体"/>
                <w:kern w:val="0"/>
                <w:szCs w:val="21"/>
                <w:lang w:val="en-US" w:eastAsia="zh-CN"/>
              </w:rPr>
              <w:t>4</w:t>
            </w:r>
            <w:r>
              <w:rPr>
                <w:rFonts w:hint="eastAsia" w:ascii="宋体" w:hAnsi="宋体" w:cs="宋体"/>
                <w:kern w:val="0"/>
                <w:szCs w:val="21"/>
              </w:rPr>
              <w:t>分；</w:t>
            </w:r>
          </w:p>
          <w:p>
            <w:pPr>
              <w:spacing w:line="288" w:lineRule="auto"/>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w:t>
            </w:r>
            <w:r>
              <w:rPr>
                <w:rFonts w:hint="eastAsia" w:ascii="宋体" w:hAnsi="宋体" w:cs="宋体"/>
                <w:kern w:val="0"/>
                <w:szCs w:val="21"/>
              </w:rPr>
              <w:t>实施方案内容欠缺，条理不太清晰得</w:t>
            </w:r>
            <w:r>
              <w:rPr>
                <w:rFonts w:hint="eastAsia" w:ascii="宋体" w:hAnsi="宋体" w:cs="宋体"/>
                <w:kern w:val="0"/>
                <w:szCs w:val="21"/>
                <w:lang w:val="en-US" w:eastAsia="zh-CN"/>
              </w:rPr>
              <w:t>2</w:t>
            </w:r>
            <w:r>
              <w:rPr>
                <w:rFonts w:hint="eastAsia" w:ascii="宋体" w:hAnsi="宋体" w:cs="宋体"/>
                <w:kern w:val="0"/>
                <w:szCs w:val="21"/>
              </w:rPr>
              <w:t>分；</w:t>
            </w:r>
          </w:p>
          <w:p>
            <w:pPr>
              <w:spacing w:line="288" w:lineRule="auto"/>
              <w:jc w:val="left"/>
              <w:rPr>
                <w:rFonts w:hint="eastAsia" w:ascii="宋体" w:hAnsi="宋体" w:cs="宋体"/>
                <w:b/>
                <w:kern w:val="0"/>
                <w:szCs w:val="21"/>
              </w:rPr>
            </w:pPr>
            <w:r>
              <w:rPr>
                <w:rFonts w:hint="eastAsia" w:ascii="宋体" w:hAnsi="宋体" w:cs="宋体"/>
                <w:kern w:val="0"/>
                <w:szCs w:val="21"/>
              </w:rPr>
              <w:t>4</w:t>
            </w:r>
            <w:r>
              <w:rPr>
                <w:rFonts w:hint="eastAsia" w:ascii="宋体" w:hAnsi="宋体" w:cs="宋体"/>
                <w:kern w:val="0"/>
                <w:szCs w:val="21"/>
                <w:lang w:val="en-US" w:eastAsia="zh-CN"/>
              </w:rPr>
              <w:t>.</w:t>
            </w:r>
            <w:r>
              <w:rPr>
                <w:rFonts w:hint="eastAsia" w:ascii="宋体" w:hAnsi="宋体" w:cs="宋体"/>
                <w:kern w:val="0"/>
                <w:szCs w:val="21"/>
              </w:rPr>
              <w:t>不提供不得分。</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cs="宋体"/>
                <w:kern w:val="2"/>
                <w:sz w:val="21"/>
                <w:szCs w:val="21"/>
              </w:rPr>
            </w:pPr>
            <w:r>
              <w:rPr>
                <w:rFonts w:hint="eastAsia" w:cs="宋体"/>
                <w:kern w:val="2"/>
                <w:sz w:val="21"/>
                <w:szCs w:val="21"/>
                <w:lang w:val="en-US" w:eastAsia="zh-CN"/>
              </w:rPr>
              <w:t>6</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101" w:type="dxa"/>
            <w:vMerge w:val="continue"/>
            <w:tcBorders>
              <w:left w:val="single" w:color="auto" w:sz="4" w:space="0"/>
              <w:right w:val="single" w:color="auto" w:sz="4" w:space="0"/>
            </w:tcBorders>
            <w:noWrap w:val="0"/>
            <w:vAlign w:val="center"/>
          </w:tcPr>
          <w:p>
            <w:pPr>
              <w:pStyle w:val="7"/>
              <w:snapToGrid w:val="0"/>
              <w:spacing w:line="288" w:lineRule="auto"/>
              <w:rPr>
                <w:rFonts w:hint="eastAsia" w:cs="宋体"/>
                <w:kern w:val="2"/>
                <w:sz w:val="21"/>
                <w:szCs w:val="21"/>
              </w:rPr>
            </w:pPr>
          </w:p>
        </w:tc>
        <w:tc>
          <w:tcPr>
            <w:tcW w:w="850" w:type="dxa"/>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培训方案</w:t>
            </w:r>
          </w:p>
        </w:tc>
        <w:tc>
          <w:tcPr>
            <w:tcW w:w="7088" w:type="dxa"/>
            <w:tcBorders>
              <w:top w:val="single" w:color="auto" w:sz="4" w:space="0"/>
              <w:left w:val="single" w:color="auto" w:sz="4" w:space="0"/>
              <w:right w:val="single" w:color="auto" w:sz="4" w:space="0"/>
            </w:tcBorders>
            <w:noWrap w:val="0"/>
            <w:vAlign w:val="center"/>
          </w:tcPr>
          <w:p>
            <w:pPr>
              <w:pStyle w:val="7"/>
              <w:snapToGrid w:val="0"/>
              <w:spacing w:before="0" w:beforeAutospacing="0" w:after="0" w:afterAutospacing="0" w:line="288" w:lineRule="auto"/>
              <w:rPr>
                <w:rFonts w:hint="eastAsia" w:cs="宋体"/>
                <w:sz w:val="21"/>
                <w:szCs w:val="21"/>
              </w:rPr>
            </w:pPr>
            <w:r>
              <w:rPr>
                <w:rFonts w:hint="eastAsia" w:cs="宋体"/>
                <w:sz w:val="21"/>
                <w:szCs w:val="21"/>
              </w:rPr>
              <w:t>供应商应根据项目情况，拟定科学合理的培训方案。方案内容应至少包含培训内容、培训时间、培训场地及培训师资安排等内容。具体评分标准如下：</w:t>
            </w:r>
          </w:p>
          <w:p>
            <w:pPr>
              <w:spacing w:line="288" w:lineRule="auto"/>
              <w:jc w:val="left"/>
              <w:rPr>
                <w:rFonts w:hint="eastAsia" w:ascii="宋体" w:hAnsi="宋体" w:cs="宋体"/>
                <w:kern w:val="0"/>
                <w:szCs w:val="21"/>
              </w:rPr>
            </w:pPr>
            <w:r>
              <w:rPr>
                <w:rFonts w:hint="eastAsia" w:ascii="宋体" w:hAnsi="宋体" w:cs="宋体"/>
                <w:kern w:val="0"/>
                <w:szCs w:val="21"/>
              </w:rPr>
              <w:t>1</w:t>
            </w:r>
            <w:r>
              <w:rPr>
                <w:rFonts w:hint="eastAsia" w:ascii="宋体" w:hAnsi="宋体" w:cs="宋体"/>
                <w:kern w:val="0"/>
                <w:szCs w:val="21"/>
                <w:lang w:val="en-US" w:eastAsia="zh-CN"/>
              </w:rPr>
              <w:t>.</w:t>
            </w:r>
            <w:r>
              <w:rPr>
                <w:rFonts w:hint="eastAsia" w:ascii="宋体" w:hAnsi="宋体" w:cs="宋体"/>
                <w:kern w:val="0"/>
                <w:szCs w:val="21"/>
              </w:rPr>
              <w:t>培训方案内容非常齐全，条理非常清晰优得</w:t>
            </w:r>
            <w:r>
              <w:rPr>
                <w:rFonts w:hint="eastAsia" w:ascii="宋体" w:hAnsi="宋体" w:cs="宋体"/>
                <w:kern w:val="0"/>
                <w:szCs w:val="21"/>
                <w:lang w:val="en-US" w:eastAsia="zh-CN"/>
              </w:rPr>
              <w:t>5</w:t>
            </w:r>
            <w:r>
              <w:rPr>
                <w:rFonts w:hint="eastAsia" w:ascii="宋体" w:hAnsi="宋体" w:cs="宋体"/>
                <w:kern w:val="0"/>
                <w:szCs w:val="21"/>
              </w:rPr>
              <w:t>分；</w:t>
            </w:r>
          </w:p>
          <w:p>
            <w:pPr>
              <w:spacing w:line="288" w:lineRule="auto"/>
              <w:jc w:val="left"/>
              <w:rPr>
                <w:rFonts w:hint="eastAsia" w:ascii="宋体" w:hAnsi="宋体" w:cs="宋体"/>
                <w:kern w:val="0"/>
                <w:szCs w:val="21"/>
              </w:rPr>
            </w:pPr>
            <w:r>
              <w:rPr>
                <w:rFonts w:hint="eastAsia" w:ascii="宋体" w:hAnsi="宋体" w:cs="宋体"/>
                <w:kern w:val="0"/>
                <w:szCs w:val="21"/>
              </w:rPr>
              <w:t>2</w:t>
            </w:r>
            <w:r>
              <w:rPr>
                <w:rFonts w:hint="eastAsia" w:ascii="宋体" w:hAnsi="宋体" w:cs="宋体"/>
                <w:kern w:val="0"/>
                <w:szCs w:val="21"/>
                <w:lang w:val="en-US" w:eastAsia="zh-CN"/>
              </w:rPr>
              <w:t>.</w:t>
            </w:r>
            <w:r>
              <w:rPr>
                <w:rFonts w:hint="eastAsia" w:ascii="宋体" w:hAnsi="宋体" w:cs="宋体"/>
                <w:kern w:val="0"/>
                <w:szCs w:val="21"/>
              </w:rPr>
              <w:t>培训方案内容较齐全，条理较清晰得</w:t>
            </w:r>
            <w:r>
              <w:rPr>
                <w:rFonts w:hint="eastAsia" w:ascii="宋体" w:hAnsi="宋体" w:cs="宋体"/>
                <w:kern w:val="0"/>
                <w:szCs w:val="21"/>
                <w:lang w:val="en-US" w:eastAsia="zh-CN"/>
              </w:rPr>
              <w:t>3</w:t>
            </w:r>
            <w:r>
              <w:rPr>
                <w:rFonts w:hint="eastAsia" w:ascii="宋体" w:hAnsi="宋体" w:cs="宋体"/>
                <w:kern w:val="0"/>
                <w:szCs w:val="21"/>
              </w:rPr>
              <w:t>分；</w:t>
            </w:r>
          </w:p>
          <w:p>
            <w:pPr>
              <w:spacing w:line="288" w:lineRule="auto"/>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w:t>
            </w:r>
            <w:r>
              <w:rPr>
                <w:rFonts w:hint="eastAsia" w:ascii="宋体" w:hAnsi="宋体" w:cs="宋体"/>
                <w:kern w:val="0"/>
                <w:szCs w:val="21"/>
              </w:rPr>
              <w:t>培训方案内容欠缺，条理不太清晰得</w:t>
            </w:r>
            <w:r>
              <w:rPr>
                <w:rFonts w:hint="eastAsia" w:ascii="宋体" w:hAnsi="宋体" w:cs="宋体"/>
                <w:kern w:val="0"/>
                <w:szCs w:val="21"/>
                <w:lang w:val="en-US" w:eastAsia="zh-CN"/>
              </w:rPr>
              <w:t>2</w:t>
            </w:r>
            <w:r>
              <w:rPr>
                <w:rFonts w:hint="eastAsia" w:ascii="宋体" w:hAnsi="宋体" w:cs="宋体"/>
                <w:kern w:val="0"/>
                <w:szCs w:val="21"/>
              </w:rPr>
              <w:t>分；</w:t>
            </w:r>
          </w:p>
          <w:p>
            <w:pPr>
              <w:spacing w:line="288" w:lineRule="auto"/>
              <w:jc w:val="left"/>
              <w:rPr>
                <w:rFonts w:hint="eastAsia" w:cs="宋体"/>
                <w:szCs w:val="21"/>
              </w:rPr>
            </w:pPr>
            <w:r>
              <w:rPr>
                <w:rFonts w:hint="eastAsia" w:ascii="宋体" w:hAnsi="宋体" w:cs="宋体"/>
                <w:kern w:val="0"/>
                <w:szCs w:val="21"/>
              </w:rPr>
              <w:t>4</w:t>
            </w:r>
            <w:r>
              <w:rPr>
                <w:rFonts w:hint="eastAsia" w:ascii="宋体" w:hAnsi="宋体" w:cs="宋体"/>
                <w:kern w:val="0"/>
                <w:szCs w:val="21"/>
                <w:lang w:val="en-US" w:eastAsia="zh-CN"/>
              </w:rPr>
              <w:t>.</w:t>
            </w:r>
            <w:r>
              <w:rPr>
                <w:rFonts w:hint="eastAsia" w:ascii="宋体" w:hAnsi="宋体" w:cs="宋体"/>
                <w:kern w:val="0"/>
                <w:szCs w:val="21"/>
              </w:rPr>
              <w:t>不提供不得分。</w:t>
            </w:r>
          </w:p>
        </w:tc>
        <w:tc>
          <w:tcPr>
            <w:tcW w:w="850" w:type="dxa"/>
            <w:tcBorders>
              <w:top w:val="single" w:color="auto" w:sz="4" w:space="0"/>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lang w:val="en-US" w:eastAsia="zh-CN"/>
              </w:rPr>
              <w:t>5</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101" w:type="dxa"/>
            <w:vMerge w:val="continue"/>
            <w:tcBorders>
              <w:left w:val="single" w:color="auto" w:sz="4" w:space="0"/>
              <w:bottom w:val="single" w:color="auto" w:sz="4" w:space="0"/>
              <w:right w:val="single" w:color="auto" w:sz="4" w:space="0"/>
            </w:tcBorders>
            <w:noWrap w:val="0"/>
            <w:vAlign w:val="center"/>
          </w:tcPr>
          <w:p>
            <w:pPr>
              <w:pStyle w:val="7"/>
              <w:snapToGrid w:val="0"/>
              <w:spacing w:line="288" w:lineRule="auto"/>
              <w:rPr>
                <w:rFonts w:hint="eastAsia" w:cs="宋体"/>
                <w:kern w:val="2"/>
                <w:sz w:val="21"/>
                <w:szCs w:val="21"/>
              </w:rPr>
            </w:pPr>
          </w:p>
        </w:tc>
        <w:tc>
          <w:tcPr>
            <w:tcW w:w="850" w:type="dxa"/>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售后</w:t>
            </w:r>
            <w:r>
              <w:rPr>
                <w:rFonts w:cs="宋体"/>
                <w:kern w:val="2"/>
                <w:sz w:val="21"/>
                <w:szCs w:val="21"/>
              </w:rPr>
              <w:t>服务方案</w:t>
            </w:r>
          </w:p>
        </w:tc>
        <w:tc>
          <w:tcPr>
            <w:tcW w:w="7088" w:type="dxa"/>
            <w:tcBorders>
              <w:top w:val="single" w:color="auto" w:sz="4" w:space="0"/>
              <w:left w:val="single" w:color="auto" w:sz="4" w:space="0"/>
              <w:right w:val="single" w:color="auto" w:sz="4" w:space="0"/>
            </w:tcBorders>
            <w:noWrap w:val="0"/>
            <w:vAlign w:val="center"/>
          </w:tcPr>
          <w:p>
            <w:pPr>
              <w:pStyle w:val="7"/>
              <w:snapToGrid w:val="0"/>
              <w:spacing w:before="0" w:beforeAutospacing="0" w:after="0" w:afterAutospacing="0" w:line="288" w:lineRule="auto"/>
              <w:rPr>
                <w:rFonts w:cs="宋体"/>
                <w:sz w:val="21"/>
                <w:szCs w:val="21"/>
              </w:rPr>
            </w:pPr>
            <w:r>
              <w:rPr>
                <w:rFonts w:cs="宋体"/>
                <w:sz w:val="21"/>
                <w:szCs w:val="21"/>
              </w:rPr>
              <w:t>供应商</w:t>
            </w:r>
            <w:r>
              <w:rPr>
                <w:rFonts w:hint="eastAsia" w:cs="宋体"/>
                <w:sz w:val="21"/>
                <w:szCs w:val="21"/>
              </w:rPr>
              <w:t>根据项目情况，</w:t>
            </w:r>
            <w:r>
              <w:rPr>
                <w:rFonts w:cs="宋体"/>
                <w:sz w:val="21"/>
                <w:szCs w:val="21"/>
              </w:rPr>
              <w:t>明确售后服务的工作内容和响应时间</w:t>
            </w:r>
            <w:r>
              <w:rPr>
                <w:rFonts w:hint="eastAsia" w:cs="宋体"/>
                <w:sz w:val="21"/>
                <w:szCs w:val="21"/>
              </w:rPr>
              <w:t>，给出售后服务方案。具体评分标准如下：</w:t>
            </w:r>
          </w:p>
          <w:p>
            <w:pPr>
              <w:spacing w:line="288" w:lineRule="auto"/>
              <w:jc w:val="left"/>
              <w:rPr>
                <w:rFonts w:hint="eastAsia" w:ascii="宋体" w:hAnsi="宋体" w:cs="宋体"/>
                <w:kern w:val="0"/>
                <w:szCs w:val="21"/>
              </w:rPr>
            </w:pPr>
            <w:r>
              <w:rPr>
                <w:rFonts w:hint="eastAsia" w:ascii="宋体" w:hAnsi="宋体" w:cs="宋体"/>
                <w:kern w:val="0"/>
                <w:szCs w:val="21"/>
              </w:rPr>
              <w:t>1</w:t>
            </w:r>
            <w:r>
              <w:rPr>
                <w:rFonts w:hint="eastAsia" w:ascii="宋体" w:hAnsi="宋体" w:cs="宋体"/>
                <w:kern w:val="0"/>
                <w:szCs w:val="21"/>
                <w:lang w:val="en-US" w:eastAsia="zh-CN"/>
              </w:rPr>
              <w:t>.</w:t>
            </w:r>
            <w:r>
              <w:rPr>
                <w:rFonts w:hint="eastAsia" w:ascii="宋体" w:hAnsi="宋体" w:cs="宋体"/>
                <w:kern w:val="0"/>
                <w:szCs w:val="21"/>
              </w:rPr>
              <w:t>售后服务方案内容非常齐全，条理非常清晰优得</w:t>
            </w:r>
            <w:r>
              <w:rPr>
                <w:rFonts w:hint="eastAsia" w:ascii="宋体" w:hAnsi="宋体" w:cs="宋体"/>
                <w:kern w:val="0"/>
                <w:szCs w:val="21"/>
                <w:lang w:val="en-US" w:eastAsia="zh-CN"/>
              </w:rPr>
              <w:t>4</w:t>
            </w:r>
            <w:r>
              <w:rPr>
                <w:rFonts w:hint="eastAsia" w:ascii="宋体" w:hAnsi="宋体" w:cs="宋体"/>
                <w:kern w:val="0"/>
                <w:szCs w:val="21"/>
              </w:rPr>
              <w:t>分；</w:t>
            </w:r>
          </w:p>
          <w:p>
            <w:pPr>
              <w:spacing w:line="288" w:lineRule="auto"/>
              <w:jc w:val="left"/>
              <w:rPr>
                <w:rFonts w:hint="eastAsia" w:ascii="宋体" w:hAnsi="宋体" w:cs="宋体"/>
                <w:kern w:val="0"/>
                <w:szCs w:val="21"/>
              </w:rPr>
            </w:pPr>
            <w:r>
              <w:rPr>
                <w:rFonts w:hint="eastAsia" w:ascii="宋体" w:hAnsi="宋体" w:cs="宋体"/>
                <w:kern w:val="0"/>
                <w:szCs w:val="21"/>
              </w:rPr>
              <w:t>2</w:t>
            </w:r>
            <w:r>
              <w:rPr>
                <w:rFonts w:hint="eastAsia" w:ascii="宋体" w:hAnsi="宋体" w:cs="宋体"/>
                <w:kern w:val="0"/>
                <w:szCs w:val="21"/>
                <w:lang w:val="en-US" w:eastAsia="zh-CN"/>
              </w:rPr>
              <w:t>.</w:t>
            </w:r>
            <w:r>
              <w:rPr>
                <w:rFonts w:hint="eastAsia" w:ascii="宋体" w:hAnsi="宋体" w:cs="宋体"/>
                <w:kern w:val="0"/>
                <w:szCs w:val="21"/>
              </w:rPr>
              <w:t>售后服务方案内容较齐全，条理较清晰得</w:t>
            </w:r>
            <w:r>
              <w:rPr>
                <w:rFonts w:hint="default" w:ascii="宋体" w:hAnsi="宋体" w:cs="宋体"/>
                <w:kern w:val="0"/>
                <w:szCs w:val="21"/>
              </w:rPr>
              <w:t>2</w:t>
            </w:r>
            <w:r>
              <w:rPr>
                <w:rFonts w:hint="eastAsia" w:ascii="宋体" w:hAnsi="宋体" w:cs="宋体"/>
                <w:kern w:val="0"/>
                <w:szCs w:val="21"/>
              </w:rPr>
              <w:t>分；</w:t>
            </w:r>
          </w:p>
          <w:p>
            <w:pPr>
              <w:spacing w:line="288" w:lineRule="auto"/>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val="en-US" w:eastAsia="zh-CN"/>
              </w:rPr>
              <w:t>.</w:t>
            </w:r>
            <w:r>
              <w:rPr>
                <w:rFonts w:hint="eastAsia" w:ascii="宋体" w:hAnsi="宋体" w:cs="宋体"/>
                <w:kern w:val="0"/>
                <w:szCs w:val="21"/>
              </w:rPr>
              <w:t>售后服务方案内容欠缺，条理不太清晰得1分；</w:t>
            </w:r>
          </w:p>
          <w:p>
            <w:pPr>
              <w:spacing w:line="288" w:lineRule="auto"/>
              <w:jc w:val="left"/>
              <w:rPr>
                <w:rFonts w:cs="宋体"/>
                <w:szCs w:val="21"/>
              </w:rPr>
            </w:pPr>
            <w:r>
              <w:rPr>
                <w:rFonts w:hint="eastAsia" w:ascii="宋体" w:hAnsi="宋体" w:cs="宋体"/>
                <w:kern w:val="0"/>
                <w:szCs w:val="21"/>
              </w:rPr>
              <w:t>4</w:t>
            </w:r>
            <w:r>
              <w:rPr>
                <w:rFonts w:hint="eastAsia" w:ascii="宋体" w:hAnsi="宋体" w:cs="宋体"/>
                <w:kern w:val="0"/>
                <w:szCs w:val="21"/>
                <w:lang w:val="en-US" w:eastAsia="zh-CN"/>
              </w:rPr>
              <w:t>.</w:t>
            </w:r>
            <w:r>
              <w:rPr>
                <w:rFonts w:hint="eastAsia" w:ascii="宋体" w:hAnsi="宋体" w:cs="宋体"/>
                <w:kern w:val="0"/>
                <w:szCs w:val="21"/>
              </w:rPr>
              <w:t>不提供不得分。</w:t>
            </w:r>
          </w:p>
        </w:tc>
        <w:tc>
          <w:tcPr>
            <w:tcW w:w="850" w:type="dxa"/>
            <w:tcBorders>
              <w:top w:val="single" w:color="auto" w:sz="4" w:space="0"/>
              <w:left w:val="single" w:color="auto" w:sz="4" w:space="0"/>
              <w:right w:val="single" w:color="auto" w:sz="4" w:space="0"/>
            </w:tcBorders>
            <w:noWrap w:val="0"/>
            <w:vAlign w:val="center"/>
          </w:tcPr>
          <w:p>
            <w:pPr>
              <w:pStyle w:val="7"/>
              <w:snapToGrid w:val="0"/>
              <w:spacing w:line="288" w:lineRule="auto"/>
              <w:jc w:val="center"/>
              <w:rPr>
                <w:rFonts w:cs="宋体"/>
                <w:kern w:val="2"/>
                <w:sz w:val="21"/>
                <w:szCs w:val="21"/>
              </w:rPr>
            </w:pPr>
            <w:r>
              <w:rPr>
                <w:rFonts w:hint="eastAsia" w:cs="宋体"/>
                <w:kern w:val="2"/>
                <w:sz w:val="21"/>
                <w:szCs w:val="21"/>
                <w:lang w:val="en-US" w:eastAsia="zh-CN"/>
              </w:rPr>
              <w:t>4</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eastAsia" w:cs="宋体"/>
                <w:kern w:val="2"/>
                <w:sz w:val="21"/>
                <w:szCs w:val="21"/>
              </w:rPr>
              <w:t>商务部分（</w:t>
            </w:r>
            <w:r>
              <w:rPr>
                <w:rFonts w:hint="default" w:cs="宋体"/>
                <w:kern w:val="2"/>
                <w:sz w:val="21"/>
                <w:szCs w:val="21"/>
              </w:rPr>
              <w:t>20</w:t>
            </w:r>
            <w:r>
              <w:rPr>
                <w:rFonts w:hint="eastAsia" w:cs="宋体"/>
                <w:kern w:val="2"/>
                <w:sz w:val="21"/>
                <w:szCs w:val="21"/>
              </w:rPr>
              <w:t>分</w:t>
            </w:r>
            <w:r>
              <w:rPr>
                <w:rFonts w:cs="宋体"/>
                <w:kern w:val="2"/>
                <w:sz w:val="21"/>
                <w:szCs w:val="21"/>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before="0" w:beforeAutospacing="0" w:after="0" w:afterAutospacing="0" w:line="288" w:lineRule="auto"/>
              <w:jc w:val="center"/>
              <w:rPr>
                <w:rFonts w:hint="eastAsia" w:cs="宋体"/>
                <w:kern w:val="2"/>
                <w:sz w:val="21"/>
                <w:szCs w:val="21"/>
              </w:rPr>
            </w:pPr>
            <w:r>
              <w:rPr>
                <w:rFonts w:hint="eastAsia" w:cs="宋体"/>
                <w:kern w:val="2"/>
                <w:sz w:val="21"/>
                <w:szCs w:val="21"/>
              </w:rPr>
              <w:t>类似业绩</w:t>
            </w:r>
          </w:p>
        </w:tc>
        <w:tc>
          <w:tcPr>
            <w:tcW w:w="7088" w:type="dxa"/>
            <w:tcBorders>
              <w:top w:val="single" w:color="auto" w:sz="4" w:space="0"/>
              <w:left w:val="single" w:color="auto" w:sz="4" w:space="0"/>
              <w:bottom w:val="single" w:color="auto" w:sz="4" w:space="0"/>
              <w:right w:val="single" w:color="auto" w:sz="4" w:space="0"/>
            </w:tcBorders>
            <w:noWrap w:val="0"/>
            <w:vAlign w:val="center"/>
          </w:tcPr>
          <w:p>
            <w:pPr>
              <w:tabs>
                <w:tab w:val="left" w:pos="0"/>
              </w:tabs>
              <w:spacing w:line="288" w:lineRule="auto"/>
              <w:jc w:val="left"/>
              <w:rPr>
                <w:rFonts w:ascii="宋体" w:hAnsi="宋体" w:cs="仿宋_GB2312"/>
                <w:kern w:val="0"/>
                <w:szCs w:val="21"/>
              </w:rPr>
            </w:pPr>
            <w:r>
              <w:rPr>
                <w:rFonts w:hint="eastAsia" w:ascii="宋体" w:hAnsi="宋体" w:cs="仿宋_GB2312"/>
                <w:kern w:val="0"/>
                <w:szCs w:val="21"/>
              </w:rPr>
              <w:t>所投产品原厂商提供自</w:t>
            </w:r>
            <w:r>
              <w:rPr>
                <w:rFonts w:ascii="宋体" w:hAnsi="宋体" w:cs="仿宋_GB2312"/>
                <w:kern w:val="0"/>
                <w:szCs w:val="21"/>
              </w:rPr>
              <w:t>2019年1月1日以来（以合同签订时间为准）承接过于本项目类似</w:t>
            </w:r>
            <w:r>
              <w:rPr>
                <w:rFonts w:hint="eastAsia" w:ascii="宋体" w:hAnsi="宋体" w:cs="仿宋_GB2312"/>
                <w:kern w:val="0"/>
                <w:szCs w:val="21"/>
              </w:rPr>
              <w:t>（建设内容应包含“全国职业教育智慧大脑”、“数据上报”）</w:t>
            </w:r>
            <w:r>
              <w:rPr>
                <w:rFonts w:ascii="宋体" w:hAnsi="宋体" w:cs="仿宋_GB2312"/>
                <w:kern w:val="0"/>
                <w:szCs w:val="21"/>
              </w:rPr>
              <w:t>的应用案例，每提供一份得</w:t>
            </w:r>
            <w:r>
              <w:rPr>
                <w:rFonts w:hint="default" w:ascii="宋体" w:hAnsi="宋体" w:cs="仿宋_GB2312"/>
                <w:kern w:val="0"/>
                <w:szCs w:val="21"/>
              </w:rPr>
              <w:t>2</w:t>
            </w:r>
            <w:r>
              <w:rPr>
                <w:rFonts w:ascii="宋体" w:hAnsi="宋体" w:cs="仿宋_GB2312"/>
                <w:kern w:val="0"/>
                <w:szCs w:val="21"/>
              </w:rPr>
              <w:t>分，满分</w:t>
            </w:r>
            <w:r>
              <w:rPr>
                <w:rFonts w:hint="default" w:ascii="宋体" w:hAnsi="宋体" w:cs="仿宋_GB2312"/>
                <w:kern w:val="0"/>
                <w:szCs w:val="21"/>
              </w:rPr>
              <w:t>4</w:t>
            </w:r>
            <w:r>
              <w:rPr>
                <w:rFonts w:ascii="宋体" w:hAnsi="宋体" w:cs="仿宋_GB2312"/>
                <w:kern w:val="0"/>
                <w:szCs w:val="21"/>
              </w:rPr>
              <w:t>分。</w:t>
            </w:r>
          </w:p>
          <w:p>
            <w:pPr>
              <w:pStyle w:val="2"/>
              <w:spacing w:line="288" w:lineRule="auto"/>
              <w:rPr>
                <w:rFonts w:hint="eastAsia" w:cs="宋体"/>
                <w:b w:val="0"/>
                <w:bCs/>
                <w:kern w:val="0"/>
                <w:sz w:val="21"/>
                <w:szCs w:val="21"/>
              </w:rPr>
            </w:pPr>
            <w:r>
              <w:rPr>
                <w:rFonts w:hint="eastAsia"/>
                <w:b w:val="0"/>
                <w:color w:val="000000"/>
                <w:sz w:val="21"/>
                <w:szCs w:val="21"/>
              </w:rPr>
              <w:t>注：</w:t>
            </w:r>
            <w:r>
              <w:rPr>
                <w:b w:val="0"/>
                <w:color w:val="000000"/>
                <w:sz w:val="21"/>
                <w:szCs w:val="21"/>
              </w:rPr>
              <w:t>须提供合同复印件</w:t>
            </w:r>
            <w:r>
              <w:rPr>
                <w:rFonts w:hint="eastAsia"/>
                <w:b w:val="0"/>
                <w:color w:val="000000"/>
                <w:sz w:val="21"/>
                <w:szCs w:val="21"/>
              </w:rPr>
              <w:t>并</w:t>
            </w:r>
            <w:r>
              <w:rPr>
                <w:b w:val="0"/>
                <w:color w:val="000000"/>
                <w:sz w:val="21"/>
                <w:szCs w:val="21"/>
              </w:rPr>
              <w:t>加盖</w:t>
            </w:r>
            <w:r>
              <w:rPr>
                <w:rFonts w:hint="eastAsia"/>
                <w:b w:val="0"/>
                <w:color w:val="000000"/>
                <w:sz w:val="21"/>
                <w:szCs w:val="21"/>
              </w:rPr>
              <w:t>供应商</w:t>
            </w:r>
            <w:r>
              <w:rPr>
                <w:b w:val="0"/>
                <w:color w:val="000000"/>
                <w:sz w:val="21"/>
                <w:szCs w:val="21"/>
              </w:rPr>
              <w:t>公章，合同内容至少包含合同首页、清单页、签字页，不提供或所提供的业绩不符合要求的不得分。</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r>
              <w:rPr>
                <w:rFonts w:hint="default" w:cs="宋体"/>
                <w:kern w:val="2"/>
                <w:sz w:val="21"/>
                <w:szCs w:val="21"/>
              </w:rPr>
              <w:t>4</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101" w:type="dxa"/>
            <w:vMerge w:val="continue"/>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p>
        </w:tc>
        <w:tc>
          <w:tcPr>
            <w:tcW w:w="850" w:type="dxa"/>
            <w:tcBorders>
              <w:top w:val="single" w:color="auto" w:sz="4" w:space="0"/>
              <w:left w:val="single" w:color="auto" w:sz="4" w:space="0"/>
              <w:right w:val="single" w:color="auto" w:sz="4" w:space="0"/>
            </w:tcBorders>
            <w:noWrap w:val="0"/>
            <w:vAlign w:val="center"/>
          </w:tcPr>
          <w:p>
            <w:pPr>
              <w:pStyle w:val="7"/>
              <w:snapToGrid w:val="0"/>
              <w:spacing w:line="288" w:lineRule="auto"/>
              <w:jc w:val="center"/>
              <w:rPr>
                <w:rFonts w:hint="eastAsia" w:cs="仿宋_GB2312"/>
                <w:kern w:val="2"/>
                <w:sz w:val="21"/>
                <w:szCs w:val="21"/>
              </w:rPr>
            </w:pPr>
            <w:r>
              <w:rPr>
                <w:rFonts w:hint="eastAsia" w:cs="仿宋_GB2312"/>
                <w:kern w:val="2"/>
                <w:sz w:val="21"/>
                <w:szCs w:val="21"/>
              </w:rPr>
              <w:t>产品成熟度</w:t>
            </w:r>
          </w:p>
        </w:tc>
        <w:tc>
          <w:tcPr>
            <w:tcW w:w="7088" w:type="dxa"/>
            <w:tcBorders>
              <w:top w:val="single" w:color="auto" w:sz="4" w:space="0"/>
              <w:left w:val="single" w:color="auto" w:sz="4" w:space="0"/>
              <w:bottom w:val="single" w:color="auto" w:sz="4" w:space="0"/>
              <w:right w:val="single" w:color="auto" w:sz="4" w:space="0"/>
            </w:tcBorders>
            <w:noWrap w:val="0"/>
            <w:vAlign w:val="center"/>
          </w:tcPr>
          <w:p>
            <w:pPr>
              <w:pStyle w:val="14"/>
              <w:spacing w:before="1" w:line="264" w:lineRule="auto"/>
              <w:ind w:right="95"/>
              <w:jc w:val="both"/>
              <w:rPr>
                <w:rFonts w:hint="eastAsia"/>
                <w:color w:val="000000"/>
                <w:kern w:val="2"/>
                <w:sz w:val="21"/>
                <w:szCs w:val="21"/>
                <w:lang w:val="en-US" w:bidi="ar-SA"/>
              </w:rPr>
            </w:pPr>
            <w:r>
              <w:rPr>
                <w:rFonts w:hint="eastAsia"/>
                <w:color w:val="000000"/>
                <w:kern w:val="2"/>
                <w:sz w:val="21"/>
                <w:szCs w:val="21"/>
                <w:lang w:val="en-US" w:eastAsia="zh-Hans" w:bidi="ar-SA"/>
              </w:rPr>
              <w:t>供应商</w:t>
            </w:r>
            <w:r>
              <w:rPr>
                <w:rFonts w:hint="eastAsia"/>
                <w:color w:val="000000"/>
                <w:kern w:val="2"/>
                <w:sz w:val="21"/>
                <w:szCs w:val="21"/>
                <w:lang w:val="en-US" w:bidi="ar-SA"/>
              </w:rPr>
              <w:t>提供数据集成类、数据填报类、数据服务类软著，</w:t>
            </w:r>
            <w:r>
              <w:rPr>
                <w:rFonts w:hint="eastAsia"/>
                <w:color w:val="000000"/>
                <w:szCs w:val="21"/>
              </w:rPr>
              <w:t>每提供一项得</w:t>
            </w:r>
            <w:r>
              <w:rPr>
                <w:color w:val="000000"/>
                <w:szCs w:val="21"/>
              </w:rPr>
              <w:t>1</w:t>
            </w:r>
            <w:r>
              <w:rPr>
                <w:rFonts w:hint="eastAsia"/>
                <w:color w:val="000000"/>
                <w:szCs w:val="21"/>
              </w:rPr>
              <w:t>分</w:t>
            </w:r>
            <w:r>
              <w:rPr>
                <w:color w:val="000000"/>
                <w:szCs w:val="21"/>
              </w:rPr>
              <w:t>，</w:t>
            </w:r>
            <w:r>
              <w:rPr>
                <w:rFonts w:hint="eastAsia"/>
                <w:color w:val="000000"/>
                <w:szCs w:val="21"/>
              </w:rPr>
              <w:t>满分得</w:t>
            </w:r>
            <w:r>
              <w:rPr>
                <w:color w:val="000000"/>
                <w:szCs w:val="21"/>
              </w:rPr>
              <w:t>3</w:t>
            </w:r>
            <w:r>
              <w:rPr>
                <w:rFonts w:hint="eastAsia"/>
                <w:color w:val="000000"/>
                <w:szCs w:val="21"/>
              </w:rPr>
              <w:t>分</w:t>
            </w:r>
            <w:r>
              <w:rPr>
                <w:rFonts w:hint="eastAsia"/>
                <w:color w:val="000000"/>
                <w:kern w:val="2"/>
                <w:sz w:val="21"/>
                <w:szCs w:val="21"/>
                <w:lang w:val="en-US" w:bidi="ar-SA"/>
              </w:rPr>
              <w:t>，不提供或提供不全不得分</w:t>
            </w:r>
            <w:r>
              <w:rPr>
                <w:rFonts w:hint="eastAsia"/>
                <w:color w:val="000000"/>
                <w:sz w:val="21"/>
                <w:szCs w:val="21"/>
              </w:rPr>
              <w:t>。以上证书</w:t>
            </w:r>
            <w:r>
              <w:rPr>
                <w:color w:val="000000"/>
                <w:sz w:val="21"/>
                <w:szCs w:val="21"/>
              </w:rPr>
              <w:t>复印件须</w:t>
            </w:r>
            <w:r>
              <w:rPr>
                <w:rFonts w:hint="eastAsia"/>
                <w:color w:val="000000"/>
                <w:sz w:val="21"/>
                <w:szCs w:val="21"/>
              </w:rPr>
              <w:t>加盖供应商公章。</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cs="宋体"/>
                <w:kern w:val="2"/>
                <w:sz w:val="21"/>
                <w:szCs w:val="21"/>
              </w:rPr>
            </w:pPr>
            <w:r>
              <w:rPr>
                <w:rFonts w:cs="宋体"/>
                <w:kern w:val="2"/>
                <w:sz w:val="21"/>
                <w:szCs w:val="21"/>
              </w:rPr>
              <w:t>3</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101" w:type="dxa"/>
            <w:vMerge w:val="continue"/>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p>
        </w:tc>
        <w:tc>
          <w:tcPr>
            <w:tcW w:w="850" w:type="dxa"/>
            <w:tcBorders>
              <w:top w:val="single" w:color="auto" w:sz="4" w:space="0"/>
              <w:left w:val="single" w:color="auto" w:sz="4" w:space="0"/>
              <w:right w:val="single" w:color="auto" w:sz="4" w:space="0"/>
            </w:tcBorders>
            <w:noWrap w:val="0"/>
            <w:vAlign w:val="center"/>
          </w:tcPr>
          <w:p>
            <w:pPr>
              <w:pStyle w:val="7"/>
              <w:snapToGrid w:val="0"/>
              <w:spacing w:line="288" w:lineRule="auto"/>
              <w:jc w:val="center"/>
              <w:rPr>
                <w:rFonts w:hint="default" w:eastAsia="宋体" w:cs="仿宋_GB2312"/>
                <w:kern w:val="2"/>
                <w:sz w:val="21"/>
                <w:szCs w:val="21"/>
                <w:lang w:val="en-US" w:eastAsia="zh-Hans"/>
              </w:rPr>
            </w:pPr>
            <w:r>
              <w:rPr>
                <w:rFonts w:hint="eastAsia" w:cs="仿宋_GB2312"/>
                <w:kern w:val="2"/>
                <w:sz w:val="21"/>
                <w:szCs w:val="21"/>
                <w:lang w:val="en-US" w:eastAsia="zh-Hans"/>
              </w:rPr>
              <w:t>产品性能</w:t>
            </w:r>
          </w:p>
        </w:tc>
        <w:tc>
          <w:tcPr>
            <w:tcW w:w="7088" w:type="dxa"/>
            <w:tcBorders>
              <w:top w:val="single" w:color="auto" w:sz="4" w:space="0"/>
              <w:left w:val="single" w:color="auto" w:sz="4" w:space="0"/>
              <w:bottom w:val="single" w:color="auto" w:sz="4" w:space="0"/>
              <w:right w:val="single" w:color="auto" w:sz="4" w:space="0"/>
            </w:tcBorders>
            <w:noWrap w:val="0"/>
            <w:vAlign w:val="center"/>
          </w:tcPr>
          <w:p>
            <w:pPr>
              <w:pStyle w:val="14"/>
              <w:spacing w:before="1" w:line="264" w:lineRule="auto"/>
              <w:ind w:right="95"/>
              <w:jc w:val="both"/>
              <w:rPr>
                <w:rFonts w:hint="eastAsia"/>
                <w:color w:val="000000"/>
                <w:kern w:val="2"/>
                <w:sz w:val="21"/>
                <w:szCs w:val="21"/>
                <w:lang w:val="en-US" w:bidi="ar-SA"/>
              </w:rPr>
            </w:pPr>
            <w:r>
              <w:rPr>
                <w:rFonts w:hint="eastAsia" w:ascii="宋体" w:hAnsi="宋体" w:eastAsia="宋体" w:cs="仿宋_GB2312"/>
                <w:kern w:val="0"/>
                <w:szCs w:val="21"/>
              </w:rPr>
              <w:t>供应商提供的</w:t>
            </w:r>
            <w:r>
              <w:rPr>
                <w:rFonts w:hint="eastAsia" w:eastAsia="宋体" w:cs="仿宋_GB2312"/>
                <w:kern w:val="0"/>
                <w:szCs w:val="21"/>
                <w:lang w:val="en-US" w:eastAsia="zh-Hans"/>
              </w:rPr>
              <w:t>智慧大脑上报平台或</w:t>
            </w:r>
            <w:r>
              <w:rPr>
                <w:rFonts w:hint="eastAsia" w:ascii="宋体" w:hAnsi="宋体" w:eastAsia="宋体" w:cs="仿宋_GB2312"/>
                <w:kern w:val="0"/>
                <w:szCs w:val="21"/>
              </w:rPr>
              <w:t>表单数据服务</w:t>
            </w:r>
            <w:r>
              <w:rPr>
                <w:rFonts w:hint="eastAsia" w:eastAsia="宋体" w:cs="仿宋_GB2312"/>
                <w:kern w:val="0"/>
                <w:szCs w:val="21"/>
                <w:lang w:val="en-US" w:eastAsia="zh-Hans"/>
              </w:rPr>
              <w:t>平台</w:t>
            </w:r>
            <w:r>
              <w:rPr>
                <w:rFonts w:hint="eastAsia" w:ascii="宋体" w:hAnsi="宋体" w:eastAsia="宋体" w:cs="仿宋_GB2312"/>
                <w:kern w:val="0"/>
                <w:szCs w:val="21"/>
              </w:rPr>
              <w:t>具有</w:t>
            </w:r>
            <w:r>
              <w:rPr>
                <w:rFonts w:ascii="宋体" w:hAnsi="宋体" w:eastAsia="宋体" w:cs="仿宋_GB2312"/>
                <w:kern w:val="0"/>
                <w:szCs w:val="21"/>
              </w:rPr>
              <w:t>CNAS标识或CMA标识的第三方软件评测机构出具的软件测评报告（测评委托单位须为供应商）得3分。（须提供</w:t>
            </w:r>
            <w:r>
              <w:rPr>
                <w:rFonts w:hint="eastAsia" w:eastAsia="宋体" w:cs="仿宋_GB2312"/>
                <w:kern w:val="0"/>
                <w:szCs w:val="21"/>
                <w:lang w:val="en-US" w:eastAsia="zh-Hans"/>
              </w:rPr>
              <w:t>智慧大脑上报平台或</w:t>
            </w:r>
            <w:r>
              <w:rPr>
                <w:rFonts w:hint="eastAsia" w:ascii="宋体" w:hAnsi="宋体" w:eastAsia="宋体" w:cs="仿宋_GB2312"/>
                <w:kern w:val="0"/>
                <w:szCs w:val="21"/>
              </w:rPr>
              <w:t>表单数据服务平台</w:t>
            </w:r>
            <w:r>
              <w:rPr>
                <w:rFonts w:ascii="宋体" w:hAnsi="宋体" w:eastAsia="宋体" w:cs="仿宋_GB2312"/>
                <w:kern w:val="0"/>
                <w:szCs w:val="21"/>
              </w:rPr>
              <w:t>软件测评报告复印件、对应平台的软著并加盖供应商公章）</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eastAsia="宋体" w:cs="宋体"/>
                <w:kern w:val="2"/>
                <w:sz w:val="21"/>
                <w:szCs w:val="21"/>
                <w:lang w:val="en-US" w:eastAsia="zh-Hans"/>
              </w:rPr>
            </w:pPr>
            <w:r>
              <w:rPr>
                <w:rFonts w:hint="default" w:cs="宋体"/>
                <w:kern w:val="2"/>
                <w:sz w:val="21"/>
                <w:szCs w:val="21"/>
              </w:rPr>
              <w:t>3</w:t>
            </w:r>
            <w:r>
              <w:rPr>
                <w:rFonts w:hint="eastAsia" w:cs="宋体"/>
                <w:kern w:val="2"/>
                <w:sz w:val="21"/>
                <w:szCs w:val="21"/>
                <w:lang w:val="en-US" w:eastAsia="zh-Han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101" w:type="dxa"/>
            <w:vMerge w:val="continue"/>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cs="仿宋_GB2312"/>
                <w:kern w:val="2"/>
                <w:sz w:val="21"/>
                <w:szCs w:val="21"/>
                <w:highlight w:val="yellow"/>
              </w:rPr>
            </w:pPr>
            <w:r>
              <w:rPr>
                <w:rFonts w:hint="eastAsia" w:cs="仿宋_GB2312"/>
                <w:kern w:val="2"/>
                <w:sz w:val="21"/>
                <w:szCs w:val="21"/>
              </w:rPr>
              <w:t>企业资质</w:t>
            </w:r>
          </w:p>
        </w:tc>
        <w:tc>
          <w:tcPr>
            <w:tcW w:w="7088"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ascii="宋体" w:hAnsi="宋体" w:cs="仿宋_GB2312"/>
                <w:kern w:val="0"/>
                <w:szCs w:val="21"/>
                <w:highlight w:val="yellow"/>
              </w:rPr>
            </w:pPr>
            <w:r>
              <w:rPr>
                <w:rFonts w:hint="eastAsia" w:ascii="宋体" w:hAnsi="宋体"/>
                <w:color w:val="000000"/>
                <w:szCs w:val="21"/>
              </w:rPr>
              <w:t>供应商提供有效的</w:t>
            </w:r>
            <w:r>
              <w:rPr>
                <w:rFonts w:ascii="宋体" w:hAnsi="宋体"/>
                <w:color w:val="000000"/>
                <w:szCs w:val="21"/>
              </w:rPr>
              <w:t>质量管理体系认证证书</w:t>
            </w:r>
            <w:r>
              <w:rPr>
                <w:rFonts w:hint="eastAsia" w:ascii="宋体" w:hAnsi="宋体"/>
                <w:color w:val="000000"/>
                <w:szCs w:val="21"/>
              </w:rPr>
              <w:t>、</w:t>
            </w:r>
            <w:r>
              <w:rPr>
                <w:rFonts w:ascii="宋体" w:hAnsi="宋体"/>
                <w:color w:val="000000"/>
                <w:szCs w:val="21"/>
              </w:rPr>
              <w:t>知识产权管理体系认证证书</w:t>
            </w:r>
            <w:r>
              <w:rPr>
                <w:rFonts w:hint="eastAsia" w:ascii="宋体" w:hAnsi="宋体"/>
                <w:color w:val="000000"/>
                <w:szCs w:val="21"/>
              </w:rPr>
              <w:t>、</w:t>
            </w:r>
            <w:r>
              <w:rPr>
                <w:rFonts w:ascii="宋体" w:hAnsi="宋体"/>
                <w:color w:val="000000"/>
                <w:szCs w:val="21"/>
              </w:rPr>
              <w:t>服务管理体系认证证书</w:t>
            </w:r>
            <w:r>
              <w:rPr>
                <w:rFonts w:hint="eastAsia" w:ascii="宋体" w:hAnsi="宋体"/>
                <w:color w:val="000000"/>
                <w:szCs w:val="21"/>
              </w:rPr>
              <w:t>、职业健康安全管理体系认证证书</w:t>
            </w:r>
            <w:r>
              <w:rPr>
                <w:rFonts w:ascii="宋体" w:hAnsi="宋体"/>
                <w:color w:val="000000"/>
                <w:szCs w:val="21"/>
              </w:rPr>
              <w:t>，</w:t>
            </w:r>
            <w:r>
              <w:rPr>
                <w:rFonts w:hint="eastAsia" w:ascii="宋体" w:hAnsi="宋体"/>
                <w:color w:val="000000"/>
                <w:szCs w:val="21"/>
              </w:rPr>
              <w:t>每提供一项得</w:t>
            </w:r>
            <w:r>
              <w:rPr>
                <w:rFonts w:ascii="宋体" w:hAnsi="宋体"/>
                <w:color w:val="000000"/>
                <w:szCs w:val="21"/>
              </w:rPr>
              <w:t>0.5</w:t>
            </w:r>
            <w:r>
              <w:rPr>
                <w:rFonts w:hint="eastAsia" w:ascii="宋体" w:hAnsi="宋体"/>
                <w:color w:val="000000"/>
                <w:szCs w:val="21"/>
              </w:rPr>
              <w:t>分</w:t>
            </w:r>
            <w:r>
              <w:rPr>
                <w:rFonts w:ascii="宋体" w:hAnsi="宋体"/>
                <w:color w:val="000000"/>
                <w:szCs w:val="21"/>
              </w:rPr>
              <w:t>，</w:t>
            </w:r>
            <w:r>
              <w:rPr>
                <w:rFonts w:hint="eastAsia" w:ascii="宋体" w:hAnsi="宋体"/>
                <w:color w:val="000000"/>
                <w:szCs w:val="21"/>
              </w:rPr>
              <w:t>满分得</w:t>
            </w:r>
            <w:r>
              <w:rPr>
                <w:rFonts w:ascii="宋体" w:hAnsi="宋体"/>
                <w:color w:val="000000"/>
                <w:szCs w:val="21"/>
              </w:rPr>
              <w:t>2</w:t>
            </w:r>
            <w:r>
              <w:rPr>
                <w:rFonts w:hint="eastAsia" w:ascii="宋体" w:hAnsi="宋体"/>
                <w:color w:val="000000"/>
                <w:szCs w:val="21"/>
              </w:rPr>
              <w:t>分</w:t>
            </w:r>
            <w:r>
              <w:rPr>
                <w:rFonts w:ascii="宋体" w:hAnsi="宋体"/>
                <w:color w:val="000000"/>
                <w:szCs w:val="21"/>
              </w:rPr>
              <w:t>。认证证书除证书复印件加盖供应商公章外，须提供证书在中国认证认可委员会认证认可业务信息统一查询平台（网址 http://cx.cnca.cn）查询结果打印件，并加盖供应商公章。未</w:t>
            </w:r>
            <w:r>
              <w:rPr>
                <w:rFonts w:hint="eastAsia" w:ascii="宋体" w:hAnsi="宋体"/>
                <w:color w:val="000000"/>
                <w:szCs w:val="21"/>
              </w:rPr>
              <w:t>提供或提供材料不齐全不给分。</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highlight w:val="yellow"/>
              </w:rPr>
            </w:pPr>
            <w:r>
              <w:rPr>
                <w:rFonts w:cs="宋体"/>
                <w:kern w:val="2"/>
                <w:sz w:val="21"/>
                <w:szCs w:val="21"/>
              </w:rPr>
              <w:t>2</w:t>
            </w:r>
            <w:r>
              <w:rPr>
                <w:rFonts w:hint="eastAsia" w:cs="宋体"/>
                <w:kern w:val="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1101" w:type="dxa"/>
            <w:vMerge w:val="continue"/>
            <w:tcBorders>
              <w:left w:val="single" w:color="auto" w:sz="4" w:space="0"/>
              <w:right w:val="single" w:color="auto" w:sz="4" w:space="0"/>
            </w:tcBorders>
            <w:noWrap w:val="0"/>
            <w:vAlign w:val="center"/>
          </w:tcPr>
          <w:p>
            <w:pPr>
              <w:pStyle w:val="7"/>
              <w:snapToGrid w:val="0"/>
              <w:spacing w:line="288" w:lineRule="auto"/>
              <w:jc w:val="center"/>
              <w:rPr>
                <w:rFonts w:hint="eastAsia" w:cs="宋体"/>
                <w:kern w:val="2"/>
                <w:sz w:val="21"/>
                <w:szCs w:val="21"/>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before="0" w:beforeAutospacing="0" w:after="0" w:afterAutospacing="0" w:line="288" w:lineRule="auto"/>
              <w:jc w:val="center"/>
              <w:rPr>
                <w:rFonts w:hint="eastAsia" w:cs="宋体"/>
                <w:kern w:val="2"/>
                <w:sz w:val="21"/>
                <w:szCs w:val="21"/>
              </w:rPr>
            </w:pPr>
            <w:r>
              <w:rPr>
                <w:rFonts w:hint="eastAsia" w:cs="宋体"/>
                <w:kern w:val="2"/>
                <w:sz w:val="21"/>
                <w:szCs w:val="21"/>
              </w:rPr>
              <w:t>现场</w:t>
            </w:r>
            <w:r>
              <w:rPr>
                <w:rFonts w:cs="宋体"/>
                <w:kern w:val="2"/>
                <w:sz w:val="21"/>
                <w:szCs w:val="21"/>
              </w:rPr>
              <w:t>实施人员</w:t>
            </w:r>
            <w:r>
              <w:rPr>
                <w:rFonts w:hint="eastAsia" w:cs="宋体"/>
                <w:kern w:val="2"/>
                <w:sz w:val="21"/>
                <w:szCs w:val="21"/>
              </w:rPr>
              <w:t>能力</w:t>
            </w:r>
          </w:p>
        </w:tc>
        <w:tc>
          <w:tcPr>
            <w:tcW w:w="7088"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仿宋_GB2312"/>
                <w:kern w:val="0"/>
                <w:szCs w:val="21"/>
              </w:rPr>
            </w:pPr>
            <w:r>
              <w:rPr>
                <w:rFonts w:hint="eastAsia" w:ascii="宋体" w:hAnsi="宋体" w:cs="仿宋_GB2312"/>
                <w:kern w:val="0"/>
                <w:szCs w:val="21"/>
              </w:rPr>
              <w:t>1</w:t>
            </w:r>
            <w:r>
              <w:rPr>
                <w:rFonts w:hint="eastAsia" w:ascii="宋体" w:hAnsi="宋体" w:cs="仿宋_GB2312"/>
                <w:kern w:val="0"/>
                <w:szCs w:val="21"/>
                <w:lang w:val="en-US" w:eastAsia="zh-CN"/>
              </w:rPr>
              <w:t>.</w:t>
            </w:r>
            <w:r>
              <w:rPr>
                <w:rFonts w:hint="eastAsia" w:ascii="宋体" w:hAnsi="宋体" w:cs="仿宋_GB2312"/>
                <w:kern w:val="0"/>
                <w:szCs w:val="21"/>
              </w:rPr>
              <w:t>所投产品原厂商拟派负责本项目的项目</w:t>
            </w:r>
            <w:r>
              <w:rPr>
                <w:rFonts w:ascii="宋体" w:hAnsi="宋体" w:cs="仿宋_GB2312"/>
                <w:kern w:val="0"/>
                <w:szCs w:val="21"/>
              </w:rPr>
              <w:t>经理</w:t>
            </w:r>
            <w:r>
              <w:rPr>
                <w:rFonts w:hint="eastAsia" w:ascii="宋体" w:hAnsi="宋体" w:cs="仿宋_GB2312"/>
                <w:kern w:val="0"/>
                <w:szCs w:val="21"/>
              </w:rPr>
              <w:t>具备由工业和信息化部教育与考试中心颁发的：</w:t>
            </w:r>
            <w:r>
              <w:rPr>
                <w:rFonts w:hint="eastAsia" w:ascii="宋体" w:hAnsi="宋体" w:cs="仿宋_GB2312"/>
                <w:kern w:val="0"/>
                <w:szCs w:val="21"/>
                <w:lang w:eastAsia="zh-CN"/>
              </w:rPr>
              <w:t>（</w:t>
            </w:r>
            <w:r>
              <w:rPr>
                <w:rFonts w:hint="eastAsia" w:ascii="宋体" w:hAnsi="宋体" w:cs="仿宋_GB2312"/>
                <w:kern w:val="0"/>
                <w:szCs w:val="21"/>
                <w:lang w:val="en-US" w:eastAsia="zh-CN"/>
              </w:rPr>
              <w:t>1</w:t>
            </w:r>
            <w:r>
              <w:rPr>
                <w:rFonts w:hint="eastAsia" w:ascii="宋体" w:hAnsi="宋体" w:cs="仿宋_GB2312"/>
                <w:kern w:val="0"/>
                <w:szCs w:val="21"/>
                <w:lang w:eastAsia="zh-CN"/>
              </w:rPr>
              <w:t>）</w:t>
            </w:r>
            <w:r>
              <w:rPr>
                <w:rFonts w:hint="eastAsia" w:ascii="宋体" w:hAnsi="宋体" w:cs="仿宋_GB2312"/>
                <w:kern w:val="0"/>
                <w:szCs w:val="21"/>
              </w:rPr>
              <w:t>“高级信息安全管理工程师”；</w:t>
            </w:r>
            <w:r>
              <w:rPr>
                <w:rFonts w:hint="eastAsia" w:ascii="宋体" w:hAnsi="宋体" w:cs="仿宋_GB2312"/>
                <w:kern w:val="0"/>
                <w:szCs w:val="21"/>
                <w:lang w:eastAsia="zh-CN"/>
              </w:rPr>
              <w:t>（</w:t>
            </w:r>
            <w:r>
              <w:rPr>
                <w:rFonts w:hint="eastAsia" w:ascii="宋体" w:hAnsi="宋体" w:cs="仿宋_GB2312"/>
                <w:kern w:val="0"/>
                <w:szCs w:val="21"/>
                <w:lang w:val="en-US" w:eastAsia="zh-CN"/>
              </w:rPr>
              <w:t>2</w:t>
            </w:r>
            <w:r>
              <w:rPr>
                <w:rFonts w:hint="eastAsia" w:ascii="宋体" w:hAnsi="宋体" w:cs="仿宋_GB2312"/>
                <w:kern w:val="0"/>
                <w:szCs w:val="21"/>
                <w:lang w:eastAsia="zh-CN"/>
              </w:rPr>
              <w:t>）</w:t>
            </w:r>
            <w:r>
              <w:rPr>
                <w:rFonts w:hint="eastAsia" w:ascii="宋体" w:hAnsi="宋体" w:cs="仿宋_GB2312"/>
                <w:kern w:val="0"/>
                <w:szCs w:val="21"/>
              </w:rPr>
              <w:t>“数据库管理工程师”；</w:t>
            </w:r>
            <w:r>
              <w:rPr>
                <w:rFonts w:hint="eastAsia" w:ascii="宋体" w:hAnsi="宋体" w:cs="仿宋_GB2312"/>
                <w:kern w:val="0"/>
                <w:szCs w:val="21"/>
                <w:lang w:eastAsia="zh-CN"/>
              </w:rPr>
              <w:t>（</w:t>
            </w:r>
            <w:r>
              <w:rPr>
                <w:rFonts w:hint="eastAsia" w:ascii="宋体" w:hAnsi="宋体" w:cs="仿宋_GB2312"/>
                <w:kern w:val="0"/>
                <w:szCs w:val="21"/>
                <w:lang w:val="en-US" w:eastAsia="zh-CN"/>
              </w:rPr>
              <w:t>3</w:t>
            </w:r>
            <w:r>
              <w:rPr>
                <w:rFonts w:hint="eastAsia" w:ascii="宋体" w:hAnsi="宋体" w:cs="仿宋_GB2312"/>
                <w:kern w:val="0"/>
                <w:szCs w:val="21"/>
                <w:lang w:eastAsia="zh-CN"/>
              </w:rPr>
              <w:t>）</w:t>
            </w:r>
            <w:r>
              <w:rPr>
                <w:rFonts w:hint="eastAsia" w:ascii="宋体" w:hAnsi="宋体" w:cs="仿宋_GB2312"/>
                <w:kern w:val="0"/>
                <w:szCs w:val="21"/>
              </w:rPr>
              <w:t>“DCMM注册数据管理师”；</w:t>
            </w:r>
            <w:r>
              <w:rPr>
                <w:rFonts w:hint="eastAsia" w:ascii="宋体" w:hAnsi="宋体" w:cs="仿宋_GB2312"/>
                <w:kern w:val="0"/>
                <w:szCs w:val="21"/>
                <w:lang w:eastAsia="zh-CN"/>
              </w:rPr>
              <w:t>（</w:t>
            </w:r>
            <w:r>
              <w:rPr>
                <w:rFonts w:hint="eastAsia" w:ascii="宋体" w:hAnsi="宋体" w:cs="仿宋_GB2312"/>
                <w:kern w:val="0"/>
                <w:szCs w:val="21"/>
                <w:lang w:val="en-US" w:eastAsia="zh-CN"/>
              </w:rPr>
              <w:t>4</w:t>
            </w:r>
            <w:r>
              <w:rPr>
                <w:rFonts w:hint="eastAsia" w:ascii="宋体" w:hAnsi="宋体" w:cs="仿宋_GB2312"/>
                <w:kern w:val="0"/>
                <w:szCs w:val="21"/>
                <w:lang w:eastAsia="zh-CN"/>
              </w:rPr>
              <w:t>）</w:t>
            </w:r>
            <w:r>
              <w:rPr>
                <w:rFonts w:hint="eastAsia" w:ascii="宋体" w:hAnsi="宋体" w:cs="仿宋_GB2312"/>
                <w:kern w:val="0"/>
                <w:szCs w:val="21"/>
              </w:rPr>
              <w:t>“数据安全师”。全部提供得5分，提供其中三项得</w:t>
            </w:r>
            <w:r>
              <w:rPr>
                <w:rFonts w:hint="default" w:ascii="宋体" w:hAnsi="宋体" w:cs="仿宋_GB2312"/>
                <w:kern w:val="0"/>
                <w:szCs w:val="21"/>
              </w:rPr>
              <w:t>2</w:t>
            </w:r>
            <w:r>
              <w:rPr>
                <w:rFonts w:hint="eastAsia" w:ascii="宋体" w:hAnsi="宋体" w:cs="仿宋_GB2312"/>
                <w:kern w:val="0"/>
                <w:szCs w:val="21"/>
              </w:rPr>
              <w:t>分，仅提供其中两项得</w:t>
            </w:r>
            <w:r>
              <w:rPr>
                <w:rFonts w:hint="default" w:ascii="宋体" w:hAnsi="宋体" w:cs="仿宋_GB2312"/>
                <w:kern w:val="0"/>
                <w:szCs w:val="21"/>
              </w:rPr>
              <w:t>1</w:t>
            </w:r>
            <w:r>
              <w:rPr>
                <w:rFonts w:hint="eastAsia" w:ascii="宋体" w:hAnsi="宋体" w:cs="仿宋_GB2312"/>
                <w:kern w:val="0"/>
                <w:szCs w:val="21"/>
              </w:rPr>
              <w:t>分，其他情形不得分。</w:t>
            </w:r>
          </w:p>
          <w:p>
            <w:pPr>
              <w:rPr>
                <w:rFonts w:ascii="宋体" w:hAnsi="宋体" w:cs="仿宋_GB2312"/>
                <w:kern w:val="0"/>
                <w:szCs w:val="21"/>
              </w:rPr>
            </w:pPr>
            <w:r>
              <w:rPr>
                <w:rFonts w:hint="eastAsia" w:ascii="宋体" w:hAnsi="宋体" w:cs="仿宋_GB2312"/>
                <w:kern w:val="0"/>
                <w:szCs w:val="21"/>
              </w:rPr>
              <w:t>2</w:t>
            </w:r>
            <w:r>
              <w:rPr>
                <w:rFonts w:hint="eastAsia" w:ascii="宋体" w:hAnsi="宋体" w:cs="仿宋_GB2312"/>
                <w:kern w:val="0"/>
                <w:szCs w:val="21"/>
                <w:lang w:val="en-US" w:eastAsia="zh-CN"/>
              </w:rPr>
              <w:t>.</w:t>
            </w:r>
            <w:r>
              <w:rPr>
                <w:rFonts w:hint="eastAsia" w:ascii="宋体" w:hAnsi="宋体" w:cs="仿宋_GB2312"/>
                <w:kern w:val="0"/>
                <w:szCs w:val="21"/>
              </w:rPr>
              <w:t>所投产品原厂商拟派负责本项目的软件开发负责人具备由工业和信息化部教育与考试中心颁发的：</w:t>
            </w:r>
            <w:r>
              <w:rPr>
                <w:rFonts w:hint="eastAsia" w:ascii="宋体" w:hAnsi="宋体" w:cs="仿宋_GB2312"/>
                <w:kern w:val="0"/>
                <w:szCs w:val="21"/>
                <w:lang w:eastAsia="zh-CN"/>
              </w:rPr>
              <w:t>（</w:t>
            </w:r>
            <w:r>
              <w:rPr>
                <w:rFonts w:hint="eastAsia" w:ascii="宋体" w:hAnsi="宋体" w:cs="仿宋_GB2312"/>
                <w:kern w:val="0"/>
                <w:szCs w:val="21"/>
                <w:lang w:val="en-US" w:eastAsia="zh-CN"/>
              </w:rPr>
              <w:t>1</w:t>
            </w:r>
            <w:r>
              <w:rPr>
                <w:rFonts w:hint="eastAsia" w:ascii="宋体" w:hAnsi="宋体" w:cs="仿宋_GB2312"/>
                <w:kern w:val="0"/>
                <w:szCs w:val="21"/>
                <w:lang w:eastAsia="zh-CN"/>
              </w:rPr>
              <w:t>）</w:t>
            </w:r>
            <w:r>
              <w:rPr>
                <w:rFonts w:hint="eastAsia" w:ascii="宋体" w:hAnsi="宋体" w:cs="仿宋_GB2312"/>
                <w:kern w:val="0"/>
                <w:szCs w:val="21"/>
              </w:rPr>
              <w:t>“大数据分析师高级认证”；</w:t>
            </w:r>
            <w:r>
              <w:rPr>
                <w:rFonts w:hint="eastAsia" w:ascii="宋体" w:hAnsi="宋体" w:cs="仿宋_GB2312"/>
                <w:kern w:val="0"/>
                <w:szCs w:val="21"/>
                <w:lang w:eastAsia="zh-CN"/>
              </w:rPr>
              <w:t>（</w:t>
            </w:r>
            <w:r>
              <w:rPr>
                <w:rFonts w:hint="eastAsia" w:ascii="宋体" w:hAnsi="宋体" w:cs="仿宋_GB2312"/>
                <w:kern w:val="0"/>
                <w:szCs w:val="21"/>
                <w:lang w:val="en-US" w:eastAsia="zh-CN"/>
              </w:rPr>
              <w:t>2</w:t>
            </w:r>
            <w:r>
              <w:rPr>
                <w:rFonts w:hint="eastAsia" w:ascii="宋体" w:hAnsi="宋体" w:cs="仿宋_GB2312"/>
                <w:kern w:val="0"/>
                <w:szCs w:val="21"/>
                <w:lang w:eastAsia="zh-CN"/>
              </w:rPr>
              <w:t>）</w:t>
            </w:r>
            <w:r>
              <w:rPr>
                <w:rFonts w:hint="eastAsia" w:ascii="宋体" w:hAnsi="宋体" w:cs="仿宋_GB2312"/>
                <w:kern w:val="0"/>
                <w:szCs w:val="21"/>
              </w:rPr>
              <w:t>“软件工程师高级认证”；</w:t>
            </w:r>
            <w:r>
              <w:rPr>
                <w:rFonts w:hint="eastAsia" w:ascii="宋体" w:hAnsi="宋体" w:cs="仿宋_GB2312"/>
                <w:kern w:val="0"/>
                <w:szCs w:val="21"/>
                <w:lang w:eastAsia="zh-CN"/>
              </w:rPr>
              <w:t>（</w:t>
            </w:r>
            <w:r>
              <w:rPr>
                <w:rFonts w:hint="eastAsia" w:ascii="宋体" w:hAnsi="宋体" w:cs="仿宋_GB2312"/>
                <w:kern w:val="0"/>
                <w:szCs w:val="21"/>
                <w:lang w:val="en-US" w:eastAsia="zh-CN"/>
              </w:rPr>
              <w:t>3</w:t>
            </w:r>
            <w:r>
              <w:rPr>
                <w:rFonts w:hint="eastAsia" w:ascii="宋体" w:hAnsi="宋体" w:cs="仿宋_GB2312"/>
                <w:kern w:val="0"/>
                <w:szCs w:val="21"/>
                <w:lang w:eastAsia="zh-CN"/>
              </w:rPr>
              <w:t>）</w:t>
            </w:r>
            <w:r>
              <w:rPr>
                <w:rFonts w:hint="eastAsia" w:ascii="宋体" w:hAnsi="宋体" w:cs="仿宋_GB2312"/>
                <w:kern w:val="0"/>
                <w:szCs w:val="21"/>
              </w:rPr>
              <w:t>“数据库管理工程师高级认证”。全部提供得3分，仅提供其中两项得</w:t>
            </w:r>
            <w:r>
              <w:rPr>
                <w:rFonts w:hint="default" w:ascii="宋体" w:hAnsi="宋体" w:cs="仿宋_GB2312"/>
                <w:kern w:val="0"/>
                <w:szCs w:val="21"/>
              </w:rPr>
              <w:t>1</w:t>
            </w:r>
            <w:r>
              <w:rPr>
                <w:rFonts w:hint="eastAsia" w:ascii="宋体" w:hAnsi="宋体" w:cs="仿宋_GB2312"/>
                <w:kern w:val="0"/>
                <w:szCs w:val="21"/>
              </w:rPr>
              <w:t>分，其他情形不得分。</w:t>
            </w:r>
          </w:p>
          <w:p>
            <w:pPr>
              <w:spacing w:line="288" w:lineRule="auto"/>
              <w:jc w:val="left"/>
              <w:rPr>
                <w:rFonts w:hint="eastAsia" w:ascii="宋体" w:hAnsi="宋体" w:cs="仿宋_GB2312"/>
                <w:kern w:val="0"/>
                <w:szCs w:val="21"/>
              </w:rPr>
            </w:pPr>
            <w:r>
              <w:rPr>
                <w:rFonts w:hint="eastAsia" w:ascii="宋体" w:hAnsi="宋体" w:cs="仿宋_GB2312"/>
                <w:kern w:val="0"/>
                <w:szCs w:val="21"/>
              </w:rPr>
              <w:t>（须提供：1</w:t>
            </w:r>
            <w:r>
              <w:rPr>
                <w:rFonts w:hint="eastAsia" w:ascii="宋体" w:hAnsi="宋体" w:cs="仿宋_GB2312"/>
                <w:kern w:val="0"/>
                <w:szCs w:val="21"/>
                <w:lang w:val="en-US" w:eastAsia="zh-CN"/>
              </w:rPr>
              <w:t>.</w:t>
            </w:r>
            <w:r>
              <w:rPr>
                <w:rFonts w:hint="eastAsia" w:ascii="宋体" w:hAnsi="宋体" w:cs="仿宋_GB2312"/>
                <w:kern w:val="0"/>
                <w:szCs w:val="21"/>
              </w:rPr>
              <w:t>人员认证证书复印件、身份证复印件和202</w:t>
            </w:r>
            <w:r>
              <w:rPr>
                <w:rFonts w:ascii="宋体" w:hAnsi="宋体" w:cs="仿宋_GB2312"/>
                <w:kern w:val="0"/>
                <w:szCs w:val="21"/>
              </w:rPr>
              <w:t>3</w:t>
            </w:r>
            <w:r>
              <w:rPr>
                <w:rFonts w:hint="eastAsia" w:ascii="宋体" w:hAnsi="宋体" w:cs="仿宋_GB2312"/>
                <w:kern w:val="0"/>
                <w:szCs w:val="21"/>
              </w:rPr>
              <w:t>年</w:t>
            </w:r>
            <w:r>
              <w:rPr>
                <w:rFonts w:ascii="宋体" w:hAnsi="宋体" w:cs="仿宋_GB2312"/>
                <w:kern w:val="0"/>
                <w:szCs w:val="21"/>
              </w:rPr>
              <w:t>1</w:t>
            </w:r>
            <w:r>
              <w:rPr>
                <w:rFonts w:hint="eastAsia" w:ascii="宋体" w:hAnsi="宋体" w:cs="仿宋_GB2312"/>
                <w:kern w:val="0"/>
                <w:szCs w:val="21"/>
              </w:rPr>
              <w:t>月1日起任意3个月归属于供应商的社保缴纳证明；2</w:t>
            </w:r>
            <w:r>
              <w:rPr>
                <w:rFonts w:hint="eastAsia" w:ascii="宋体" w:hAnsi="宋体" w:cs="仿宋_GB2312"/>
                <w:kern w:val="0"/>
                <w:szCs w:val="21"/>
                <w:lang w:val="en-US" w:eastAsia="zh-CN"/>
              </w:rPr>
              <w:t>.</w:t>
            </w:r>
            <w:r>
              <w:rPr>
                <w:rFonts w:hint="eastAsia" w:ascii="宋体" w:hAnsi="宋体" w:cs="仿宋_GB2312"/>
                <w:kern w:val="0"/>
                <w:szCs w:val="21"/>
              </w:rPr>
              <w:t>证书需提供授权单位官网查询截图，网址</w:t>
            </w:r>
            <w:r>
              <w:rPr>
                <w:rFonts w:ascii="宋体" w:hAnsi="宋体" w:cs="仿宋_GB2312"/>
                <w:kern w:val="0"/>
                <w:szCs w:val="21"/>
              </w:rPr>
              <w:fldChar w:fldCharType="begin"/>
            </w:r>
            <w:r>
              <w:rPr>
                <w:rFonts w:ascii="宋体" w:hAnsi="宋体" w:cs="仿宋_GB2312"/>
                <w:kern w:val="0"/>
                <w:szCs w:val="21"/>
              </w:rPr>
              <w:instrText xml:space="preserve"> HYPERLINK "https://www.miiteec.org.cn/" </w:instrText>
            </w:r>
            <w:r>
              <w:rPr>
                <w:rFonts w:ascii="宋体" w:hAnsi="宋体" w:cs="仿宋_GB2312"/>
                <w:kern w:val="0"/>
                <w:szCs w:val="21"/>
              </w:rPr>
              <w:fldChar w:fldCharType="separate"/>
            </w:r>
            <w:r>
              <w:rPr>
                <w:rFonts w:hint="eastAsia" w:ascii="宋体" w:hAnsi="宋体" w:cs="仿宋_GB2312"/>
                <w:kern w:val="0"/>
                <w:szCs w:val="21"/>
              </w:rPr>
              <w:t>https://www.miiteec.org.cn/</w:t>
            </w:r>
            <w:r>
              <w:rPr>
                <w:rFonts w:ascii="宋体" w:hAnsi="宋体" w:cs="仿宋_GB2312"/>
                <w:kern w:val="0"/>
                <w:szCs w:val="21"/>
              </w:rPr>
              <w:fldChar w:fldCharType="end"/>
            </w:r>
            <w:r>
              <w:rPr>
                <w:rFonts w:hint="eastAsia" w:ascii="宋体" w:hAnsi="宋体" w:cs="仿宋_GB2312"/>
                <w:kern w:val="0"/>
                <w:szCs w:val="21"/>
              </w:rPr>
              <w:t>；3</w:t>
            </w:r>
            <w:r>
              <w:rPr>
                <w:rFonts w:hint="eastAsia" w:ascii="宋体" w:hAnsi="宋体" w:cs="仿宋_GB2312"/>
                <w:kern w:val="0"/>
                <w:szCs w:val="21"/>
                <w:lang w:val="en-US" w:eastAsia="zh-CN"/>
              </w:rPr>
              <w:t>.</w:t>
            </w:r>
            <w:r>
              <w:rPr>
                <w:rFonts w:hint="eastAsia" w:ascii="宋体" w:hAnsi="宋体" w:cs="仿宋_GB2312"/>
                <w:kern w:val="0"/>
                <w:szCs w:val="21"/>
              </w:rPr>
              <w:t>提供的截图和复印件都须加盖供应商公章，项目经理和软件开发负责人不得为同一人。）</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7"/>
              <w:snapToGrid w:val="0"/>
              <w:spacing w:line="288" w:lineRule="auto"/>
              <w:jc w:val="center"/>
              <w:rPr>
                <w:rFonts w:cs="宋体"/>
                <w:sz w:val="21"/>
                <w:szCs w:val="21"/>
              </w:rPr>
            </w:pPr>
            <w:r>
              <w:rPr>
                <w:rFonts w:cs="宋体"/>
                <w:kern w:val="2"/>
                <w:sz w:val="21"/>
                <w:szCs w:val="21"/>
              </w:rPr>
              <w:t>8</w:t>
            </w:r>
            <w:r>
              <w:rPr>
                <w:rFonts w:hint="eastAsia" w:cs="宋体"/>
                <w:kern w:val="2"/>
                <w:sz w:val="21"/>
                <w:szCs w:val="21"/>
              </w:rPr>
              <w:t>分</w:t>
            </w:r>
          </w:p>
        </w:tc>
      </w:tr>
    </w:tbl>
    <w:p>
      <w:pPr>
        <w:pStyle w:val="5"/>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AA1226"/>
    <w:multiLevelType w:val="multilevel"/>
    <w:tmpl w:val="13AA1226"/>
    <w:lvl w:ilvl="0" w:tentative="0">
      <w:start w:val="1"/>
      <w:numFmt w:val="decimal"/>
      <w:lvlText w:val="%1"/>
      <w:lvlJc w:val="left"/>
      <w:pPr>
        <w:ind w:left="440" w:hanging="440"/>
      </w:pPr>
      <w:rPr>
        <w:rFonts w:hint="eastAsia"/>
        <w:sz w:val="24"/>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5E35D9A"/>
    <w:multiLevelType w:val="multilevel"/>
    <w:tmpl w:val="15E35D9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zYWEyMDk4NGE3N2ZlNDM2ZjE3NTMyMmNkMjkyNjIifQ=="/>
  </w:docVars>
  <w:rsids>
    <w:rsidRoot w:val="597107CD"/>
    <w:rsid w:val="04411D3E"/>
    <w:rsid w:val="0CC003F3"/>
    <w:rsid w:val="2DC07DFB"/>
    <w:rsid w:val="33EA5BD2"/>
    <w:rsid w:val="3C5207B8"/>
    <w:rsid w:val="4D850B7A"/>
    <w:rsid w:val="4F9D5D96"/>
    <w:rsid w:val="597107CD"/>
    <w:rsid w:val="6B0A20DA"/>
    <w:rsid w:val="75F3768C"/>
    <w:rsid w:val="77C91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jc w:val="both"/>
    </w:pPr>
    <w:rPr>
      <w:rFonts w:ascii="宋体" w:hAnsi="宋体"/>
      <w:b/>
      <w:sz w:val="44"/>
      <w:szCs w:val="28"/>
    </w:rPr>
  </w:style>
  <w:style w:type="paragraph" w:styleId="3">
    <w:name w:val="Normal Indent"/>
    <w:next w:val="1"/>
    <w:qFormat/>
    <w:uiPriority w:val="0"/>
    <w:pPr>
      <w:widowControl w:val="0"/>
      <w:adjustRightInd w:val="0"/>
      <w:ind w:firstLine="420"/>
      <w:jc w:val="left"/>
      <w:textAlignment w:val="baseline"/>
    </w:pPr>
    <w:rPr>
      <w:rFonts w:ascii="Times New Roman" w:hAnsi="Times New Roman" w:eastAsia="楷体_GB2312" w:cs="Times New Roman"/>
      <w:kern w:val="2"/>
      <w:sz w:val="24"/>
      <w:szCs w:val="20"/>
      <w:lang w:val="en-US" w:eastAsia="zh-CN" w:bidi="ar-SA"/>
    </w:rPr>
  </w:style>
  <w:style w:type="paragraph" w:styleId="4">
    <w:name w:val="toa heading"/>
    <w:next w:val="1"/>
    <w:qFormat/>
    <w:uiPriority w:val="0"/>
    <w:pPr>
      <w:widowControl w:val="0"/>
      <w:spacing w:before="120"/>
      <w:jc w:val="both"/>
    </w:pPr>
    <w:rPr>
      <w:rFonts w:ascii="Arial" w:hAnsi="Arial" w:eastAsia="宋体" w:cs="Arial"/>
      <w:kern w:val="2"/>
      <w:sz w:val="24"/>
      <w:szCs w:val="24"/>
      <w:lang w:val="en-US" w:eastAsia="zh-CN" w:bidi="ar-SA"/>
    </w:rPr>
  </w:style>
  <w:style w:type="paragraph" w:styleId="5">
    <w:name w:val="Body Text"/>
    <w:next w:val="3"/>
    <w:link w:val="11"/>
    <w:qFormat/>
    <w:uiPriority w:val="99"/>
    <w:pPr>
      <w:widowControl w:val="0"/>
      <w:spacing w:after="120"/>
      <w:jc w:val="both"/>
    </w:pPr>
    <w:rPr>
      <w:rFonts w:ascii="Times New Roman" w:hAnsi="Times New Roman" w:eastAsia="宋体" w:cs="Times New Roman"/>
      <w:kern w:val="2"/>
      <w:sz w:val="21"/>
      <w:szCs w:val="24"/>
      <w:lang w:val="en-US" w:eastAsia="zh-CN" w:bidi="ar-SA"/>
    </w:rPr>
  </w:style>
  <w:style w:type="paragraph" w:styleId="6">
    <w:name w:val="Block Text"/>
    <w:basedOn w:val="1"/>
    <w:next w:val="1"/>
    <w:qFormat/>
    <w:uiPriority w:val="0"/>
    <w:pPr>
      <w:autoSpaceDE w:val="0"/>
      <w:autoSpaceDN w:val="0"/>
      <w:adjustRightInd w:val="0"/>
      <w:spacing w:line="500" w:lineRule="exact"/>
      <w:ind w:left="391" w:right="246"/>
      <w:jc w:val="both"/>
    </w:pPr>
    <w:rPr>
      <w:rFonts w:ascii="仿宋_GB2312" w:eastAsia="仿宋_GB2312"/>
      <w:kern w:val="0"/>
    </w:rPr>
  </w:style>
  <w:style w:type="paragraph" w:styleId="7">
    <w:name w:val="Normal (Web)"/>
    <w:basedOn w:val="1"/>
    <w:qFormat/>
    <w:uiPriority w:val="99"/>
    <w:pPr>
      <w:widowControl/>
      <w:spacing w:before="100" w:beforeAutospacing="1" w:after="100" w:afterAutospacing="1"/>
      <w:jc w:val="left"/>
    </w:pPr>
    <w:rPr>
      <w:rFonts w:ascii="宋体" w:hAnsi="宋体"/>
      <w:kern w:val="0"/>
      <w:sz w:val="24"/>
    </w:rPr>
  </w:style>
  <w:style w:type="character" w:customStyle="1" w:styleId="10">
    <w:name w:val="NormalCharacter"/>
    <w:semiHidden/>
    <w:qFormat/>
    <w:uiPriority w:val="0"/>
    <w:rPr>
      <w:rFonts w:ascii="Calibri" w:hAnsi="Calibri" w:eastAsia="宋体" w:cs="Times New Roman"/>
    </w:rPr>
  </w:style>
  <w:style w:type="character" w:customStyle="1" w:styleId="11">
    <w:name w:val="正文文本 字符"/>
    <w:link w:val="5"/>
    <w:qFormat/>
    <w:uiPriority w:val="0"/>
    <w:rPr>
      <w:kern w:val="2"/>
      <w:sz w:val="21"/>
      <w:szCs w:val="24"/>
      <w:lang w:val="en-US" w:eastAsia="zh-CN" w:bidi="ar-SA"/>
    </w:rPr>
  </w:style>
  <w:style w:type="paragraph" w:styleId="12">
    <w:name w:val="List Paragraph"/>
    <w:basedOn w:val="1"/>
    <w:qFormat/>
    <w:uiPriority w:val="0"/>
    <w:pPr>
      <w:autoSpaceDE w:val="0"/>
      <w:autoSpaceDN w:val="0"/>
      <w:adjustRightInd w:val="0"/>
      <w:ind w:firstLine="420"/>
      <w:textAlignment w:val="baseline"/>
    </w:pPr>
    <w:rPr>
      <w:kern w:val="0"/>
      <w:szCs w:val="20"/>
    </w:rPr>
  </w:style>
  <w:style w:type="paragraph" w:customStyle="1" w:styleId="13">
    <w:name w:val="*正文"/>
    <w:basedOn w:val="1"/>
    <w:qFormat/>
    <w:uiPriority w:val="0"/>
    <w:pPr>
      <w:spacing w:line="240" w:lineRule="auto"/>
      <w:ind w:firstLine="200" w:firstLineChars="200"/>
      <w:jc w:val="both"/>
    </w:pPr>
    <w:rPr>
      <w:rFonts w:ascii="宋体" w:hAnsi="宋体" w:cs="仿宋_GB2312"/>
      <w:sz w:val="21"/>
      <w:szCs w:val="24"/>
    </w:rPr>
  </w:style>
  <w:style w:type="paragraph" w:customStyle="1" w:styleId="14">
    <w:name w:val="Table Paragraph"/>
    <w:basedOn w:val="1"/>
    <w:qFormat/>
    <w:uiPriority w:val="1"/>
    <w:pPr>
      <w:autoSpaceDE w:val="0"/>
      <w:autoSpaceDN w:val="0"/>
      <w:jc w:val="left"/>
    </w:pPr>
    <w:rPr>
      <w:rFonts w:ascii="宋体" w:hAnsi="宋体" w:cs="宋体"/>
      <w:kern w:val="0"/>
      <w:sz w:val="22"/>
      <w:szCs w:val="24"/>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7910</Words>
  <Characters>8085</Characters>
  <Lines>0</Lines>
  <Paragraphs>0</Paragraphs>
  <TotalTime>10</TotalTime>
  <ScaleCrop>false</ScaleCrop>
  <LinksUpToDate>false</LinksUpToDate>
  <CharactersWithSpaces>8089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2023-06-29T07:30:00Z</dcterms:created>
  <dc:creator>黄红波</dc:creator>
  <cp:lastModifiedBy>宁云智</cp:lastModifiedBy>
  <cp:lastPrinted>2023-06-29T07:31:00Z</cp:lastPrinted>
  <dcterms:modified xsi:type="dcterms:W3CDTF">2023-07-16T11:46:05Z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4232EF0DC8FC46B6A8B2DAEA5F49BB73_13</vt:lpwstr>
  </property>
</Properties>
</file>