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ascii="仿宋_GB2312" w:hAnsi="华文中宋" w:eastAsia="仿宋_GB2312"/>
          <w:b/>
          <w:sz w:val="84"/>
          <w:szCs w:val="84"/>
        </w:rPr>
      </w:pPr>
      <w:bookmarkStart w:id="9" w:name="_GoBack"/>
      <w:bookmarkEnd w:id="9"/>
    </w:p>
    <w:p w14:paraId="01FFE299">
      <w:pPr>
        <w:pStyle w:val="11"/>
        <w:jc w:val="center"/>
        <w:rPr>
          <w:rFonts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1"/>
        <w:adjustRightInd w:val="0"/>
        <w:snapToGrid w:val="0"/>
        <w:spacing w:line="360" w:lineRule="auto"/>
        <w:ind w:left="846" w:leftChars="403" w:firstLine="157" w:firstLineChars="49"/>
        <w:rPr>
          <w:rFonts w:ascii="黑体" w:hAnsi="黑体" w:eastAsia="黑体"/>
          <w:b/>
          <w:sz w:val="32"/>
          <w:szCs w:val="32"/>
        </w:rPr>
      </w:pPr>
    </w:p>
    <w:p w14:paraId="1D8F80E4">
      <w:pPr>
        <w:pStyle w:val="11"/>
        <w:adjustRightInd w:val="0"/>
        <w:snapToGrid w:val="0"/>
        <w:spacing w:line="360" w:lineRule="auto"/>
        <w:ind w:left="846" w:leftChars="403" w:firstLine="157" w:firstLineChars="49"/>
        <w:rPr>
          <w:rFonts w:ascii="黑体" w:hAnsi="黑体" w:eastAsia="黑体"/>
          <w:b/>
          <w:sz w:val="32"/>
          <w:szCs w:val="32"/>
        </w:rPr>
      </w:pPr>
    </w:p>
    <w:p w14:paraId="072F8CF6">
      <w:pPr>
        <w:pStyle w:val="11"/>
        <w:adjustRightInd w:val="0"/>
        <w:snapToGrid w:val="0"/>
        <w:spacing w:line="360" w:lineRule="auto"/>
        <w:ind w:left="846" w:leftChars="403" w:firstLine="157" w:firstLineChars="49"/>
        <w:rPr>
          <w:rFonts w:ascii="黑体" w:hAnsi="黑体" w:eastAsia="黑体"/>
          <w:b/>
          <w:sz w:val="32"/>
          <w:szCs w:val="32"/>
        </w:rPr>
      </w:pPr>
    </w:p>
    <w:p w14:paraId="6505A8CE">
      <w:pPr>
        <w:pStyle w:val="11"/>
        <w:adjustRightInd w:val="0"/>
        <w:snapToGrid w:val="0"/>
        <w:spacing w:line="360" w:lineRule="auto"/>
        <w:ind w:left="846" w:leftChars="403" w:firstLine="157" w:firstLineChars="49"/>
        <w:rPr>
          <w:rFonts w:ascii="黑体" w:hAnsi="黑体" w:eastAsia="黑体"/>
          <w:b/>
          <w:sz w:val="32"/>
          <w:szCs w:val="32"/>
        </w:rPr>
      </w:pPr>
    </w:p>
    <w:p w14:paraId="1DD4CC30">
      <w:pPr>
        <w:pStyle w:val="11"/>
        <w:adjustRightInd w:val="0"/>
        <w:snapToGrid w:val="0"/>
        <w:spacing w:line="360" w:lineRule="auto"/>
        <w:ind w:left="846" w:leftChars="403" w:firstLine="157" w:firstLineChars="49"/>
        <w:rPr>
          <w:rFonts w:ascii="黑体" w:hAnsi="黑体" w:eastAsia="黑体"/>
          <w:b/>
          <w:sz w:val="32"/>
          <w:szCs w:val="32"/>
        </w:rPr>
      </w:pPr>
    </w:p>
    <w:p w14:paraId="6E018500">
      <w:pPr>
        <w:ind w:firstLine="320" w:firstLineChars="100"/>
        <w:jc w:val="both"/>
        <w:rPr>
          <w:rFonts w:ascii="黑体" w:hAnsi="黑体" w:eastAsia="黑体"/>
          <w:kern w:val="0"/>
          <w:sz w:val="32"/>
          <w:szCs w:val="32"/>
        </w:rPr>
      </w:pPr>
      <w:r>
        <w:rPr>
          <w:rFonts w:ascii="黑体" w:hAnsi="黑体" w:eastAsia="黑体"/>
          <w:sz w:val="32"/>
          <w:szCs w:val="32"/>
        </w:rPr>
        <w:t>采购项目名称：</w:t>
      </w:r>
      <w:r>
        <w:rPr>
          <w:rFonts w:hint="eastAsia" w:ascii="黑体" w:hAnsi="黑体" w:eastAsia="黑体"/>
          <w:sz w:val="32"/>
          <w:szCs w:val="32"/>
        </w:rPr>
        <w:t>高、低压配电室维护保养委外服务</w:t>
      </w:r>
    </w:p>
    <w:p w14:paraId="3286CA34">
      <w:pPr>
        <w:pStyle w:val="11"/>
        <w:adjustRightInd w:val="0"/>
        <w:snapToGrid w:val="0"/>
        <w:spacing w:before="156" w:beforeLines="50" w:after="156" w:afterLines="50"/>
        <w:ind w:left="2559" w:leftChars="152" w:hanging="2240" w:hangingChars="700"/>
        <w:rPr>
          <w:rFonts w:ascii="黑体" w:hAnsi="黑体" w:eastAsia="黑体"/>
          <w:sz w:val="32"/>
          <w:szCs w:val="32"/>
        </w:rPr>
      </w:pPr>
    </w:p>
    <w:p w14:paraId="6B5B6E03">
      <w:pPr>
        <w:pStyle w:val="11"/>
        <w:adjustRightInd w:val="0"/>
        <w:snapToGrid w:val="0"/>
        <w:spacing w:before="156" w:beforeLines="50" w:after="156" w:afterLines="50" w:line="360" w:lineRule="auto"/>
        <w:ind w:firstLine="320" w:firstLineChars="100"/>
        <w:rPr>
          <w:rFonts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1"/>
        <w:adjustRightInd w:val="0"/>
        <w:snapToGrid w:val="0"/>
        <w:spacing w:line="440" w:lineRule="exact"/>
        <w:jc w:val="center"/>
        <w:rPr>
          <w:rFonts w:ascii="黑体" w:hAnsi="黑体" w:eastAsia="黑体"/>
          <w:b/>
          <w:sz w:val="32"/>
        </w:rPr>
      </w:pPr>
    </w:p>
    <w:p w14:paraId="12277452">
      <w:pPr>
        <w:pStyle w:val="11"/>
        <w:adjustRightInd w:val="0"/>
        <w:snapToGrid w:val="0"/>
        <w:spacing w:line="440" w:lineRule="exact"/>
        <w:jc w:val="center"/>
        <w:rPr>
          <w:rFonts w:ascii="黑体" w:hAnsi="黑体" w:eastAsia="黑体"/>
          <w:b/>
          <w:sz w:val="32"/>
        </w:rPr>
      </w:pPr>
    </w:p>
    <w:p w14:paraId="263E19F8">
      <w:pPr>
        <w:pStyle w:val="11"/>
        <w:adjustRightInd w:val="0"/>
        <w:snapToGrid w:val="0"/>
        <w:spacing w:line="440" w:lineRule="exact"/>
        <w:jc w:val="center"/>
        <w:rPr>
          <w:rFonts w:ascii="黑体" w:hAnsi="黑体" w:eastAsia="黑体"/>
          <w:b/>
          <w:sz w:val="32"/>
        </w:rPr>
      </w:pPr>
    </w:p>
    <w:p w14:paraId="00E611DA">
      <w:pPr>
        <w:pStyle w:val="11"/>
        <w:adjustRightInd w:val="0"/>
        <w:snapToGrid w:val="0"/>
        <w:spacing w:line="440" w:lineRule="exact"/>
        <w:jc w:val="center"/>
        <w:rPr>
          <w:rFonts w:ascii="黑体" w:hAnsi="黑体" w:eastAsia="黑体"/>
          <w:b/>
          <w:sz w:val="32"/>
        </w:rPr>
      </w:pPr>
    </w:p>
    <w:p w14:paraId="5BD02E6F">
      <w:pPr>
        <w:pStyle w:val="11"/>
        <w:adjustRightInd w:val="0"/>
        <w:snapToGrid w:val="0"/>
        <w:spacing w:line="440" w:lineRule="exact"/>
        <w:jc w:val="center"/>
        <w:rPr>
          <w:rFonts w:ascii="黑体" w:hAnsi="黑体" w:eastAsia="黑体"/>
          <w:b/>
          <w:sz w:val="32"/>
        </w:rPr>
      </w:pPr>
    </w:p>
    <w:p w14:paraId="51D3F09C">
      <w:pPr>
        <w:pStyle w:val="11"/>
        <w:adjustRightInd w:val="0"/>
        <w:snapToGrid w:val="0"/>
        <w:spacing w:line="440" w:lineRule="exact"/>
        <w:jc w:val="center"/>
        <w:rPr>
          <w:rFonts w:ascii="黑体" w:hAnsi="黑体" w:eastAsia="黑体"/>
          <w:b/>
          <w:sz w:val="32"/>
        </w:rPr>
      </w:pPr>
    </w:p>
    <w:p w14:paraId="33437265">
      <w:pPr>
        <w:pStyle w:val="11"/>
        <w:adjustRightInd w:val="0"/>
        <w:snapToGrid w:val="0"/>
        <w:spacing w:line="440" w:lineRule="exact"/>
        <w:jc w:val="center"/>
        <w:rPr>
          <w:rFonts w:ascii="黑体" w:hAnsi="黑体" w:eastAsia="黑体"/>
          <w:b/>
          <w:sz w:val="32"/>
        </w:rPr>
      </w:pPr>
    </w:p>
    <w:p w14:paraId="646F9A24">
      <w:pPr>
        <w:pStyle w:val="11"/>
        <w:adjustRightInd w:val="0"/>
        <w:snapToGrid w:val="0"/>
        <w:spacing w:line="440" w:lineRule="exact"/>
        <w:jc w:val="center"/>
        <w:rPr>
          <w:rFonts w:ascii="黑体" w:hAnsi="黑体" w:eastAsia="黑体"/>
          <w:b/>
          <w:sz w:val="32"/>
        </w:rPr>
      </w:pPr>
    </w:p>
    <w:p w14:paraId="3BDBB089">
      <w:pPr>
        <w:pStyle w:val="11"/>
        <w:adjustRightInd w:val="0"/>
        <w:snapToGrid w:val="0"/>
        <w:spacing w:line="440" w:lineRule="exact"/>
        <w:jc w:val="center"/>
        <w:rPr>
          <w:rFonts w:ascii="黑体" w:hAnsi="黑体" w:eastAsia="黑体"/>
          <w:b/>
          <w:sz w:val="32"/>
        </w:rPr>
      </w:pPr>
    </w:p>
    <w:p w14:paraId="287A2B02">
      <w:pPr>
        <w:spacing w:line="360" w:lineRule="auto"/>
        <w:jc w:val="center"/>
        <w:rPr>
          <w:rFonts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rPr>
        <w:t>十二</w:t>
      </w:r>
      <w:r>
        <w:rPr>
          <w:rFonts w:ascii="黑体" w:hAnsi="黑体" w:eastAsia="黑体"/>
          <w:sz w:val="32"/>
          <w:szCs w:val="32"/>
        </w:rPr>
        <w:t>月</w:t>
      </w:r>
    </w:p>
    <w:p w14:paraId="3FD890A2">
      <w:pPr>
        <w:pStyle w:val="18"/>
      </w:pPr>
    </w:p>
    <w:p w14:paraId="40E4DFFA">
      <w:pPr>
        <w:pStyle w:val="18"/>
        <w:rPr>
          <w:szCs w:val="22"/>
        </w:rPr>
      </w:pPr>
    </w:p>
    <w:p w14:paraId="6EAB8857">
      <w:pPr>
        <w:jc w:val="center"/>
        <w:outlineLvl w:val="0"/>
        <w:rPr>
          <w:rFonts w:hint="eastAsia" w:ascii="黑体" w:hAnsi="黑体" w:eastAsia="黑体" w:cs="Times New Roman"/>
          <w:b/>
          <w:sz w:val="36"/>
          <w:szCs w:val="36"/>
        </w:rPr>
      </w:pPr>
      <w:r>
        <w:rPr>
          <w:rFonts w:hint="eastAsia" w:ascii="黑体" w:hAnsi="黑体" w:eastAsia="黑体" w:cs="Times New Roman"/>
          <w:b/>
          <w:sz w:val="36"/>
          <w:szCs w:val="36"/>
        </w:rPr>
        <w:t>高、低压配电室维护保养委外服务项目询比采购公告</w:t>
      </w:r>
    </w:p>
    <w:p w14:paraId="312B792D">
      <w:pPr>
        <w:pStyle w:val="18"/>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bookmarkStart w:id="0" w:name="_Toc31662_WPSOffice_Level2"/>
      <w:bookmarkStart w:id="1" w:name="_Toc26475"/>
      <w:bookmarkStart w:id="2" w:name="_Toc17794_WPSOffice_Level2"/>
      <w:bookmarkStart w:id="3" w:name="_Toc4659"/>
      <w:bookmarkStart w:id="4" w:name="_Toc3564"/>
      <w:r>
        <w:rPr>
          <w:rFonts w:hint="eastAsia" w:ascii="仿宋" w:hAnsi="仿宋" w:eastAsia="仿宋" w:cs="Times New Roman"/>
          <w:sz w:val="24"/>
          <w:szCs w:val="24"/>
        </w:rPr>
        <w:t>湖南铁道职业技术学院高、低压配电室维护保养委外服务项目</w:t>
      </w:r>
      <w:r>
        <w:rPr>
          <w:rFonts w:hint="eastAsia" w:ascii="仿宋" w:hAnsi="仿宋" w:eastAsia="仿宋" w:cs="Times New Roman"/>
          <w:sz w:val="24"/>
          <w:szCs w:val="24"/>
          <w:lang w:val="en-US" w:eastAsia="zh-CN"/>
        </w:rPr>
        <w:t>需</w:t>
      </w:r>
      <w:r>
        <w:rPr>
          <w:rFonts w:hint="eastAsia" w:ascii="仿宋" w:hAnsi="仿宋" w:eastAsia="仿宋" w:cs="Times New Roman"/>
          <w:sz w:val="24"/>
          <w:szCs w:val="24"/>
        </w:rPr>
        <w:t>进行采购</w:t>
      </w:r>
      <w:r>
        <w:rPr>
          <w:rFonts w:hint="eastAsia" w:ascii="仿宋" w:hAnsi="仿宋" w:eastAsia="仿宋" w:cs="Times New Roman"/>
          <w:sz w:val="24"/>
          <w:szCs w:val="24"/>
          <w:lang w:eastAsia="zh-CN"/>
        </w:rPr>
        <w:t>，</w:t>
      </w:r>
      <w:r>
        <w:rPr>
          <w:rFonts w:hint="eastAsia" w:ascii="仿宋" w:hAnsi="仿宋" w:eastAsia="仿宋"/>
          <w:sz w:val="24"/>
          <w:szCs w:val="24"/>
        </w:rPr>
        <w:t>现采用发布公告方式，邀请符合资格条件的供应商参与采购活动。</w:t>
      </w:r>
    </w:p>
    <w:bookmarkEnd w:id="0"/>
    <w:bookmarkEnd w:id="1"/>
    <w:bookmarkEnd w:id="2"/>
    <w:bookmarkEnd w:id="3"/>
    <w:bookmarkEnd w:id="4"/>
    <w:p w14:paraId="6C558D81">
      <w:pPr>
        <w:snapToGrid w:val="0"/>
        <w:spacing w:line="360" w:lineRule="auto"/>
        <w:ind w:firstLine="482" w:firstLineChars="200"/>
        <w:jc w:val="left"/>
        <w:rPr>
          <w:rFonts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一、采购项目基本情况</w:t>
      </w:r>
    </w:p>
    <w:p w14:paraId="4EF1E5F4">
      <w:pPr>
        <w:pStyle w:val="18"/>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1.项目名称：高、低压配电室维护保养委外服务</w:t>
      </w:r>
    </w:p>
    <w:p w14:paraId="79CC6CAE">
      <w:pPr>
        <w:ind w:firstLine="480" w:firstLineChars="200"/>
        <w:rPr>
          <w:rFonts w:ascii="仿宋" w:hAnsi="仿宋" w:eastAsia="仿宋"/>
          <w:sz w:val="24"/>
          <w:szCs w:val="24"/>
        </w:rPr>
      </w:pPr>
      <w:r>
        <w:rPr>
          <w:rFonts w:hint="eastAsia" w:ascii="仿宋" w:hAnsi="仿宋" w:eastAsia="仿宋"/>
          <w:sz w:val="24"/>
          <w:szCs w:val="24"/>
        </w:rPr>
        <w:t xml:space="preserve">2.项目概况: 学校电力系统的安全稳定运行与全校师生的教学和生活关系重大，特别田心南校区配电高压设备使用平均时间已经十几年以上。我校因没有专业的高压设备维修保养人员，为保证学校两个校区的高压设备的正常运行，特对云龙西校区、田心南校区（东院、南院）的10KV高压相关设备委托外部专业人员进行服务。 </w:t>
      </w:r>
    </w:p>
    <w:p w14:paraId="471CD18D">
      <w:pPr>
        <w:numPr>
          <w:ilvl w:val="0"/>
          <w:numId w:val="0"/>
        </w:numPr>
        <w:spacing w:before="156" w:beforeLines="50" w:line="360" w:lineRule="auto"/>
        <w:ind w:leftChars="0" w:firstLine="240" w:firstLineChars="100"/>
        <w:rPr>
          <w:rFonts w:hint="eastAsia" w:ascii="仿宋" w:hAnsi="仿宋" w:eastAsia="仿宋"/>
          <w:sz w:val="24"/>
          <w:szCs w:val="24"/>
        </w:rPr>
      </w:pPr>
      <w:r>
        <w:rPr>
          <w:rFonts w:hint="eastAsia" w:ascii="仿宋" w:hAnsi="仿宋" w:eastAsia="仿宋"/>
          <w:sz w:val="24"/>
          <w:szCs w:val="24"/>
        </w:rPr>
        <w:t>3.服务内容：</w:t>
      </w:r>
    </w:p>
    <w:p w14:paraId="6D4EEEC4">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（一）田心南校区服务范围</w:t>
      </w:r>
    </w:p>
    <w:p w14:paraId="5B471FCD">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1.田心南校区东院10KV高压配电室：</w:t>
      </w:r>
    </w:p>
    <w:p w14:paraId="791F6B6C">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（1）1000KVA变压器一台</w:t>
      </w:r>
    </w:p>
    <w:p w14:paraId="21202A4F">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（2）高压屏四块</w:t>
      </w:r>
    </w:p>
    <w:p w14:paraId="262FDD81">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（3）低压屏五块</w:t>
      </w:r>
    </w:p>
    <w:p w14:paraId="7AFEE1DA">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2.田心南校区南院10KV高压配电室：</w:t>
      </w:r>
    </w:p>
    <w:p w14:paraId="45A3D663">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（1）1000KVA变压器一台</w:t>
      </w:r>
    </w:p>
    <w:p w14:paraId="6D159399">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（2）高压屏六块</w:t>
      </w:r>
    </w:p>
    <w:p w14:paraId="4ECCE727">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（3）低压屏八块</w:t>
      </w:r>
    </w:p>
    <w:p w14:paraId="4037DA40">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3.田心南校区南院10KV箱式变压器二台（其中630KVA一台、1250KVA一台）</w:t>
      </w:r>
    </w:p>
    <w:p w14:paraId="2AF7AEFC">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（1）高压屏八块</w:t>
      </w:r>
    </w:p>
    <w:p w14:paraId="728BAE59">
      <w:pPr>
        <w:ind w:firstLine="480" w:firstLineChars="200"/>
        <w:rPr>
          <w:rFonts w:hint="default" w:ascii="仿宋" w:hAnsi="仿宋" w:eastAsia="仿宋" w:cs="Times New Roman"/>
          <w:sz w:val="24"/>
          <w:szCs w:val="24"/>
          <w:lang w:val="en-US" w:eastAsia="zh-CN"/>
        </w:rPr>
      </w:pPr>
      <w:r>
        <w:rPr>
          <w:rFonts w:hint="eastAsia" w:ascii="仿宋" w:hAnsi="仿宋" w:eastAsia="仿宋" w:cs="Times New Roman"/>
          <w:sz w:val="24"/>
          <w:szCs w:val="24"/>
          <w:lang w:val="en-US" w:eastAsia="zh-CN"/>
        </w:rPr>
        <w:t>（2）低压屏十二块</w:t>
      </w:r>
    </w:p>
    <w:p w14:paraId="15A0063F">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（二）云龙西校区服务范围</w:t>
      </w:r>
    </w:p>
    <w:p w14:paraId="59F9F0CF">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1.中心配高压室（实训二）</w:t>
      </w:r>
    </w:p>
    <w:p w14:paraId="63453D92">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（1）800KVA变压器三台</w:t>
      </w:r>
    </w:p>
    <w:p w14:paraId="44DC8367">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（2）高压屏二十二块。</w:t>
      </w:r>
    </w:p>
    <w:p w14:paraId="42550E0F">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（3）低压屏一十五块。</w:t>
      </w:r>
    </w:p>
    <w:p w14:paraId="3E2393B1">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2.宿舍3-4栋台阶下箱变</w:t>
      </w:r>
    </w:p>
    <w:p w14:paraId="6930A1E4">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（1）800KVA变压器二台</w:t>
      </w:r>
    </w:p>
    <w:p w14:paraId="311FF5BE">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（2）高压屏五块。</w:t>
      </w:r>
    </w:p>
    <w:p w14:paraId="05C367C9">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（3）低压屏十块。</w:t>
      </w:r>
    </w:p>
    <w:p w14:paraId="3CCC9806">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3.宿舍6栋南侧箱变</w:t>
      </w:r>
    </w:p>
    <w:p w14:paraId="4A18C403">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（1）800KVA变压器二台</w:t>
      </w:r>
    </w:p>
    <w:p w14:paraId="2219934C">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（2）高压屏八块。</w:t>
      </w:r>
    </w:p>
    <w:p w14:paraId="365E01F9">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（3）低压屏九块。</w:t>
      </w:r>
    </w:p>
    <w:p w14:paraId="23C6F9C9">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4.食堂北侧箱变</w:t>
      </w:r>
    </w:p>
    <w:p w14:paraId="4EACFEF4">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（1）1250KVA变压器一台</w:t>
      </w:r>
    </w:p>
    <w:p w14:paraId="0C1EAD98">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（2）高压屏二块。</w:t>
      </w:r>
    </w:p>
    <w:p w14:paraId="5A53BE2C">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（3）低压屏四块。</w:t>
      </w:r>
    </w:p>
    <w:p w14:paraId="5540A503">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5.实训三东侧箱变</w:t>
      </w:r>
    </w:p>
    <w:p w14:paraId="404B5BDC">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（1）630KVA变压器二台</w:t>
      </w:r>
    </w:p>
    <w:p w14:paraId="2C1D92D5">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（2）高压屏二块。</w:t>
      </w:r>
    </w:p>
    <w:p w14:paraId="3AE02773">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（3）低压屏十块。</w:t>
      </w:r>
    </w:p>
    <w:p w14:paraId="5D9D384E">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 xml:space="preserve">6.图书馆高压配电室 </w:t>
      </w:r>
    </w:p>
    <w:p w14:paraId="5B92BD26">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（1）800KVA变压器二台</w:t>
      </w:r>
    </w:p>
    <w:p w14:paraId="6FB71E58">
      <w:pPr>
        <w:ind w:firstLine="480" w:firstLineChars="200"/>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（2）高压屏三块</w:t>
      </w:r>
    </w:p>
    <w:p w14:paraId="2736CD7A">
      <w:pPr>
        <w:ind w:firstLine="480" w:firstLineChars="200"/>
        <w:rPr>
          <w:rFonts w:hint="eastAsia" w:ascii="仿宋" w:hAnsi="仿宋" w:eastAsia="仿宋"/>
          <w:sz w:val="24"/>
          <w:szCs w:val="24"/>
        </w:rPr>
      </w:pPr>
      <w:r>
        <w:rPr>
          <w:rFonts w:hint="eastAsia" w:ascii="仿宋" w:hAnsi="仿宋" w:eastAsia="仿宋" w:cs="Times New Roman"/>
          <w:sz w:val="24"/>
          <w:szCs w:val="24"/>
          <w:lang w:val="en-US" w:eastAsia="zh-CN"/>
        </w:rPr>
        <w:t>（3）低压屏九块。</w:t>
      </w:r>
    </w:p>
    <w:p w14:paraId="71947C1A">
      <w:pPr>
        <w:pStyle w:val="18"/>
        <w:snapToGrid w:val="0"/>
        <w:spacing w:before="0" w:beforeAutospacing="0" w:after="0" w:line="360" w:lineRule="auto"/>
        <w:ind w:left="0" w:leftChars="0" w:firstLine="480" w:firstLineChars="200"/>
        <w:jc w:val="left"/>
        <w:rPr>
          <w:rFonts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.采购预算：156060元/年。</w:t>
      </w:r>
    </w:p>
    <w:p w14:paraId="453272DD">
      <w:pPr>
        <w:pStyle w:val="18"/>
        <w:snapToGrid w:val="0"/>
        <w:spacing w:before="0" w:beforeAutospacing="0" w:after="0" w:line="360" w:lineRule="auto"/>
        <w:ind w:left="0" w:leftChars="0" w:firstLine="482" w:firstLineChars="200"/>
        <w:jc w:val="left"/>
        <w:rPr>
          <w:rFonts w:ascii="仿宋" w:hAnsi="仿宋" w:eastAsia="仿宋"/>
          <w:b/>
          <w:bCs/>
          <w:sz w:val="24"/>
          <w:szCs w:val="24"/>
        </w:rPr>
      </w:pPr>
      <w:r>
        <w:rPr>
          <w:rFonts w:hint="eastAsia" w:ascii="仿宋" w:hAnsi="仿宋" w:eastAsia="仿宋"/>
          <w:b/>
          <w:bCs/>
          <w:sz w:val="24"/>
          <w:szCs w:val="24"/>
        </w:rPr>
        <w:t>二、投标人资格要求</w:t>
      </w:r>
    </w:p>
    <w:p w14:paraId="19060925">
      <w:pPr>
        <w:ind w:firstLine="480" w:firstLineChars="200"/>
        <w:rPr>
          <w:rFonts w:hint="eastAsia" w:ascii="仿宋" w:hAnsi="仿宋" w:eastAsia="仿宋" w:cs="Times New Roman"/>
          <w:kern w:val="2"/>
          <w:sz w:val="24"/>
          <w:szCs w:val="24"/>
          <w:lang w:val="en-US" w:eastAsia="zh-CN" w:bidi="ar-SA"/>
        </w:rPr>
      </w:pPr>
      <w:bookmarkStart w:id="5" w:name="_Toc58335831"/>
      <w:r>
        <w:rPr>
          <w:rFonts w:hint="eastAsia" w:ascii="仿宋" w:hAnsi="仿宋" w:eastAsia="仿宋" w:cs="Times New Roman"/>
          <w:kern w:val="2"/>
          <w:sz w:val="24"/>
          <w:szCs w:val="24"/>
          <w:lang w:val="en-US" w:eastAsia="zh-CN" w:bidi="ar-SA"/>
        </w:rPr>
        <w:t>1、基本资格条件：供应商必须是在中华人民共和国境内注册登记的法人、其他组织或者自然人，且应当符合下列规定，即：</w:t>
      </w:r>
    </w:p>
    <w:p w14:paraId="0472F427">
      <w:pPr>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（1）具有独立承担民事责任的能力；</w:t>
      </w:r>
    </w:p>
    <w:p w14:paraId="6571D497">
      <w:pPr>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（2）具有良好的商业信誉和健全的财务会计制度；</w:t>
      </w:r>
    </w:p>
    <w:p w14:paraId="7087C196">
      <w:pPr>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（3）具有履行合同所必需的设备和专业技术能力；</w:t>
      </w:r>
    </w:p>
    <w:p w14:paraId="5BC85D13">
      <w:pPr>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（4）有依法缴纳税收和社会保障资金的良好记录；</w:t>
      </w:r>
    </w:p>
    <w:p w14:paraId="676DEBF4">
      <w:pPr>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（5）参加本项目招标活动前三年内，在经营活动中没有重大违法记录；</w:t>
      </w:r>
    </w:p>
    <w:p w14:paraId="437EB32F">
      <w:pPr>
        <w:ind w:firstLine="480" w:firstLineChars="20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（6）法律、行政法规规定的其他条件。</w:t>
      </w:r>
    </w:p>
    <w:p w14:paraId="1CCD1F2C">
      <w:pPr>
        <w:pStyle w:val="16"/>
        <w:widowControl/>
        <w:spacing w:beforeAutospacing="0" w:afterAutospacing="0" w:line="210" w:lineRule="atLeast"/>
        <w:ind w:firstLine="480" w:firstLineChars="200"/>
      </w:pPr>
      <w:r>
        <w:rPr>
          <w:rFonts w:hint="eastAsia" w:ascii="仿宋" w:hAnsi="仿宋" w:eastAsia="仿宋" w:cs="Times New Roman"/>
          <w:kern w:val="2"/>
          <w:sz w:val="24"/>
          <w:szCs w:val="24"/>
          <w:lang w:val="en-US" w:eastAsia="zh-CN" w:bidi="ar-SA"/>
        </w:rPr>
        <w:t>2、特定资格条件：具备建设行政主管部门颁发的电力工程施工总承包叁级及以上资质且资质证书处于有效期内。</w:t>
      </w:r>
    </w:p>
    <w:p w14:paraId="773A98C1">
      <w:pPr>
        <w:pStyle w:val="18"/>
        <w:snapToGrid w:val="0"/>
        <w:spacing w:before="0" w:beforeAutospacing="0" w:after="0" w:line="360" w:lineRule="auto"/>
        <w:ind w:left="0" w:leftChars="0" w:firstLine="482" w:firstLineChars="200"/>
        <w:jc w:val="left"/>
        <w:rPr>
          <w:rFonts w:ascii="仿宋" w:hAnsi="仿宋" w:eastAsia="仿宋"/>
          <w:b/>
          <w:bCs/>
          <w:sz w:val="24"/>
          <w:szCs w:val="24"/>
        </w:rPr>
      </w:pPr>
      <w:r>
        <w:rPr>
          <w:rFonts w:hint="eastAsia" w:ascii="仿宋" w:hAnsi="仿宋" w:eastAsia="仿宋"/>
          <w:b/>
          <w:bCs/>
          <w:sz w:val="24"/>
          <w:szCs w:val="24"/>
        </w:rPr>
        <w:t>三、响应文件提交的截止时间、开启时间及地点</w:t>
      </w:r>
      <w:bookmarkEnd w:id="5"/>
    </w:p>
    <w:p w14:paraId="5C12C85F">
      <w:pPr>
        <w:pStyle w:val="18"/>
        <w:snapToGrid w:val="0"/>
        <w:spacing w:before="0" w:beforeAutospacing="0" w:after="0" w:line="360" w:lineRule="auto"/>
        <w:ind w:left="0" w:leftChars="0" w:firstLine="480" w:firstLineChars="200"/>
        <w:jc w:val="left"/>
        <w:rPr>
          <w:rFonts w:hint="default" w:ascii="仿宋" w:hAnsi="仿宋" w:eastAsia="仿宋"/>
          <w:color w:val="000000" w:themeColor="text1"/>
          <w:sz w:val="24"/>
          <w:szCs w:val="24"/>
          <w:lang w:val="en-US" w:eastAsia="zh-CN"/>
          <w14:textFill>
            <w14:solidFill>
              <w14:schemeClr w14:val="tx1"/>
            </w14:solidFill>
          </w14:textFill>
        </w:rPr>
      </w:pPr>
      <w:r>
        <w:rPr>
          <w:rFonts w:hint="eastAsia" w:ascii="仿宋" w:hAnsi="仿宋" w:eastAsia="仿宋"/>
          <w:sz w:val="24"/>
          <w:szCs w:val="24"/>
        </w:rPr>
        <w:t>1．首次响应文件的提交截止时间：</w:t>
      </w:r>
      <w:r>
        <w:rPr>
          <w:rFonts w:hint="eastAsia" w:ascii="仿宋" w:hAnsi="仿宋" w:eastAsia="仿宋"/>
          <w:color w:val="000000" w:themeColor="text1"/>
          <w:sz w:val="24"/>
          <w:szCs w:val="24"/>
          <w14:textFill>
            <w14:solidFill>
              <w14:schemeClr w14:val="tx1"/>
            </w14:solidFill>
          </w14:textFill>
        </w:rPr>
        <w:t>2025年1</w:t>
      </w:r>
      <w:r>
        <w:rPr>
          <w:rFonts w:hint="eastAsia" w:ascii="仿宋" w:hAnsi="仿宋" w:eastAsia="仿宋"/>
          <w:color w:val="000000" w:themeColor="text1"/>
          <w:sz w:val="24"/>
          <w:szCs w:val="24"/>
          <w:lang w:val="en-US" w:eastAsia="zh-CN"/>
          <w14:textFill>
            <w14:solidFill>
              <w14:schemeClr w14:val="tx1"/>
            </w14:solidFill>
          </w14:textFill>
        </w:rPr>
        <w:t>2</w:t>
      </w:r>
      <w:r>
        <w:rPr>
          <w:rFonts w:hint="eastAsia" w:ascii="仿宋" w:hAnsi="仿宋" w:eastAsia="仿宋"/>
          <w:color w:val="000000" w:themeColor="text1"/>
          <w:sz w:val="24"/>
          <w:szCs w:val="24"/>
          <w14:textFill>
            <w14:solidFill>
              <w14:schemeClr w14:val="tx1"/>
            </w14:solidFill>
          </w14:textFill>
        </w:rPr>
        <w:t>月</w:t>
      </w:r>
      <w:r>
        <w:rPr>
          <w:rFonts w:hint="eastAsia" w:ascii="仿宋" w:hAnsi="仿宋" w:eastAsia="仿宋"/>
          <w:color w:val="000000" w:themeColor="text1"/>
          <w:sz w:val="24"/>
          <w:szCs w:val="24"/>
          <w:lang w:val="en-US" w:eastAsia="zh-CN"/>
          <w14:textFill>
            <w14:solidFill>
              <w14:schemeClr w14:val="tx1"/>
            </w14:solidFill>
          </w14:textFill>
        </w:rPr>
        <w:t>26</w:t>
      </w:r>
      <w:r>
        <w:rPr>
          <w:rFonts w:hint="eastAsia" w:ascii="仿宋" w:hAnsi="仿宋" w:eastAsia="仿宋"/>
          <w:color w:val="000000" w:themeColor="text1"/>
          <w:sz w:val="24"/>
          <w:szCs w:val="24"/>
          <w14:textFill>
            <w14:solidFill>
              <w14:schemeClr w14:val="tx1"/>
            </w14:solidFill>
          </w14:textFill>
        </w:rPr>
        <w:t>日</w:t>
      </w:r>
      <w:r>
        <w:rPr>
          <w:rFonts w:hint="eastAsia" w:ascii="仿宋" w:hAnsi="仿宋" w:eastAsia="仿宋"/>
          <w:color w:val="000000" w:themeColor="text1"/>
          <w:sz w:val="24"/>
          <w:szCs w:val="24"/>
          <w:lang w:val="en-US" w:eastAsia="zh-CN"/>
          <w14:textFill>
            <w14:solidFill>
              <w14:schemeClr w14:val="tx1"/>
            </w14:solidFill>
          </w14:textFill>
        </w:rPr>
        <w:t>9</w:t>
      </w:r>
      <w:r>
        <w:rPr>
          <w:rFonts w:hint="eastAsia" w:ascii="仿宋" w:hAnsi="仿宋" w:eastAsia="仿宋"/>
          <w:color w:val="000000" w:themeColor="text1"/>
          <w:sz w:val="24"/>
          <w:szCs w:val="24"/>
          <w14:textFill>
            <w14:solidFill>
              <w14:schemeClr w14:val="tx1"/>
            </w14:solidFill>
          </w14:textFill>
        </w:rPr>
        <w:t>时</w:t>
      </w:r>
      <w:r>
        <w:rPr>
          <w:rFonts w:hint="eastAsia" w:ascii="仿宋" w:hAnsi="仿宋" w:eastAsia="仿宋"/>
          <w:color w:val="000000" w:themeColor="text1"/>
          <w:sz w:val="24"/>
          <w:szCs w:val="24"/>
          <w:lang w:val="en-US" w:eastAsia="zh-CN"/>
          <w14:textFill>
            <w14:solidFill>
              <w14:schemeClr w14:val="tx1"/>
            </w14:solidFill>
          </w14:textFill>
        </w:rPr>
        <w:t>30分</w:t>
      </w:r>
    </w:p>
    <w:p w14:paraId="71BBB9A5">
      <w:pPr>
        <w:pStyle w:val="18"/>
        <w:snapToGrid w:val="0"/>
        <w:spacing w:before="0" w:beforeAutospacing="0" w:after="0" w:line="360" w:lineRule="auto"/>
        <w:ind w:left="0" w:leftChars="0" w:firstLine="480" w:firstLineChars="200"/>
        <w:jc w:val="lef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2．首次响应文件的开启时间：2025年1</w:t>
      </w:r>
      <w:r>
        <w:rPr>
          <w:rFonts w:hint="eastAsia" w:ascii="仿宋" w:hAnsi="仿宋" w:eastAsia="仿宋"/>
          <w:color w:val="000000" w:themeColor="text1"/>
          <w:sz w:val="24"/>
          <w:szCs w:val="24"/>
          <w:lang w:val="en-US" w:eastAsia="zh-CN"/>
          <w14:textFill>
            <w14:solidFill>
              <w14:schemeClr w14:val="tx1"/>
            </w14:solidFill>
          </w14:textFill>
        </w:rPr>
        <w:t>2</w:t>
      </w:r>
      <w:r>
        <w:rPr>
          <w:rFonts w:hint="eastAsia" w:ascii="仿宋" w:hAnsi="仿宋" w:eastAsia="仿宋"/>
          <w:color w:val="000000" w:themeColor="text1"/>
          <w:sz w:val="24"/>
          <w:szCs w:val="24"/>
          <w14:textFill>
            <w14:solidFill>
              <w14:schemeClr w14:val="tx1"/>
            </w14:solidFill>
          </w14:textFill>
        </w:rPr>
        <w:t>月</w:t>
      </w:r>
      <w:r>
        <w:rPr>
          <w:rFonts w:hint="eastAsia" w:ascii="仿宋" w:hAnsi="仿宋" w:eastAsia="仿宋"/>
          <w:color w:val="000000" w:themeColor="text1"/>
          <w:sz w:val="24"/>
          <w:szCs w:val="24"/>
          <w:lang w:val="en-US" w:eastAsia="zh-CN"/>
          <w14:textFill>
            <w14:solidFill>
              <w14:schemeClr w14:val="tx1"/>
            </w14:solidFill>
          </w14:textFill>
        </w:rPr>
        <w:t>26</w:t>
      </w:r>
      <w:r>
        <w:rPr>
          <w:rFonts w:hint="eastAsia" w:ascii="仿宋" w:hAnsi="仿宋" w:eastAsia="仿宋"/>
          <w:color w:val="000000" w:themeColor="text1"/>
          <w:sz w:val="24"/>
          <w:szCs w:val="24"/>
          <w14:textFill>
            <w14:solidFill>
              <w14:schemeClr w14:val="tx1"/>
            </w14:solidFill>
          </w14:textFill>
        </w:rPr>
        <w:t>日</w:t>
      </w:r>
      <w:r>
        <w:rPr>
          <w:rFonts w:hint="eastAsia" w:ascii="仿宋" w:hAnsi="仿宋" w:eastAsia="仿宋"/>
          <w:color w:val="000000" w:themeColor="text1"/>
          <w:sz w:val="24"/>
          <w:szCs w:val="24"/>
          <w:lang w:val="en-US" w:eastAsia="zh-CN"/>
          <w14:textFill>
            <w14:solidFill>
              <w14:schemeClr w14:val="tx1"/>
            </w14:solidFill>
          </w14:textFill>
        </w:rPr>
        <w:t>9</w:t>
      </w:r>
      <w:r>
        <w:rPr>
          <w:rFonts w:hint="eastAsia" w:ascii="仿宋" w:hAnsi="仿宋" w:eastAsia="仿宋"/>
          <w:color w:val="000000" w:themeColor="text1"/>
          <w:sz w:val="24"/>
          <w:szCs w:val="24"/>
          <w14:textFill>
            <w14:solidFill>
              <w14:schemeClr w14:val="tx1"/>
            </w14:solidFill>
          </w14:textFill>
        </w:rPr>
        <w:t>时</w:t>
      </w:r>
      <w:r>
        <w:rPr>
          <w:rFonts w:hint="eastAsia" w:ascii="仿宋" w:hAnsi="仿宋" w:eastAsia="仿宋"/>
          <w:color w:val="000000" w:themeColor="text1"/>
          <w:sz w:val="24"/>
          <w:szCs w:val="24"/>
          <w:lang w:val="en-US" w:eastAsia="zh-CN"/>
          <w14:textFill>
            <w14:solidFill>
              <w14:schemeClr w14:val="tx1"/>
            </w14:solidFill>
          </w14:textFill>
        </w:rPr>
        <w:t>30分</w:t>
      </w:r>
    </w:p>
    <w:p w14:paraId="63DB6ACB">
      <w:pPr>
        <w:pStyle w:val="18"/>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3．首次响应文件的开启地点：湖南铁道职业技术学院</w:t>
      </w:r>
    </w:p>
    <w:p w14:paraId="35D4FC64">
      <w:pPr>
        <w:pStyle w:val="3"/>
        <w:snapToGrid w:val="0"/>
        <w:spacing w:before="0" w:after="0" w:line="360" w:lineRule="auto"/>
        <w:ind w:firstLine="470" w:firstLineChars="195"/>
        <w:jc w:val="left"/>
        <w:rPr>
          <w:rFonts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1．采购项目联系人和电话</w:t>
      </w:r>
    </w:p>
    <w:p w14:paraId="3FA64961">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联系人姓名：</w:t>
      </w:r>
      <w:r>
        <w:rPr>
          <w:rFonts w:hint="eastAsia" w:ascii="仿宋" w:hAnsi="仿宋" w:eastAsia="仿宋" w:cstheme="minorEastAsia"/>
          <w:sz w:val="24"/>
          <w:szCs w:val="24"/>
          <w:lang w:val="en-US" w:eastAsia="zh-CN"/>
        </w:rPr>
        <w:t>欧</w:t>
      </w:r>
      <w:r>
        <w:rPr>
          <w:rFonts w:hint="eastAsia" w:ascii="仿宋" w:hAnsi="仿宋" w:eastAsia="仿宋" w:cstheme="minorEastAsia"/>
          <w:sz w:val="24"/>
          <w:szCs w:val="24"/>
        </w:rPr>
        <w:t>老师</w:t>
      </w:r>
    </w:p>
    <w:p w14:paraId="3666E2A4">
      <w:pPr>
        <w:snapToGrid w:val="0"/>
        <w:spacing w:line="360" w:lineRule="auto"/>
        <w:ind w:firstLine="480" w:firstLineChars="200"/>
        <w:jc w:val="left"/>
        <w:rPr>
          <w:rFonts w:hint="eastAsia" w:ascii="仿宋" w:hAnsi="仿宋" w:eastAsia="仿宋" w:cstheme="minorEastAsia"/>
          <w:sz w:val="24"/>
          <w:szCs w:val="24"/>
          <w:lang w:val="en-US" w:eastAsia="zh-CN"/>
        </w:rPr>
      </w:pPr>
      <w:r>
        <w:rPr>
          <w:rFonts w:hint="eastAsia" w:ascii="仿宋" w:hAnsi="仿宋" w:eastAsia="仿宋" w:cstheme="minorEastAsia"/>
          <w:sz w:val="24"/>
          <w:szCs w:val="24"/>
        </w:rPr>
        <w:t>电 话：</w:t>
      </w:r>
      <w:r>
        <w:rPr>
          <w:rFonts w:hint="eastAsia" w:ascii="仿宋" w:hAnsi="仿宋" w:eastAsia="仿宋" w:cstheme="minorEastAsia"/>
          <w:sz w:val="24"/>
          <w:szCs w:val="24"/>
          <w:lang w:val="en-US" w:eastAsia="zh-CN"/>
        </w:rPr>
        <w:t>0731-</w:t>
      </w:r>
      <w:r>
        <w:rPr>
          <w:rFonts w:hint="eastAsia" w:ascii="仿宋" w:hAnsi="仿宋" w:eastAsia="仿宋" w:cstheme="minorEastAsia"/>
          <w:sz w:val="24"/>
          <w:szCs w:val="24"/>
        </w:rPr>
        <w:t>2278392</w:t>
      </w:r>
      <w:r>
        <w:rPr>
          <w:rFonts w:hint="eastAsia" w:ascii="仿宋" w:hAnsi="仿宋" w:eastAsia="仿宋" w:cstheme="minorEastAsia"/>
          <w:sz w:val="24"/>
          <w:szCs w:val="24"/>
          <w:lang w:val="en-US" w:eastAsia="zh-CN"/>
        </w:rPr>
        <w:t>3</w:t>
      </w:r>
    </w:p>
    <w:p w14:paraId="77569E67">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ascii="仿宋" w:hAnsi="仿宋" w:eastAsia="仿宋" w:cstheme="minorEastAsia"/>
          <w:sz w:val="24"/>
          <w:szCs w:val="24"/>
        </w:rPr>
      </w:pPr>
      <w:r>
        <w:rPr>
          <w:rFonts w:hint="eastAsia" w:ascii="仿宋" w:hAnsi="仿宋" w:eastAsia="仿宋" w:cstheme="minorEastAsia"/>
          <w:sz w:val="24"/>
          <w:szCs w:val="24"/>
        </w:rPr>
        <w:t>地 址：株洲市石峰区田心路18号</w:t>
      </w:r>
    </w:p>
    <w:p w14:paraId="22F3A15E">
      <w:pPr>
        <w:pStyle w:val="18"/>
      </w:pPr>
    </w:p>
    <w:p w14:paraId="42402AF4"/>
    <w:p w14:paraId="06CBF053">
      <w:pPr>
        <w:pStyle w:val="18"/>
      </w:pPr>
    </w:p>
    <w:p w14:paraId="0617B9A7"/>
    <w:p w14:paraId="4FFDF357">
      <w:pPr>
        <w:pStyle w:val="18"/>
      </w:pPr>
    </w:p>
    <w:p w14:paraId="5EE97DA2">
      <w:pPr>
        <w:pStyle w:val="18"/>
        <w:ind w:left="0" w:leftChars="0" w:firstLine="0"/>
        <w:rPr>
          <w:szCs w:val="22"/>
        </w:rPr>
      </w:pPr>
    </w:p>
    <w:p w14:paraId="102C28AC"/>
    <w:p w14:paraId="167C6777">
      <w:pPr>
        <w:pStyle w:val="10"/>
        <w:rPr>
          <w:szCs w:val="22"/>
        </w:rPr>
      </w:pPr>
    </w:p>
    <w:p w14:paraId="0DBAD7B0">
      <w:pPr>
        <w:pStyle w:val="18"/>
        <w:numPr>
          <w:ilvl w:val="0"/>
          <w:numId w:val="1"/>
        </w:numPr>
        <w:ind w:left="0" w:leftChars="0" w:firstLine="0"/>
        <w:jc w:val="center"/>
        <w:rPr>
          <w:rFonts w:ascii="仿宋" w:hAnsi="仿宋" w:eastAsia="仿宋"/>
          <w:b/>
          <w:sz w:val="36"/>
          <w:szCs w:val="36"/>
        </w:rPr>
      </w:pPr>
      <w:r>
        <w:rPr>
          <w:rFonts w:ascii="仿宋" w:hAnsi="仿宋" w:eastAsia="仿宋"/>
          <w:b/>
          <w:sz w:val="36"/>
          <w:szCs w:val="36"/>
        </w:rPr>
        <w:t>采购需求</w:t>
      </w:r>
    </w:p>
    <w:p w14:paraId="64323B37">
      <w:pPr>
        <w:pStyle w:val="18"/>
        <w:numPr>
          <w:ilvl w:val="0"/>
          <w:numId w:val="0"/>
        </w:numPr>
        <w:ind w:leftChars="0" w:firstLine="482" w:firstLineChars="200"/>
        <w:jc w:val="both"/>
        <w:rPr>
          <w:rFonts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D0E10A9">
      <w:pPr>
        <w:pStyle w:val="18"/>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cs="仿宋"/>
          <w:color w:val="333333"/>
          <w:kern w:val="0"/>
          <w:sz w:val="24"/>
          <w:szCs w:val="24"/>
        </w:rPr>
        <w:t>1．项目名称：</w:t>
      </w:r>
      <w:r>
        <w:rPr>
          <w:rFonts w:hint="eastAsia" w:ascii="仿宋" w:hAnsi="仿宋" w:eastAsia="仿宋"/>
          <w:sz w:val="24"/>
          <w:szCs w:val="24"/>
        </w:rPr>
        <w:t>高、低压配电室维</w:t>
      </w:r>
      <w:r>
        <w:rPr>
          <w:rFonts w:hint="eastAsia" w:ascii="仿宋" w:hAnsi="仿宋" w:eastAsia="仿宋" w:cs="仿宋"/>
          <w:color w:val="333333"/>
          <w:kern w:val="0"/>
          <w:sz w:val="24"/>
          <w:szCs w:val="24"/>
          <w:lang w:val="en-US" w:eastAsia="zh-CN" w:bidi="ar-SA"/>
        </w:rPr>
        <w:t>护保养委外服务</w:t>
      </w:r>
    </w:p>
    <w:p w14:paraId="5A3630E4">
      <w:pPr>
        <w:pStyle w:val="43"/>
        <w:adjustRightInd w:val="0"/>
        <w:snapToGrid w:val="0"/>
        <w:spacing w:line="360" w:lineRule="auto"/>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2．服务期限：</w:t>
      </w:r>
      <w:r>
        <w:rPr>
          <w:rFonts w:hint="eastAsia" w:ascii="仿宋" w:hAnsi="仿宋" w:eastAsia="仿宋" w:cs="仿宋"/>
          <w:kern w:val="0"/>
          <w:sz w:val="24"/>
          <w:szCs w:val="24"/>
        </w:rPr>
        <w:t>一年</w:t>
      </w:r>
    </w:p>
    <w:p w14:paraId="60F11589">
      <w:pPr>
        <w:snapToGrid w:val="0"/>
        <w:spacing w:before="156" w:beforeLines="50"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二、服务范围及要求</w:t>
      </w:r>
    </w:p>
    <w:p w14:paraId="5979B66A">
      <w:pPr>
        <w:numPr>
          <w:ilvl w:val="0"/>
          <w:numId w:val="0"/>
        </w:numPr>
        <w:spacing w:before="156" w:beforeLines="50" w:line="360" w:lineRule="auto"/>
        <w:ind w:leftChars="0" w:firstLine="240" w:firstLineChars="1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（一）田心南校区服务范围</w:t>
      </w:r>
    </w:p>
    <w:p w14:paraId="58FC1F60">
      <w:pPr>
        <w:tabs>
          <w:tab w:val="left" w:pos="312"/>
        </w:tabs>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1.田心南校区东院10KV高压配电室：</w:t>
      </w:r>
    </w:p>
    <w:p w14:paraId="721D3382">
      <w:pPr>
        <w:pStyle w:val="38"/>
        <w:numPr>
          <w:ilvl w:val="0"/>
          <w:numId w:val="0"/>
        </w:num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（1）1000KVA变压器一台</w:t>
      </w:r>
    </w:p>
    <w:p w14:paraId="0CCDB32E">
      <w:pPr>
        <w:pStyle w:val="38"/>
        <w:numPr>
          <w:ilvl w:val="0"/>
          <w:numId w:val="0"/>
        </w:num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（2）高压屏四块</w:t>
      </w:r>
    </w:p>
    <w:p w14:paraId="712F8696">
      <w:pPr>
        <w:pStyle w:val="38"/>
        <w:numPr>
          <w:ilvl w:val="0"/>
          <w:numId w:val="0"/>
        </w:num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（3）低压屏五块</w:t>
      </w:r>
    </w:p>
    <w:p w14:paraId="315DD809">
      <w:pPr>
        <w:tabs>
          <w:tab w:val="left" w:pos="312"/>
        </w:tabs>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2.田心南校区南院10KV高压配电室：</w:t>
      </w:r>
    </w:p>
    <w:p w14:paraId="09310F34">
      <w:p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（1）1000KVA变压器一台</w:t>
      </w:r>
    </w:p>
    <w:p w14:paraId="3347D625">
      <w:p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（2）高压屏六块</w:t>
      </w:r>
    </w:p>
    <w:p w14:paraId="7F0DE0E7">
      <w:pPr>
        <w:pStyle w:val="38"/>
        <w:numPr>
          <w:ilvl w:val="0"/>
          <w:numId w:val="0"/>
        </w:num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（3）低压屏八块</w:t>
      </w:r>
    </w:p>
    <w:p w14:paraId="297AD998">
      <w:pPr>
        <w:numPr>
          <w:ilvl w:val="0"/>
          <w:numId w:val="0"/>
        </w:num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3.田心南校区南院10KV箱式变压器二台（其中630KVA一台、1250KVA一台）</w:t>
      </w:r>
    </w:p>
    <w:p w14:paraId="7259023D">
      <w:pPr>
        <w:numPr>
          <w:ilvl w:val="0"/>
          <w:numId w:val="0"/>
        </w:num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（1）高压屏八块</w:t>
      </w:r>
    </w:p>
    <w:p w14:paraId="663EB72F">
      <w:pPr>
        <w:numPr>
          <w:ilvl w:val="0"/>
          <w:numId w:val="0"/>
        </w:numPr>
        <w:spacing w:line="360" w:lineRule="auto"/>
        <w:ind w:firstLine="480" w:firstLineChars="200"/>
        <w:rPr>
          <w:rFonts w:hint="default"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（2）低压屏十二块</w:t>
      </w:r>
    </w:p>
    <w:p w14:paraId="3FF7AD45">
      <w:pPr>
        <w:numPr>
          <w:ilvl w:val="0"/>
          <w:numId w:val="0"/>
        </w:numPr>
        <w:spacing w:before="156" w:beforeLines="50" w:line="360" w:lineRule="auto"/>
        <w:ind w:leftChars="0" w:firstLine="240" w:firstLineChars="1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（二）云龙西校区服务范围</w:t>
      </w:r>
    </w:p>
    <w:p w14:paraId="0FC2EB09">
      <w:pPr>
        <w:tabs>
          <w:tab w:val="left" w:pos="312"/>
        </w:tabs>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1.中心配高压室（实训二）</w:t>
      </w:r>
    </w:p>
    <w:p w14:paraId="40DE102A">
      <w:pPr>
        <w:pStyle w:val="38"/>
        <w:numPr>
          <w:ilvl w:val="0"/>
          <w:numId w:val="0"/>
        </w:num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（1）800KVA变压器三台</w:t>
      </w:r>
    </w:p>
    <w:p w14:paraId="59CD1522">
      <w:pPr>
        <w:pStyle w:val="38"/>
        <w:numPr>
          <w:ilvl w:val="0"/>
          <w:numId w:val="0"/>
        </w:num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（2）高压屏二十二块。</w:t>
      </w:r>
    </w:p>
    <w:p w14:paraId="5938E11A">
      <w:pPr>
        <w:pStyle w:val="38"/>
        <w:numPr>
          <w:ilvl w:val="0"/>
          <w:numId w:val="0"/>
        </w:num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（3）低压屏一十五块。</w:t>
      </w:r>
    </w:p>
    <w:p w14:paraId="6B9BD8F7">
      <w:pPr>
        <w:tabs>
          <w:tab w:val="left" w:pos="312"/>
        </w:tabs>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2.宿舍3-4栋台阶下箱变</w:t>
      </w:r>
    </w:p>
    <w:p w14:paraId="395FCA90">
      <w:pPr>
        <w:pStyle w:val="38"/>
        <w:numPr>
          <w:ilvl w:val="0"/>
          <w:numId w:val="0"/>
        </w:num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（1）800KVA变压器二台</w:t>
      </w:r>
    </w:p>
    <w:p w14:paraId="05E4F3B5">
      <w:pPr>
        <w:pStyle w:val="38"/>
        <w:numPr>
          <w:ilvl w:val="0"/>
          <w:numId w:val="0"/>
        </w:num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（2）高压屏五块。</w:t>
      </w:r>
    </w:p>
    <w:p w14:paraId="7012F6D8">
      <w:pPr>
        <w:pStyle w:val="38"/>
        <w:numPr>
          <w:ilvl w:val="0"/>
          <w:numId w:val="0"/>
        </w:num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（3）低压屏十块。</w:t>
      </w:r>
    </w:p>
    <w:p w14:paraId="7D19952C">
      <w:pPr>
        <w:tabs>
          <w:tab w:val="left" w:pos="312"/>
        </w:tabs>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3.宿舍6栋南侧箱变</w:t>
      </w:r>
    </w:p>
    <w:p w14:paraId="6132716D">
      <w:pPr>
        <w:pStyle w:val="38"/>
        <w:numPr>
          <w:ilvl w:val="0"/>
          <w:numId w:val="0"/>
        </w:num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（1）800KVA变压器二台</w:t>
      </w:r>
    </w:p>
    <w:p w14:paraId="2589A71E">
      <w:pPr>
        <w:pStyle w:val="38"/>
        <w:numPr>
          <w:ilvl w:val="0"/>
          <w:numId w:val="0"/>
        </w:num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（2）高压屏八块。</w:t>
      </w:r>
    </w:p>
    <w:p w14:paraId="181B847A">
      <w:pPr>
        <w:pStyle w:val="38"/>
        <w:numPr>
          <w:ilvl w:val="0"/>
          <w:numId w:val="0"/>
        </w:num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（3）低压屏九块。</w:t>
      </w:r>
    </w:p>
    <w:p w14:paraId="40F8904B">
      <w:pPr>
        <w:tabs>
          <w:tab w:val="left" w:pos="312"/>
        </w:tabs>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4.食堂北侧箱变</w:t>
      </w:r>
    </w:p>
    <w:p w14:paraId="24C40206">
      <w:pPr>
        <w:pStyle w:val="38"/>
        <w:numPr>
          <w:ilvl w:val="0"/>
          <w:numId w:val="0"/>
        </w:num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（1）1250KVA变压器一台</w:t>
      </w:r>
    </w:p>
    <w:p w14:paraId="53C06BA7">
      <w:pPr>
        <w:pStyle w:val="38"/>
        <w:numPr>
          <w:ilvl w:val="0"/>
          <w:numId w:val="0"/>
        </w:num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（2）高压屏二块。</w:t>
      </w:r>
    </w:p>
    <w:p w14:paraId="210A8B63">
      <w:pPr>
        <w:pStyle w:val="38"/>
        <w:numPr>
          <w:ilvl w:val="0"/>
          <w:numId w:val="0"/>
        </w:num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（3）低压屏四块。</w:t>
      </w:r>
    </w:p>
    <w:p w14:paraId="64009AB5">
      <w:pPr>
        <w:tabs>
          <w:tab w:val="left" w:pos="312"/>
        </w:tabs>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5.实训三东侧箱变</w:t>
      </w:r>
    </w:p>
    <w:p w14:paraId="65F5CCAA">
      <w:pPr>
        <w:pStyle w:val="38"/>
        <w:numPr>
          <w:ilvl w:val="0"/>
          <w:numId w:val="0"/>
        </w:num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（1）630KVA变压器二台</w:t>
      </w:r>
    </w:p>
    <w:p w14:paraId="61F8C219">
      <w:pPr>
        <w:pStyle w:val="38"/>
        <w:numPr>
          <w:ilvl w:val="0"/>
          <w:numId w:val="0"/>
        </w:num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（2）高压屏二块。</w:t>
      </w:r>
    </w:p>
    <w:p w14:paraId="7444EB4B">
      <w:pPr>
        <w:pStyle w:val="38"/>
        <w:numPr>
          <w:ilvl w:val="0"/>
          <w:numId w:val="0"/>
        </w:num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（3）低压屏十块。</w:t>
      </w:r>
    </w:p>
    <w:p w14:paraId="6E814CAA">
      <w:pPr>
        <w:tabs>
          <w:tab w:val="left" w:pos="312"/>
        </w:tabs>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 xml:space="preserve">6.图书馆高压配电室 </w:t>
      </w:r>
    </w:p>
    <w:p w14:paraId="111B1F38">
      <w:pPr>
        <w:pStyle w:val="38"/>
        <w:numPr>
          <w:ilvl w:val="0"/>
          <w:numId w:val="0"/>
        </w:num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（1）800KVA变压器二台</w:t>
      </w:r>
    </w:p>
    <w:p w14:paraId="7505295D">
      <w:pPr>
        <w:pStyle w:val="38"/>
        <w:numPr>
          <w:ilvl w:val="0"/>
          <w:numId w:val="0"/>
        </w:num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（2）高压屏三块</w:t>
      </w:r>
    </w:p>
    <w:p w14:paraId="16C2D3FC">
      <w:pPr>
        <w:spacing w:line="360" w:lineRule="auto"/>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（3）低压屏九块。</w:t>
      </w:r>
    </w:p>
    <w:p w14:paraId="51411B49">
      <w:pPr>
        <w:spacing w:line="360" w:lineRule="auto"/>
        <w:ind w:firstLine="480" w:firstLineChars="200"/>
        <w:rPr>
          <w:rFonts w:ascii="仿宋" w:hAnsi="仿宋" w:eastAsia="仿宋" w:cs="仿宋"/>
          <w:color w:val="333333"/>
          <w:kern w:val="0"/>
          <w:sz w:val="24"/>
        </w:rPr>
      </w:pPr>
      <w:r>
        <w:rPr>
          <w:rFonts w:ascii="仿宋" w:hAnsi="仿宋" w:eastAsia="仿宋" w:cs="仿宋"/>
          <w:color w:val="333333"/>
          <w:kern w:val="0"/>
          <w:sz w:val="24"/>
        </w:rPr>
        <w:t>（三）服务要求</w:t>
      </w:r>
    </w:p>
    <w:p w14:paraId="1FEF2288">
      <w:pPr>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（1）高压配电室内所有操作机构每年元月份和七月份进行两次试操作；</w:t>
      </w:r>
    </w:p>
    <w:p w14:paraId="052A641F">
      <w:pPr>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（2）高压环网柜、高压配电柜的保护系统每年七月份进行一次试跳闸实验；</w:t>
      </w:r>
    </w:p>
    <w:p w14:paraId="469C5029">
      <w:pPr>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（3）高压电缆每年七月份检查一次；</w:t>
      </w:r>
    </w:p>
    <w:p w14:paraId="76D82FB8">
      <w:pPr>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（4）高、低压配电柜每年七月份进行除尘、除湿；</w:t>
      </w:r>
    </w:p>
    <w:p w14:paraId="79FBFC46">
      <w:pPr>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（5）变压器外观及油位、颜色检查、变压器加油每年检查两次 ；</w:t>
      </w:r>
    </w:p>
    <w:p w14:paraId="32332C99">
      <w:pPr>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（6）每年元月份、七月份对电器设备接线端子做两次紧固；</w:t>
      </w:r>
    </w:p>
    <w:p w14:paraId="23DB1EB1">
      <w:pPr>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（7）每年每季（1、4、7、10月）正常巡视一次；</w:t>
      </w:r>
    </w:p>
    <w:p w14:paraId="6D275EEF">
      <w:pPr>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（8）每年七月份检修一次；</w:t>
      </w:r>
    </w:p>
    <w:p w14:paraId="16A1E388">
      <w:pPr>
        <w:ind w:firstLine="480" w:firstLineChars="200"/>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（9）每年七月份对变压器、高压电缆、继电保护做一次试验。</w:t>
      </w:r>
    </w:p>
    <w:p w14:paraId="33E3825F">
      <w:pPr>
        <w:adjustRightInd w:val="0"/>
        <w:snapToGrid w:val="0"/>
        <w:spacing w:line="360" w:lineRule="auto"/>
        <w:ind w:firstLine="482" w:firstLineChars="200"/>
        <w:rPr>
          <w:rFonts w:ascii="仿宋" w:hAnsi="仿宋" w:eastAsia="仿宋" w:cstheme="minorEastAsia"/>
          <w:b/>
          <w:sz w:val="24"/>
          <w:szCs w:val="24"/>
        </w:rPr>
      </w:pPr>
      <w:r>
        <w:rPr>
          <w:rFonts w:hint="eastAsia" w:ascii="仿宋" w:hAnsi="仿宋" w:eastAsia="仿宋" w:cstheme="minorEastAsia"/>
          <w:b/>
          <w:sz w:val="24"/>
          <w:szCs w:val="24"/>
        </w:rPr>
        <w:t>三、服务质量要求：</w:t>
      </w:r>
    </w:p>
    <w:p w14:paraId="237E9CFB">
      <w:pPr>
        <w:ind w:firstLine="480" w:firstLineChars="200"/>
        <w:rPr>
          <w:rFonts w:ascii="仿宋" w:hAnsi="仿宋" w:eastAsia="仿宋" w:cs="仿宋"/>
          <w:bCs/>
          <w:kern w:val="0"/>
          <w:sz w:val="24"/>
        </w:rPr>
      </w:pPr>
      <w:r>
        <w:rPr>
          <w:rFonts w:hint="eastAsia" w:ascii="仿宋" w:hAnsi="仿宋" w:eastAsia="仿宋" w:cs="仿宋"/>
          <w:bCs/>
          <w:kern w:val="0"/>
          <w:sz w:val="24"/>
        </w:rPr>
        <w:t>质量标准：按照《湖南省电气设备预防性试验规范》的有关要求，确保在承包期内服务的项目控制在国家规定的控制标准内；</w:t>
      </w:r>
    </w:p>
    <w:p w14:paraId="36DEF52F">
      <w:pPr>
        <w:adjustRightInd w:val="0"/>
        <w:snapToGrid w:val="0"/>
        <w:spacing w:line="360" w:lineRule="auto"/>
        <w:ind w:firstLine="480" w:firstLineChars="200"/>
        <w:rPr>
          <w:rFonts w:hint="eastAsia" w:ascii="仿宋" w:hAnsi="仿宋" w:eastAsia="仿宋" w:cs="仿宋"/>
          <w:bCs/>
          <w:kern w:val="0"/>
          <w:sz w:val="24"/>
        </w:rPr>
      </w:pPr>
      <w:r>
        <w:rPr>
          <w:rFonts w:hint="eastAsia" w:ascii="仿宋" w:hAnsi="仿宋" w:eastAsia="仿宋" w:cs="仿宋"/>
          <w:bCs/>
          <w:kern w:val="0"/>
          <w:sz w:val="24"/>
        </w:rPr>
        <w:t>技术规范:本项目应严格按照现行最新的施工验收规范进行施工。</w:t>
      </w:r>
    </w:p>
    <w:p w14:paraId="5B6D17D6">
      <w:pPr>
        <w:adjustRightInd w:val="0"/>
        <w:snapToGrid w:val="0"/>
        <w:spacing w:line="360" w:lineRule="auto"/>
        <w:ind w:firstLine="482" w:firstLineChars="200"/>
        <w:rPr>
          <w:rFonts w:hint="eastAsia" w:ascii="仿宋" w:hAnsi="仿宋" w:eastAsia="仿宋" w:cstheme="minorEastAsia"/>
          <w:b/>
          <w:sz w:val="24"/>
          <w:szCs w:val="24"/>
        </w:rPr>
      </w:pPr>
      <w:r>
        <w:rPr>
          <w:rFonts w:hint="eastAsia" w:ascii="仿宋" w:hAnsi="仿宋" w:eastAsia="仿宋" w:cstheme="minorEastAsia"/>
          <w:b/>
          <w:sz w:val="24"/>
          <w:szCs w:val="24"/>
          <w:lang w:val="en-US" w:eastAsia="zh-CN"/>
        </w:rPr>
        <w:t>四、</w:t>
      </w:r>
      <w:r>
        <w:rPr>
          <w:rFonts w:hint="eastAsia" w:ascii="仿宋" w:hAnsi="仿宋" w:eastAsia="仿宋" w:cstheme="minorEastAsia"/>
          <w:b/>
          <w:sz w:val="24"/>
          <w:szCs w:val="24"/>
        </w:rPr>
        <w:t>服务质量检查考核标准和方法：</w:t>
      </w:r>
    </w:p>
    <w:p w14:paraId="153C133B">
      <w:pPr>
        <w:pStyle w:val="38"/>
        <w:adjustRightInd w:val="0"/>
        <w:snapToGrid w:val="0"/>
        <w:spacing w:line="312" w:lineRule="auto"/>
        <w:ind w:left="420" w:firstLine="964" w:firstLineChars="400"/>
        <w:rPr>
          <w:rFonts w:ascii="仿宋" w:hAnsi="仿宋" w:eastAsia="仿宋" w:cstheme="minorEastAsia"/>
          <w:b/>
          <w:sz w:val="24"/>
        </w:rPr>
      </w:pPr>
      <w:r>
        <w:rPr>
          <w:rFonts w:hint="eastAsia" w:ascii="仿宋" w:hAnsi="仿宋" w:eastAsia="仿宋" w:cstheme="minorEastAsia"/>
          <w:b/>
          <w:sz w:val="24"/>
        </w:rPr>
        <w:t>《高低压配电室设备维修维护保养服务考核标准》</w:t>
      </w:r>
    </w:p>
    <w:tbl>
      <w:tblPr>
        <w:tblStyle w:val="19"/>
        <w:tblW w:w="9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5580"/>
        <w:gridCol w:w="2987"/>
      </w:tblGrid>
      <w:tr w14:paraId="12449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7" w:type="dxa"/>
            <w:tcBorders>
              <w:top w:val="single" w:color="auto" w:sz="4" w:space="0"/>
              <w:left w:val="single" w:color="auto" w:sz="4" w:space="0"/>
              <w:bottom w:val="single" w:color="auto" w:sz="4" w:space="0"/>
              <w:right w:val="single" w:color="auto" w:sz="4" w:space="0"/>
            </w:tcBorders>
            <w:vAlign w:val="center"/>
          </w:tcPr>
          <w:p w14:paraId="3CBA7548">
            <w:pPr>
              <w:spacing w:line="312" w:lineRule="auto"/>
              <w:jc w:val="center"/>
              <w:rPr>
                <w:rFonts w:ascii="仿宋" w:hAnsi="仿宋" w:eastAsia="仿宋"/>
                <w:b/>
                <w:sz w:val="24"/>
                <w:szCs w:val="24"/>
              </w:rPr>
            </w:pPr>
            <w:r>
              <w:rPr>
                <w:rFonts w:hint="eastAsia" w:ascii="仿宋" w:hAnsi="仿宋" w:eastAsia="仿宋"/>
                <w:b/>
                <w:sz w:val="24"/>
                <w:szCs w:val="24"/>
                <w:lang w:bidi="ar"/>
              </w:rPr>
              <w:t>序号</w:t>
            </w:r>
          </w:p>
        </w:tc>
        <w:tc>
          <w:tcPr>
            <w:tcW w:w="5580" w:type="dxa"/>
            <w:tcBorders>
              <w:top w:val="single" w:color="auto" w:sz="4" w:space="0"/>
              <w:left w:val="single" w:color="auto" w:sz="4" w:space="0"/>
              <w:bottom w:val="single" w:color="auto" w:sz="4" w:space="0"/>
              <w:right w:val="single" w:color="auto" w:sz="4" w:space="0"/>
            </w:tcBorders>
            <w:vAlign w:val="center"/>
          </w:tcPr>
          <w:p w14:paraId="5832237F">
            <w:pPr>
              <w:spacing w:line="312" w:lineRule="auto"/>
              <w:jc w:val="center"/>
              <w:rPr>
                <w:rFonts w:ascii="仿宋" w:hAnsi="仿宋" w:eastAsia="仿宋"/>
                <w:b/>
                <w:sz w:val="24"/>
                <w:szCs w:val="24"/>
              </w:rPr>
            </w:pPr>
            <w:r>
              <w:rPr>
                <w:rFonts w:hint="eastAsia" w:ascii="仿宋" w:hAnsi="仿宋" w:eastAsia="仿宋"/>
                <w:b/>
                <w:sz w:val="24"/>
                <w:szCs w:val="24"/>
                <w:lang w:bidi="ar"/>
              </w:rPr>
              <w:t>考核内容</w:t>
            </w:r>
          </w:p>
        </w:tc>
        <w:tc>
          <w:tcPr>
            <w:tcW w:w="2987" w:type="dxa"/>
            <w:tcBorders>
              <w:top w:val="single" w:color="auto" w:sz="4" w:space="0"/>
              <w:left w:val="single" w:color="auto" w:sz="4" w:space="0"/>
              <w:bottom w:val="single" w:color="auto" w:sz="4" w:space="0"/>
              <w:right w:val="single" w:color="auto" w:sz="4" w:space="0"/>
            </w:tcBorders>
            <w:vAlign w:val="center"/>
          </w:tcPr>
          <w:p w14:paraId="16889EE6">
            <w:pPr>
              <w:spacing w:line="312" w:lineRule="auto"/>
              <w:jc w:val="center"/>
              <w:rPr>
                <w:rFonts w:ascii="仿宋" w:hAnsi="仿宋" w:eastAsia="仿宋"/>
                <w:b/>
                <w:sz w:val="24"/>
                <w:szCs w:val="24"/>
              </w:rPr>
            </w:pPr>
            <w:r>
              <w:rPr>
                <w:rFonts w:hint="eastAsia" w:ascii="仿宋" w:hAnsi="仿宋" w:eastAsia="仿宋"/>
                <w:b/>
                <w:sz w:val="24"/>
                <w:szCs w:val="24"/>
                <w:lang w:bidi="ar"/>
              </w:rPr>
              <w:t>考核标准（元/人/次）</w:t>
            </w:r>
          </w:p>
        </w:tc>
      </w:tr>
      <w:tr w14:paraId="55A6B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927" w:type="dxa"/>
            <w:tcBorders>
              <w:top w:val="single" w:color="auto" w:sz="4" w:space="0"/>
              <w:left w:val="single" w:color="auto" w:sz="4" w:space="0"/>
              <w:bottom w:val="single" w:color="auto" w:sz="4" w:space="0"/>
              <w:right w:val="single" w:color="auto" w:sz="4" w:space="0"/>
            </w:tcBorders>
            <w:vAlign w:val="center"/>
          </w:tcPr>
          <w:p w14:paraId="6C45E886">
            <w:pPr>
              <w:spacing w:line="312" w:lineRule="auto"/>
              <w:jc w:val="center"/>
              <w:rPr>
                <w:rFonts w:ascii="宋体" w:hAnsi="宋体"/>
                <w:sz w:val="24"/>
                <w:szCs w:val="24"/>
              </w:rPr>
            </w:pPr>
            <w:r>
              <w:rPr>
                <w:rFonts w:hint="eastAsia" w:ascii="宋体" w:hAnsi="宋体"/>
                <w:sz w:val="24"/>
                <w:szCs w:val="24"/>
                <w:lang w:bidi="ar"/>
              </w:rPr>
              <w:t>1</w:t>
            </w:r>
          </w:p>
        </w:tc>
        <w:tc>
          <w:tcPr>
            <w:tcW w:w="5580" w:type="dxa"/>
            <w:tcBorders>
              <w:top w:val="single" w:color="auto" w:sz="4" w:space="0"/>
              <w:left w:val="single" w:color="auto" w:sz="4" w:space="0"/>
              <w:bottom w:val="single" w:color="auto" w:sz="4" w:space="0"/>
              <w:right w:val="single" w:color="auto" w:sz="4" w:space="0"/>
            </w:tcBorders>
            <w:vAlign w:val="center"/>
          </w:tcPr>
          <w:p w14:paraId="50F64880">
            <w:pPr>
              <w:spacing w:line="312" w:lineRule="auto"/>
              <w:rPr>
                <w:rFonts w:ascii="仿宋" w:hAnsi="仿宋" w:eastAsia="仿宋"/>
                <w:sz w:val="24"/>
                <w:szCs w:val="24"/>
              </w:rPr>
            </w:pPr>
            <w:r>
              <w:rPr>
                <w:rFonts w:hint="eastAsia" w:ascii="仿宋" w:hAnsi="仿宋" w:eastAsia="仿宋"/>
                <w:sz w:val="24"/>
                <w:szCs w:val="24"/>
                <w:lang w:bidi="ar"/>
              </w:rPr>
              <w:t>设备维修保养过程中违反相应安全操作规程，存在安全隐患</w:t>
            </w:r>
          </w:p>
        </w:tc>
        <w:tc>
          <w:tcPr>
            <w:tcW w:w="2987" w:type="dxa"/>
            <w:tcBorders>
              <w:top w:val="single" w:color="auto" w:sz="4" w:space="0"/>
              <w:left w:val="single" w:color="auto" w:sz="4" w:space="0"/>
              <w:bottom w:val="single" w:color="auto" w:sz="4" w:space="0"/>
              <w:right w:val="single" w:color="auto" w:sz="4" w:space="0"/>
            </w:tcBorders>
            <w:vAlign w:val="center"/>
          </w:tcPr>
          <w:p w14:paraId="13483F07">
            <w:pPr>
              <w:spacing w:line="312" w:lineRule="auto"/>
              <w:jc w:val="center"/>
              <w:rPr>
                <w:rFonts w:ascii="仿宋" w:hAnsi="仿宋" w:eastAsia="仿宋"/>
                <w:sz w:val="24"/>
                <w:szCs w:val="24"/>
              </w:rPr>
            </w:pPr>
            <w:r>
              <w:rPr>
                <w:rFonts w:hint="eastAsia" w:ascii="仿宋" w:hAnsi="仿宋" w:eastAsia="仿宋"/>
                <w:sz w:val="24"/>
                <w:szCs w:val="24"/>
                <w:lang w:bidi="ar"/>
              </w:rPr>
              <w:t>1000</w:t>
            </w:r>
          </w:p>
        </w:tc>
      </w:tr>
      <w:tr w14:paraId="1B1DD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7" w:type="dxa"/>
            <w:tcBorders>
              <w:top w:val="single" w:color="auto" w:sz="4" w:space="0"/>
              <w:left w:val="single" w:color="auto" w:sz="4" w:space="0"/>
              <w:bottom w:val="single" w:color="auto" w:sz="4" w:space="0"/>
              <w:right w:val="single" w:color="auto" w:sz="4" w:space="0"/>
            </w:tcBorders>
            <w:vAlign w:val="center"/>
          </w:tcPr>
          <w:p w14:paraId="7704CEC0">
            <w:pPr>
              <w:spacing w:line="312" w:lineRule="auto"/>
              <w:jc w:val="center"/>
              <w:rPr>
                <w:rFonts w:ascii="宋体" w:hAnsi="宋体"/>
                <w:sz w:val="24"/>
                <w:szCs w:val="24"/>
              </w:rPr>
            </w:pPr>
            <w:r>
              <w:rPr>
                <w:rFonts w:hint="eastAsia" w:ascii="宋体" w:hAnsi="宋体"/>
                <w:sz w:val="24"/>
                <w:szCs w:val="24"/>
                <w:lang w:bidi="ar"/>
              </w:rPr>
              <w:t>2</w:t>
            </w:r>
          </w:p>
        </w:tc>
        <w:tc>
          <w:tcPr>
            <w:tcW w:w="5580" w:type="dxa"/>
            <w:tcBorders>
              <w:top w:val="single" w:color="auto" w:sz="4" w:space="0"/>
              <w:left w:val="single" w:color="auto" w:sz="4" w:space="0"/>
              <w:bottom w:val="single" w:color="auto" w:sz="4" w:space="0"/>
              <w:right w:val="single" w:color="auto" w:sz="4" w:space="0"/>
            </w:tcBorders>
            <w:vAlign w:val="center"/>
          </w:tcPr>
          <w:p w14:paraId="0E7C8D0C">
            <w:pPr>
              <w:spacing w:line="312" w:lineRule="auto"/>
              <w:rPr>
                <w:rFonts w:ascii="仿宋" w:hAnsi="仿宋" w:eastAsia="仿宋"/>
                <w:sz w:val="24"/>
                <w:szCs w:val="24"/>
              </w:rPr>
            </w:pPr>
            <w:r>
              <w:rPr>
                <w:rFonts w:hint="eastAsia" w:ascii="仿宋" w:hAnsi="仿宋" w:eastAsia="仿宋"/>
                <w:sz w:val="24"/>
                <w:szCs w:val="24"/>
                <w:lang w:bidi="ar"/>
              </w:rPr>
              <w:t>乙方服务人员发生盗窃事件或严重违反学院的规章制度</w:t>
            </w:r>
          </w:p>
        </w:tc>
        <w:tc>
          <w:tcPr>
            <w:tcW w:w="2987" w:type="dxa"/>
            <w:tcBorders>
              <w:top w:val="single" w:color="auto" w:sz="4" w:space="0"/>
              <w:left w:val="single" w:color="auto" w:sz="4" w:space="0"/>
              <w:bottom w:val="single" w:color="auto" w:sz="4" w:space="0"/>
              <w:right w:val="single" w:color="auto" w:sz="4" w:space="0"/>
            </w:tcBorders>
            <w:vAlign w:val="center"/>
          </w:tcPr>
          <w:p w14:paraId="5B3BAB0C">
            <w:pPr>
              <w:spacing w:line="312" w:lineRule="auto"/>
              <w:jc w:val="center"/>
              <w:rPr>
                <w:rFonts w:ascii="仿宋" w:hAnsi="仿宋" w:eastAsia="仿宋"/>
                <w:sz w:val="24"/>
                <w:szCs w:val="24"/>
              </w:rPr>
            </w:pPr>
            <w:r>
              <w:rPr>
                <w:rFonts w:hint="eastAsia" w:ascii="仿宋" w:hAnsi="仿宋" w:eastAsia="仿宋"/>
                <w:sz w:val="24"/>
                <w:szCs w:val="24"/>
                <w:lang w:bidi="ar"/>
              </w:rPr>
              <w:t>赔偿校方有关损失另视情节考核1000</w:t>
            </w:r>
          </w:p>
        </w:tc>
      </w:tr>
      <w:tr w14:paraId="1D572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7" w:type="dxa"/>
            <w:tcBorders>
              <w:top w:val="single" w:color="auto" w:sz="4" w:space="0"/>
              <w:left w:val="single" w:color="auto" w:sz="4" w:space="0"/>
              <w:bottom w:val="single" w:color="auto" w:sz="4" w:space="0"/>
              <w:right w:val="single" w:color="auto" w:sz="4" w:space="0"/>
            </w:tcBorders>
            <w:vAlign w:val="center"/>
          </w:tcPr>
          <w:p w14:paraId="623C8F03">
            <w:pPr>
              <w:spacing w:line="312" w:lineRule="auto"/>
              <w:jc w:val="center"/>
              <w:rPr>
                <w:rFonts w:ascii="宋体" w:hAnsi="宋体"/>
                <w:sz w:val="24"/>
                <w:szCs w:val="24"/>
              </w:rPr>
            </w:pPr>
            <w:r>
              <w:rPr>
                <w:rFonts w:hint="eastAsia" w:ascii="宋体" w:hAnsi="宋体"/>
                <w:sz w:val="24"/>
                <w:szCs w:val="24"/>
                <w:lang w:bidi="ar"/>
              </w:rPr>
              <w:t>3</w:t>
            </w:r>
          </w:p>
        </w:tc>
        <w:tc>
          <w:tcPr>
            <w:tcW w:w="5580" w:type="dxa"/>
            <w:tcBorders>
              <w:top w:val="single" w:color="auto" w:sz="4" w:space="0"/>
              <w:left w:val="single" w:color="auto" w:sz="4" w:space="0"/>
              <w:bottom w:val="single" w:color="auto" w:sz="4" w:space="0"/>
              <w:right w:val="single" w:color="auto" w:sz="4" w:space="0"/>
            </w:tcBorders>
            <w:vAlign w:val="center"/>
          </w:tcPr>
          <w:p w14:paraId="48476278">
            <w:pPr>
              <w:spacing w:line="312" w:lineRule="auto"/>
              <w:rPr>
                <w:rFonts w:ascii="仿宋" w:hAnsi="仿宋" w:eastAsia="仿宋"/>
                <w:sz w:val="24"/>
                <w:szCs w:val="24"/>
              </w:rPr>
            </w:pPr>
            <w:r>
              <w:rPr>
                <w:rFonts w:hint="eastAsia" w:ascii="仿宋" w:hAnsi="仿宋" w:eastAsia="仿宋"/>
                <w:sz w:val="24"/>
                <w:szCs w:val="24"/>
                <w:lang w:bidi="ar"/>
              </w:rPr>
              <w:t>对设备存在消防安全、使用安全、及文明施工等方面的隐患未在规定时间认真进行维修的</w:t>
            </w:r>
          </w:p>
        </w:tc>
        <w:tc>
          <w:tcPr>
            <w:tcW w:w="2987" w:type="dxa"/>
            <w:tcBorders>
              <w:top w:val="single" w:color="auto" w:sz="4" w:space="0"/>
              <w:left w:val="single" w:color="auto" w:sz="4" w:space="0"/>
              <w:bottom w:val="single" w:color="auto" w:sz="4" w:space="0"/>
              <w:right w:val="single" w:color="auto" w:sz="4" w:space="0"/>
            </w:tcBorders>
            <w:vAlign w:val="center"/>
          </w:tcPr>
          <w:p w14:paraId="75998383">
            <w:pPr>
              <w:spacing w:line="312" w:lineRule="auto"/>
              <w:jc w:val="center"/>
              <w:rPr>
                <w:rFonts w:ascii="仿宋" w:hAnsi="仿宋" w:eastAsia="仿宋"/>
                <w:sz w:val="24"/>
                <w:szCs w:val="24"/>
              </w:rPr>
            </w:pPr>
            <w:r>
              <w:rPr>
                <w:rFonts w:hint="eastAsia" w:ascii="仿宋" w:hAnsi="仿宋" w:eastAsia="仿宋"/>
                <w:sz w:val="24"/>
                <w:szCs w:val="24"/>
                <w:lang w:bidi="ar"/>
              </w:rPr>
              <w:t>500</w:t>
            </w:r>
          </w:p>
        </w:tc>
      </w:tr>
      <w:tr w14:paraId="28564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927" w:type="dxa"/>
            <w:tcBorders>
              <w:top w:val="single" w:color="auto" w:sz="4" w:space="0"/>
              <w:left w:val="single" w:color="auto" w:sz="4" w:space="0"/>
              <w:bottom w:val="single" w:color="auto" w:sz="4" w:space="0"/>
              <w:right w:val="single" w:color="auto" w:sz="4" w:space="0"/>
            </w:tcBorders>
            <w:vAlign w:val="center"/>
          </w:tcPr>
          <w:p w14:paraId="3319D8E0">
            <w:pPr>
              <w:spacing w:line="312" w:lineRule="auto"/>
              <w:jc w:val="center"/>
              <w:rPr>
                <w:rFonts w:ascii="宋体" w:hAnsi="宋体"/>
                <w:sz w:val="24"/>
                <w:szCs w:val="24"/>
              </w:rPr>
            </w:pPr>
            <w:r>
              <w:rPr>
                <w:rFonts w:hint="eastAsia" w:ascii="宋体" w:hAnsi="宋体"/>
                <w:sz w:val="24"/>
                <w:szCs w:val="24"/>
                <w:lang w:bidi="ar"/>
              </w:rPr>
              <w:t>4</w:t>
            </w:r>
          </w:p>
        </w:tc>
        <w:tc>
          <w:tcPr>
            <w:tcW w:w="5580" w:type="dxa"/>
            <w:tcBorders>
              <w:top w:val="single" w:color="auto" w:sz="4" w:space="0"/>
              <w:left w:val="single" w:color="auto" w:sz="4" w:space="0"/>
              <w:bottom w:val="single" w:color="auto" w:sz="4" w:space="0"/>
              <w:right w:val="single" w:color="auto" w:sz="4" w:space="0"/>
            </w:tcBorders>
            <w:vAlign w:val="center"/>
          </w:tcPr>
          <w:p w14:paraId="01A1D6DB">
            <w:pPr>
              <w:spacing w:line="312" w:lineRule="auto"/>
              <w:rPr>
                <w:rFonts w:ascii="仿宋" w:hAnsi="仿宋" w:eastAsia="仿宋"/>
                <w:sz w:val="24"/>
                <w:szCs w:val="24"/>
              </w:rPr>
            </w:pPr>
            <w:r>
              <w:rPr>
                <w:rFonts w:hint="eastAsia" w:ascii="仿宋" w:hAnsi="仿宋" w:eastAsia="仿宋"/>
                <w:sz w:val="24"/>
                <w:szCs w:val="24"/>
                <w:lang w:bidi="ar"/>
              </w:rPr>
              <w:t>维修、维护服务完毕，未及时清理场地，影响学院环境卫生</w:t>
            </w:r>
          </w:p>
        </w:tc>
        <w:tc>
          <w:tcPr>
            <w:tcW w:w="2987" w:type="dxa"/>
            <w:tcBorders>
              <w:top w:val="single" w:color="auto" w:sz="4" w:space="0"/>
              <w:left w:val="single" w:color="auto" w:sz="4" w:space="0"/>
              <w:bottom w:val="single" w:color="auto" w:sz="4" w:space="0"/>
              <w:right w:val="single" w:color="auto" w:sz="4" w:space="0"/>
            </w:tcBorders>
            <w:vAlign w:val="center"/>
          </w:tcPr>
          <w:p w14:paraId="38BC3BFE">
            <w:pPr>
              <w:spacing w:line="312" w:lineRule="auto"/>
              <w:jc w:val="center"/>
              <w:rPr>
                <w:rFonts w:ascii="仿宋" w:hAnsi="仿宋" w:eastAsia="仿宋"/>
                <w:b/>
                <w:sz w:val="24"/>
                <w:szCs w:val="24"/>
              </w:rPr>
            </w:pPr>
            <w:r>
              <w:rPr>
                <w:rFonts w:hint="eastAsia" w:ascii="仿宋" w:hAnsi="仿宋" w:eastAsia="仿宋"/>
                <w:sz w:val="24"/>
                <w:szCs w:val="24"/>
                <w:lang w:bidi="ar"/>
              </w:rPr>
              <w:t>200</w:t>
            </w:r>
          </w:p>
        </w:tc>
      </w:tr>
      <w:tr w14:paraId="610D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7" w:type="dxa"/>
            <w:tcBorders>
              <w:top w:val="single" w:color="auto" w:sz="4" w:space="0"/>
              <w:left w:val="single" w:color="auto" w:sz="4" w:space="0"/>
              <w:bottom w:val="single" w:color="auto" w:sz="4" w:space="0"/>
              <w:right w:val="single" w:color="auto" w:sz="4" w:space="0"/>
            </w:tcBorders>
            <w:vAlign w:val="center"/>
          </w:tcPr>
          <w:p w14:paraId="11FEFDAF">
            <w:pPr>
              <w:spacing w:line="312" w:lineRule="auto"/>
              <w:jc w:val="center"/>
              <w:rPr>
                <w:rFonts w:ascii="宋体" w:hAnsi="宋体"/>
                <w:sz w:val="24"/>
                <w:szCs w:val="24"/>
              </w:rPr>
            </w:pPr>
            <w:r>
              <w:rPr>
                <w:rFonts w:hint="eastAsia" w:ascii="宋体" w:hAnsi="宋体"/>
                <w:sz w:val="24"/>
                <w:szCs w:val="24"/>
                <w:lang w:bidi="ar"/>
              </w:rPr>
              <w:t>5</w:t>
            </w:r>
          </w:p>
        </w:tc>
        <w:tc>
          <w:tcPr>
            <w:tcW w:w="5580" w:type="dxa"/>
            <w:tcBorders>
              <w:top w:val="single" w:color="auto" w:sz="4" w:space="0"/>
              <w:left w:val="single" w:color="auto" w:sz="4" w:space="0"/>
              <w:bottom w:val="single" w:color="auto" w:sz="4" w:space="0"/>
              <w:right w:val="single" w:color="auto" w:sz="4" w:space="0"/>
            </w:tcBorders>
            <w:vAlign w:val="center"/>
          </w:tcPr>
          <w:p w14:paraId="7E56EBED">
            <w:pPr>
              <w:spacing w:line="312" w:lineRule="auto"/>
              <w:rPr>
                <w:rFonts w:ascii="仿宋" w:hAnsi="仿宋" w:eastAsia="仿宋"/>
                <w:sz w:val="24"/>
                <w:szCs w:val="24"/>
              </w:rPr>
            </w:pPr>
            <w:r>
              <w:rPr>
                <w:rFonts w:hint="eastAsia" w:ascii="仿宋" w:hAnsi="仿宋" w:eastAsia="仿宋"/>
                <w:sz w:val="24"/>
                <w:szCs w:val="24"/>
              </w:rPr>
              <w:t>甲方高低压配电系统在正常使用中发生故障或线路跳闸时，乙方在接到报修通知2小时内未派员到达现场进行故障处理和维修</w:t>
            </w:r>
          </w:p>
        </w:tc>
        <w:tc>
          <w:tcPr>
            <w:tcW w:w="2987" w:type="dxa"/>
            <w:tcBorders>
              <w:top w:val="single" w:color="auto" w:sz="4" w:space="0"/>
              <w:left w:val="single" w:color="auto" w:sz="4" w:space="0"/>
              <w:bottom w:val="single" w:color="auto" w:sz="4" w:space="0"/>
              <w:right w:val="single" w:color="auto" w:sz="4" w:space="0"/>
            </w:tcBorders>
            <w:vAlign w:val="center"/>
          </w:tcPr>
          <w:p w14:paraId="67A5DCA1">
            <w:pPr>
              <w:spacing w:line="312" w:lineRule="auto"/>
              <w:jc w:val="center"/>
              <w:rPr>
                <w:rFonts w:ascii="仿宋" w:hAnsi="仿宋" w:eastAsia="仿宋"/>
                <w:sz w:val="24"/>
                <w:szCs w:val="24"/>
              </w:rPr>
            </w:pPr>
            <w:r>
              <w:rPr>
                <w:rFonts w:hint="eastAsia" w:ascii="仿宋" w:hAnsi="仿宋" w:eastAsia="仿宋"/>
                <w:sz w:val="24"/>
                <w:szCs w:val="24"/>
                <w:lang w:bidi="ar"/>
              </w:rPr>
              <w:t>500</w:t>
            </w:r>
          </w:p>
        </w:tc>
      </w:tr>
      <w:tr w14:paraId="11E93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927" w:type="dxa"/>
            <w:tcBorders>
              <w:top w:val="single" w:color="auto" w:sz="4" w:space="0"/>
              <w:left w:val="single" w:color="auto" w:sz="4" w:space="0"/>
              <w:bottom w:val="single" w:color="auto" w:sz="4" w:space="0"/>
              <w:right w:val="single" w:color="auto" w:sz="4" w:space="0"/>
            </w:tcBorders>
            <w:vAlign w:val="center"/>
          </w:tcPr>
          <w:p w14:paraId="70E1CCCD">
            <w:pPr>
              <w:spacing w:line="312" w:lineRule="auto"/>
              <w:jc w:val="center"/>
              <w:rPr>
                <w:rFonts w:ascii="宋体" w:hAnsi="宋体"/>
                <w:sz w:val="24"/>
                <w:szCs w:val="24"/>
              </w:rPr>
            </w:pPr>
            <w:r>
              <w:rPr>
                <w:rFonts w:hint="eastAsia" w:ascii="宋体" w:hAnsi="宋体"/>
                <w:sz w:val="24"/>
                <w:szCs w:val="24"/>
                <w:lang w:bidi="ar"/>
              </w:rPr>
              <w:t>6</w:t>
            </w:r>
          </w:p>
        </w:tc>
        <w:tc>
          <w:tcPr>
            <w:tcW w:w="5580" w:type="dxa"/>
            <w:tcBorders>
              <w:top w:val="single" w:color="auto" w:sz="4" w:space="0"/>
              <w:left w:val="single" w:color="auto" w:sz="4" w:space="0"/>
              <w:bottom w:val="single" w:color="auto" w:sz="4" w:space="0"/>
              <w:right w:val="single" w:color="auto" w:sz="4" w:space="0"/>
            </w:tcBorders>
            <w:vAlign w:val="center"/>
          </w:tcPr>
          <w:p w14:paraId="217AC5D7">
            <w:pPr>
              <w:spacing w:line="312" w:lineRule="auto"/>
              <w:rPr>
                <w:rFonts w:ascii="仿宋" w:hAnsi="仿宋" w:eastAsia="仿宋"/>
                <w:sz w:val="24"/>
                <w:szCs w:val="24"/>
              </w:rPr>
            </w:pPr>
            <w:r>
              <w:rPr>
                <w:rFonts w:hint="eastAsia" w:ascii="仿宋" w:hAnsi="仿宋" w:eastAsia="仿宋"/>
                <w:sz w:val="24"/>
                <w:szCs w:val="24"/>
              </w:rPr>
              <w:t>乙方未按签核的【高低压设备维护保养计划表】的要求、内容和学校的有关规定进行维护保养</w:t>
            </w:r>
          </w:p>
        </w:tc>
        <w:tc>
          <w:tcPr>
            <w:tcW w:w="2987" w:type="dxa"/>
            <w:tcBorders>
              <w:top w:val="single" w:color="auto" w:sz="4" w:space="0"/>
              <w:left w:val="single" w:color="auto" w:sz="4" w:space="0"/>
              <w:bottom w:val="single" w:color="auto" w:sz="4" w:space="0"/>
              <w:right w:val="single" w:color="auto" w:sz="4" w:space="0"/>
            </w:tcBorders>
            <w:vAlign w:val="center"/>
          </w:tcPr>
          <w:p w14:paraId="7E049C33">
            <w:pPr>
              <w:adjustRightInd w:val="0"/>
              <w:snapToGrid w:val="0"/>
              <w:spacing w:line="312" w:lineRule="auto"/>
              <w:jc w:val="center"/>
              <w:rPr>
                <w:rFonts w:ascii="仿宋" w:hAnsi="仿宋" w:eastAsia="仿宋"/>
                <w:sz w:val="24"/>
                <w:szCs w:val="24"/>
              </w:rPr>
            </w:pPr>
            <w:r>
              <w:rPr>
                <w:rFonts w:hint="eastAsia" w:ascii="仿宋" w:hAnsi="仿宋" w:eastAsia="仿宋"/>
                <w:sz w:val="24"/>
                <w:szCs w:val="24"/>
                <w:lang w:bidi="ar"/>
              </w:rPr>
              <w:t>500</w:t>
            </w:r>
          </w:p>
        </w:tc>
      </w:tr>
      <w:tr w14:paraId="2DD90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927" w:type="dxa"/>
            <w:tcBorders>
              <w:top w:val="single" w:color="auto" w:sz="4" w:space="0"/>
              <w:left w:val="single" w:color="auto" w:sz="4" w:space="0"/>
              <w:bottom w:val="single" w:color="auto" w:sz="4" w:space="0"/>
              <w:right w:val="single" w:color="auto" w:sz="4" w:space="0"/>
            </w:tcBorders>
            <w:vAlign w:val="center"/>
          </w:tcPr>
          <w:p w14:paraId="3B91ECB9">
            <w:pPr>
              <w:spacing w:line="312" w:lineRule="auto"/>
              <w:jc w:val="center"/>
              <w:rPr>
                <w:rFonts w:ascii="宋体" w:hAnsi="宋体"/>
                <w:sz w:val="24"/>
                <w:szCs w:val="24"/>
              </w:rPr>
            </w:pPr>
            <w:r>
              <w:rPr>
                <w:rFonts w:hint="eastAsia" w:ascii="宋体" w:hAnsi="宋体"/>
                <w:sz w:val="24"/>
                <w:szCs w:val="24"/>
                <w:lang w:bidi="ar"/>
              </w:rPr>
              <w:t>7</w:t>
            </w:r>
          </w:p>
        </w:tc>
        <w:tc>
          <w:tcPr>
            <w:tcW w:w="5580" w:type="dxa"/>
            <w:tcBorders>
              <w:top w:val="single" w:color="auto" w:sz="4" w:space="0"/>
              <w:left w:val="single" w:color="auto" w:sz="4" w:space="0"/>
              <w:bottom w:val="single" w:color="auto" w:sz="4" w:space="0"/>
              <w:right w:val="single" w:color="auto" w:sz="4" w:space="0"/>
            </w:tcBorders>
            <w:vAlign w:val="center"/>
          </w:tcPr>
          <w:p w14:paraId="68334813">
            <w:pPr>
              <w:spacing w:line="312" w:lineRule="auto"/>
              <w:rPr>
                <w:rFonts w:ascii="仿宋" w:hAnsi="仿宋" w:eastAsia="仿宋"/>
                <w:sz w:val="24"/>
                <w:szCs w:val="24"/>
              </w:rPr>
            </w:pPr>
            <w:r>
              <w:rPr>
                <w:rFonts w:hint="eastAsia" w:ascii="仿宋" w:hAnsi="仿宋" w:eastAsia="仿宋"/>
                <w:sz w:val="24"/>
                <w:szCs w:val="24"/>
                <w:lang w:bidi="ar"/>
              </w:rPr>
              <w:t>乙方在学院维修维护服务中发生交通事故</w:t>
            </w:r>
          </w:p>
        </w:tc>
        <w:tc>
          <w:tcPr>
            <w:tcW w:w="2987" w:type="dxa"/>
            <w:tcBorders>
              <w:top w:val="single" w:color="auto" w:sz="4" w:space="0"/>
              <w:left w:val="single" w:color="auto" w:sz="4" w:space="0"/>
              <w:bottom w:val="single" w:color="auto" w:sz="4" w:space="0"/>
              <w:right w:val="single" w:color="auto" w:sz="4" w:space="0"/>
            </w:tcBorders>
            <w:vAlign w:val="center"/>
          </w:tcPr>
          <w:p w14:paraId="1260FD10">
            <w:pPr>
              <w:spacing w:line="312" w:lineRule="auto"/>
              <w:jc w:val="center"/>
              <w:rPr>
                <w:rFonts w:ascii="仿宋" w:hAnsi="仿宋" w:eastAsia="仿宋"/>
                <w:sz w:val="24"/>
                <w:szCs w:val="24"/>
                <w:highlight w:val="yellow"/>
              </w:rPr>
            </w:pPr>
            <w:r>
              <w:rPr>
                <w:rFonts w:hint="eastAsia" w:ascii="仿宋" w:hAnsi="仿宋" w:eastAsia="仿宋"/>
                <w:sz w:val="24"/>
                <w:szCs w:val="24"/>
                <w:lang w:bidi="ar"/>
              </w:rPr>
              <w:t>1000</w:t>
            </w:r>
          </w:p>
        </w:tc>
      </w:tr>
      <w:tr w14:paraId="73C77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7" w:type="dxa"/>
            <w:tcBorders>
              <w:top w:val="single" w:color="auto" w:sz="4" w:space="0"/>
              <w:left w:val="single" w:color="auto" w:sz="4" w:space="0"/>
              <w:bottom w:val="single" w:color="auto" w:sz="4" w:space="0"/>
              <w:right w:val="single" w:color="auto" w:sz="4" w:space="0"/>
            </w:tcBorders>
            <w:vAlign w:val="center"/>
          </w:tcPr>
          <w:p w14:paraId="791A03F9">
            <w:pPr>
              <w:spacing w:line="312" w:lineRule="auto"/>
              <w:jc w:val="center"/>
              <w:rPr>
                <w:rFonts w:ascii="宋体" w:hAnsi="宋体"/>
                <w:sz w:val="24"/>
                <w:szCs w:val="24"/>
              </w:rPr>
            </w:pPr>
            <w:r>
              <w:rPr>
                <w:rFonts w:hint="eastAsia" w:ascii="宋体" w:hAnsi="宋体"/>
                <w:sz w:val="24"/>
                <w:szCs w:val="24"/>
                <w:lang w:bidi="ar"/>
              </w:rPr>
              <w:t>8</w:t>
            </w:r>
          </w:p>
        </w:tc>
        <w:tc>
          <w:tcPr>
            <w:tcW w:w="5580" w:type="dxa"/>
            <w:tcBorders>
              <w:top w:val="single" w:color="auto" w:sz="4" w:space="0"/>
              <w:left w:val="single" w:color="auto" w:sz="4" w:space="0"/>
              <w:bottom w:val="single" w:color="auto" w:sz="4" w:space="0"/>
              <w:right w:val="single" w:color="auto" w:sz="4" w:space="0"/>
            </w:tcBorders>
            <w:vAlign w:val="center"/>
          </w:tcPr>
          <w:p w14:paraId="76176E2D">
            <w:pPr>
              <w:spacing w:line="312" w:lineRule="auto"/>
              <w:rPr>
                <w:rFonts w:ascii="仿宋" w:hAnsi="仿宋" w:eastAsia="仿宋"/>
                <w:sz w:val="24"/>
                <w:szCs w:val="24"/>
              </w:rPr>
            </w:pPr>
            <w:r>
              <w:rPr>
                <w:rFonts w:hint="eastAsia" w:ascii="仿宋" w:hAnsi="仿宋" w:eastAsia="仿宋"/>
                <w:sz w:val="24"/>
                <w:szCs w:val="24"/>
              </w:rPr>
              <w:t>乙方未严格按照规程进行操作，造成的人身伤害和财产损失，均由乙方承担，甲方不承担任何连带责任，另考核乙方</w:t>
            </w:r>
          </w:p>
        </w:tc>
        <w:tc>
          <w:tcPr>
            <w:tcW w:w="2987" w:type="dxa"/>
            <w:tcBorders>
              <w:top w:val="single" w:color="auto" w:sz="4" w:space="0"/>
              <w:left w:val="single" w:color="auto" w:sz="4" w:space="0"/>
              <w:bottom w:val="single" w:color="auto" w:sz="4" w:space="0"/>
              <w:right w:val="single" w:color="auto" w:sz="4" w:space="0"/>
            </w:tcBorders>
            <w:vAlign w:val="center"/>
          </w:tcPr>
          <w:p w14:paraId="7BEAA4F6">
            <w:pPr>
              <w:spacing w:line="312" w:lineRule="auto"/>
              <w:jc w:val="center"/>
              <w:rPr>
                <w:rFonts w:ascii="仿宋" w:hAnsi="仿宋" w:eastAsia="仿宋"/>
                <w:b/>
                <w:sz w:val="24"/>
                <w:szCs w:val="24"/>
              </w:rPr>
            </w:pPr>
            <w:r>
              <w:rPr>
                <w:rFonts w:hint="eastAsia" w:ascii="仿宋" w:hAnsi="仿宋" w:eastAsia="仿宋"/>
                <w:sz w:val="24"/>
                <w:szCs w:val="24"/>
                <w:lang w:bidi="ar"/>
              </w:rPr>
              <w:t>2000</w:t>
            </w:r>
          </w:p>
        </w:tc>
      </w:tr>
      <w:tr w14:paraId="1C2FD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927" w:type="dxa"/>
            <w:tcBorders>
              <w:top w:val="single" w:color="auto" w:sz="4" w:space="0"/>
              <w:left w:val="single" w:color="auto" w:sz="4" w:space="0"/>
              <w:bottom w:val="single" w:color="auto" w:sz="4" w:space="0"/>
              <w:right w:val="single" w:color="auto" w:sz="4" w:space="0"/>
            </w:tcBorders>
            <w:vAlign w:val="center"/>
          </w:tcPr>
          <w:p w14:paraId="45683F45">
            <w:pPr>
              <w:spacing w:line="312" w:lineRule="auto"/>
              <w:jc w:val="center"/>
              <w:rPr>
                <w:rFonts w:ascii="宋体" w:hAnsi="宋体"/>
                <w:sz w:val="24"/>
                <w:szCs w:val="24"/>
              </w:rPr>
            </w:pPr>
            <w:r>
              <w:rPr>
                <w:rFonts w:hint="eastAsia" w:ascii="宋体" w:hAnsi="宋体"/>
                <w:sz w:val="24"/>
                <w:szCs w:val="24"/>
              </w:rPr>
              <w:t>9</w:t>
            </w:r>
          </w:p>
        </w:tc>
        <w:tc>
          <w:tcPr>
            <w:tcW w:w="5580" w:type="dxa"/>
            <w:tcBorders>
              <w:top w:val="single" w:color="auto" w:sz="4" w:space="0"/>
              <w:left w:val="single" w:color="auto" w:sz="4" w:space="0"/>
              <w:bottom w:val="single" w:color="auto" w:sz="4" w:space="0"/>
              <w:right w:val="single" w:color="auto" w:sz="4" w:space="0"/>
            </w:tcBorders>
            <w:vAlign w:val="center"/>
          </w:tcPr>
          <w:p w14:paraId="4B500A04">
            <w:pPr>
              <w:spacing w:line="312" w:lineRule="auto"/>
              <w:rPr>
                <w:rFonts w:ascii="仿宋" w:hAnsi="仿宋" w:eastAsia="仿宋"/>
                <w:sz w:val="24"/>
                <w:szCs w:val="24"/>
              </w:rPr>
            </w:pPr>
            <w:r>
              <w:rPr>
                <w:rFonts w:hint="eastAsia" w:ascii="仿宋" w:hAnsi="仿宋" w:eastAsia="仿宋"/>
                <w:sz w:val="24"/>
                <w:szCs w:val="24"/>
                <w:lang w:bidi="ar"/>
              </w:rPr>
              <w:t>乙方服务人员无故到其他区域或擅自动用甲方设施设备的</w:t>
            </w:r>
          </w:p>
        </w:tc>
        <w:tc>
          <w:tcPr>
            <w:tcW w:w="2987" w:type="dxa"/>
            <w:tcBorders>
              <w:top w:val="single" w:color="auto" w:sz="4" w:space="0"/>
              <w:left w:val="single" w:color="auto" w:sz="4" w:space="0"/>
              <w:bottom w:val="single" w:color="auto" w:sz="4" w:space="0"/>
              <w:right w:val="single" w:color="auto" w:sz="4" w:space="0"/>
            </w:tcBorders>
            <w:vAlign w:val="center"/>
          </w:tcPr>
          <w:p w14:paraId="589D0E06">
            <w:pPr>
              <w:spacing w:line="312" w:lineRule="auto"/>
              <w:jc w:val="center"/>
              <w:rPr>
                <w:rFonts w:ascii="仿宋" w:hAnsi="仿宋" w:eastAsia="仿宋"/>
                <w:sz w:val="24"/>
                <w:szCs w:val="24"/>
              </w:rPr>
            </w:pPr>
            <w:r>
              <w:rPr>
                <w:rFonts w:hint="eastAsia" w:ascii="仿宋" w:hAnsi="仿宋" w:eastAsia="仿宋"/>
                <w:sz w:val="24"/>
                <w:szCs w:val="24"/>
                <w:lang w:bidi="ar"/>
              </w:rPr>
              <w:t>200</w:t>
            </w:r>
          </w:p>
        </w:tc>
      </w:tr>
      <w:tr w14:paraId="57A94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7" w:type="dxa"/>
            <w:tcBorders>
              <w:top w:val="single" w:color="auto" w:sz="4" w:space="0"/>
              <w:left w:val="single" w:color="auto" w:sz="4" w:space="0"/>
              <w:bottom w:val="single" w:color="auto" w:sz="4" w:space="0"/>
              <w:right w:val="single" w:color="auto" w:sz="4" w:space="0"/>
            </w:tcBorders>
            <w:vAlign w:val="center"/>
          </w:tcPr>
          <w:p w14:paraId="7329845D">
            <w:pPr>
              <w:spacing w:line="312" w:lineRule="auto"/>
              <w:jc w:val="center"/>
              <w:rPr>
                <w:rFonts w:ascii="宋体" w:hAnsi="宋体"/>
                <w:sz w:val="24"/>
                <w:szCs w:val="24"/>
              </w:rPr>
            </w:pPr>
            <w:r>
              <w:rPr>
                <w:rFonts w:hint="eastAsia" w:ascii="宋体" w:hAnsi="宋体"/>
                <w:sz w:val="24"/>
                <w:szCs w:val="24"/>
                <w:lang w:bidi="ar"/>
              </w:rPr>
              <w:t>10</w:t>
            </w:r>
          </w:p>
        </w:tc>
        <w:tc>
          <w:tcPr>
            <w:tcW w:w="5580" w:type="dxa"/>
            <w:tcBorders>
              <w:top w:val="single" w:color="auto" w:sz="4" w:space="0"/>
              <w:left w:val="single" w:color="auto" w:sz="4" w:space="0"/>
              <w:bottom w:val="single" w:color="auto" w:sz="4" w:space="0"/>
              <w:right w:val="single" w:color="auto" w:sz="4" w:space="0"/>
            </w:tcBorders>
            <w:vAlign w:val="center"/>
          </w:tcPr>
          <w:p w14:paraId="1AC7DA66">
            <w:pPr>
              <w:spacing w:line="312" w:lineRule="auto"/>
              <w:rPr>
                <w:rFonts w:ascii="仿宋" w:hAnsi="仿宋" w:eastAsia="仿宋"/>
                <w:sz w:val="24"/>
                <w:szCs w:val="24"/>
              </w:rPr>
            </w:pPr>
            <w:r>
              <w:rPr>
                <w:rFonts w:hint="eastAsia" w:ascii="仿宋" w:hAnsi="仿宋" w:eastAsia="仿宋"/>
                <w:sz w:val="24"/>
                <w:szCs w:val="24"/>
                <w:lang w:bidi="ar"/>
              </w:rPr>
              <w:t>应定期听取相关服务质量的意见，每学期甲方开展一次分项满意度调查</w:t>
            </w:r>
          </w:p>
        </w:tc>
        <w:tc>
          <w:tcPr>
            <w:tcW w:w="2987" w:type="dxa"/>
            <w:tcBorders>
              <w:top w:val="single" w:color="auto" w:sz="4" w:space="0"/>
              <w:left w:val="single" w:color="auto" w:sz="4" w:space="0"/>
              <w:bottom w:val="single" w:color="auto" w:sz="4" w:space="0"/>
              <w:right w:val="single" w:color="auto" w:sz="4" w:space="0"/>
            </w:tcBorders>
            <w:vAlign w:val="center"/>
          </w:tcPr>
          <w:p w14:paraId="00124337">
            <w:pPr>
              <w:spacing w:line="312" w:lineRule="auto"/>
              <w:rPr>
                <w:rFonts w:ascii="仿宋" w:hAnsi="仿宋" w:eastAsia="仿宋"/>
                <w:sz w:val="24"/>
                <w:szCs w:val="24"/>
              </w:rPr>
            </w:pPr>
            <w:r>
              <w:rPr>
                <w:rFonts w:hint="eastAsia" w:ascii="仿宋" w:hAnsi="仿宋" w:eastAsia="仿宋"/>
                <w:sz w:val="24"/>
                <w:szCs w:val="24"/>
                <w:lang w:bidi="ar"/>
              </w:rPr>
              <w:t>满意度低于85%考核扣罚500，以此每低于一个百分点增加考核扣罚200。</w:t>
            </w:r>
          </w:p>
        </w:tc>
      </w:tr>
    </w:tbl>
    <w:p w14:paraId="084B7BE7">
      <w:pPr>
        <w:adjustRightInd w:val="0"/>
        <w:snapToGrid w:val="0"/>
        <w:spacing w:line="520" w:lineRule="exact"/>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五、投标报价说明</w:t>
      </w:r>
    </w:p>
    <w:p w14:paraId="0F4F19FE">
      <w:pPr>
        <w:pStyle w:val="43"/>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本项目采购上限价为</w:t>
      </w:r>
      <w:r>
        <w:rPr>
          <w:rFonts w:hint="eastAsia" w:ascii="仿宋" w:hAnsi="仿宋" w:eastAsia="仿宋"/>
          <w:sz w:val="24"/>
          <w:szCs w:val="24"/>
        </w:rPr>
        <w:t>156060</w:t>
      </w:r>
      <w:r>
        <w:rPr>
          <w:rFonts w:hint="eastAsia" w:ascii="仿宋" w:hAnsi="仿宋" w:eastAsia="仿宋" w:cs="仿宋"/>
          <w:color w:val="333333"/>
          <w:kern w:val="0"/>
          <w:sz w:val="24"/>
          <w:szCs w:val="24"/>
        </w:rPr>
        <w:t>元，报价为一次性报价。</w:t>
      </w:r>
    </w:p>
    <w:p w14:paraId="05F8263E">
      <w:pPr>
        <w:pStyle w:val="43"/>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投标人的投标报价应是完成招标项目所有服务内容及要求。投标人</w:t>
      </w:r>
      <w:r>
        <w:rPr>
          <w:rFonts w:hint="eastAsia" w:ascii="仿宋" w:hAnsi="仿宋" w:eastAsia="仿宋" w:cs="仿宋"/>
          <w:color w:val="333333"/>
          <w:kern w:val="0"/>
          <w:sz w:val="24"/>
          <w:szCs w:val="24"/>
          <w:lang w:val="en-US" w:eastAsia="zh-CN"/>
        </w:rPr>
        <w:t>可视情况自行</w:t>
      </w:r>
      <w:r>
        <w:rPr>
          <w:rFonts w:hint="eastAsia" w:ascii="仿宋" w:hAnsi="仿宋" w:eastAsia="仿宋" w:cs="仿宋"/>
          <w:color w:val="333333"/>
          <w:kern w:val="0"/>
          <w:sz w:val="24"/>
          <w:szCs w:val="24"/>
        </w:rPr>
        <w:t>现场进行勘察，签订合同过程中，不得以不完全了解现场情况为由，提出任何形式的增加费用或索赔要求。投标人</w:t>
      </w:r>
      <w:r>
        <w:rPr>
          <w:rFonts w:hint="eastAsia" w:ascii="仿宋" w:hAnsi="仿宋" w:eastAsia="仿宋" w:cs="仿宋"/>
          <w:color w:val="333333"/>
          <w:kern w:val="0"/>
          <w:sz w:val="24"/>
          <w:szCs w:val="24"/>
          <w:lang w:val="en-US" w:eastAsia="zh-CN"/>
        </w:rPr>
        <w:t>自行</w:t>
      </w:r>
      <w:r>
        <w:rPr>
          <w:rFonts w:hint="eastAsia" w:ascii="仿宋" w:hAnsi="仿宋" w:eastAsia="仿宋" w:cs="仿宋"/>
          <w:color w:val="333333"/>
          <w:kern w:val="0"/>
          <w:sz w:val="24"/>
          <w:szCs w:val="24"/>
        </w:rPr>
        <w:t>踏勘现场所发生的一切费用和责任概由投标人自负。</w:t>
      </w:r>
    </w:p>
    <w:p w14:paraId="7857B152">
      <w:pPr>
        <w:adjustRightInd w:val="0"/>
        <w:snapToGrid w:val="0"/>
        <w:spacing w:line="520" w:lineRule="exact"/>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66E55942">
      <w:pPr>
        <w:pStyle w:val="43"/>
        <w:spacing w:line="520" w:lineRule="exact"/>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本合同为含税总价包干，成交供应商收到成交通知后，应在一周内签订合同，并提交壹万元（</w:t>
      </w:r>
      <w:r>
        <w:rPr>
          <w:rFonts w:hint="eastAsia" w:ascii="仿宋" w:hAnsi="仿宋" w:eastAsia="仿宋" w:cs="仿宋"/>
          <w:color w:val="333333"/>
          <w:kern w:val="0"/>
          <w:sz w:val="24"/>
          <w:szCs w:val="24"/>
          <w:lang w:val="en-US" w:eastAsia="zh-CN"/>
        </w:rPr>
        <w:t>¥</w:t>
      </w:r>
      <w:r>
        <w:rPr>
          <w:rFonts w:hint="eastAsia" w:ascii="仿宋" w:hAnsi="仿宋" w:eastAsia="仿宋" w:cs="仿宋"/>
          <w:color w:val="333333"/>
          <w:kern w:val="0"/>
          <w:sz w:val="24"/>
          <w:szCs w:val="24"/>
        </w:rPr>
        <w:t>10000元）银行履约保函。</w:t>
      </w:r>
    </w:p>
    <w:p w14:paraId="541C73DD">
      <w:pPr>
        <w:pStyle w:val="43"/>
        <w:spacing w:line="520" w:lineRule="exact"/>
        <w:ind w:firstLine="0" w:firstLineChars="0"/>
        <w:rPr>
          <w:rFonts w:ascii="仿宋" w:hAnsi="仿宋" w:eastAsia="仿宋" w:cs="仿宋"/>
          <w:color w:val="333333"/>
          <w:kern w:val="0"/>
          <w:sz w:val="24"/>
          <w:szCs w:val="24"/>
        </w:rPr>
      </w:pPr>
      <w:r>
        <w:rPr>
          <w:rFonts w:hint="eastAsia" w:ascii="仿宋" w:hAnsi="仿宋" w:eastAsia="仿宋" w:cs="仿宋"/>
          <w:color w:val="333333"/>
          <w:kern w:val="0"/>
          <w:sz w:val="24"/>
          <w:szCs w:val="24"/>
        </w:rPr>
        <w:t>履行合同的时间：2026年1月16日-2027年1月15日。</w:t>
      </w:r>
    </w:p>
    <w:p w14:paraId="5305365C">
      <w:pPr>
        <w:ind w:firstLine="482" w:firstLineChars="200"/>
      </w:pPr>
      <w:r>
        <w:rPr>
          <w:rFonts w:hint="eastAsia" w:ascii="仿宋" w:hAnsi="仿宋" w:eastAsia="仿宋" w:cstheme="minorEastAsia"/>
          <w:b/>
          <w:sz w:val="24"/>
          <w:szCs w:val="24"/>
        </w:rPr>
        <w:t>七、付款方式：</w:t>
      </w:r>
      <w:r>
        <w:rPr>
          <w:rFonts w:hint="eastAsia" w:ascii="仿宋" w:hAnsi="仿宋" w:eastAsia="仿宋" w:cs="仿宋"/>
          <w:color w:val="333333"/>
          <w:kern w:val="0"/>
          <w:sz w:val="24"/>
          <w:szCs w:val="24"/>
          <w:lang w:val="en-US" w:eastAsia="zh-CN" w:bidi="ar-SA"/>
        </w:rPr>
        <w:t>合同签订后，按维保检修安排，甲方每半年支付技术服务费的50%给乙方，每年服务费分两次付清。在付款前乙方提供正规税务发票给甲方。</w:t>
      </w:r>
    </w:p>
    <w:p w14:paraId="6689AD3A"/>
    <w:p w14:paraId="2D2377EB"/>
    <w:p w14:paraId="10AC134B">
      <w:pPr>
        <w:pStyle w:val="18"/>
        <w:ind w:left="0" w:leftChars="0" w:firstLine="0"/>
        <w:jc w:val="center"/>
        <w:rPr>
          <w:rFonts w:hint="eastAsia" w:ascii="仿宋" w:hAnsi="仿宋" w:eastAsia="仿宋"/>
          <w:b/>
          <w:sz w:val="36"/>
          <w:szCs w:val="36"/>
        </w:rPr>
      </w:pPr>
    </w:p>
    <w:p w14:paraId="1F361A1A">
      <w:pPr>
        <w:pStyle w:val="18"/>
        <w:ind w:left="0" w:leftChars="0" w:firstLine="0"/>
        <w:jc w:val="center"/>
        <w:rPr>
          <w:rFonts w:hint="eastAsia" w:ascii="仿宋" w:hAnsi="仿宋" w:eastAsia="仿宋"/>
          <w:b/>
          <w:sz w:val="36"/>
          <w:szCs w:val="36"/>
        </w:rPr>
      </w:pPr>
    </w:p>
    <w:p w14:paraId="423D4BF3">
      <w:pPr>
        <w:pStyle w:val="18"/>
        <w:ind w:left="0" w:leftChars="0" w:firstLine="0"/>
        <w:jc w:val="center"/>
        <w:rPr>
          <w:rFonts w:hint="eastAsia" w:ascii="仿宋" w:hAnsi="仿宋" w:eastAsia="仿宋"/>
          <w:b/>
          <w:sz w:val="36"/>
          <w:szCs w:val="36"/>
        </w:rPr>
      </w:pPr>
    </w:p>
    <w:p w14:paraId="1CEE1774">
      <w:pPr>
        <w:pStyle w:val="18"/>
        <w:ind w:left="0" w:leftChars="0" w:firstLine="0"/>
        <w:jc w:val="center"/>
        <w:rPr>
          <w:rFonts w:hint="eastAsia" w:ascii="仿宋" w:hAnsi="仿宋" w:eastAsia="仿宋"/>
          <w:b/>
          <w:sz w:val="36"/>
          <w:szCs w:val="36"/>
        </w:rPr>
      </w:pPr>
    </w:p>
    <w:p w14:paraId="7306E27B">
      <w:pPr>
        <w:pStyle w:val="18"/>
        <w:ind w:left="0" w:leftChars="0" w:firstLine="0"/>
        <w:jc w:val="center"/>
        <w:rPr>
          <w:rFonts w:hint="eastAsia" w:ascii="仿宋" w:hAnsi="仿宋" w:eastAsia="仿宋"/>
          <w:b/>
          <w:sz w:val="36"/>
          <w:szCs w:val="36"/>
        </w:rPr>
      </w:pPr>
    </w:p>
    <w:p w14:paraId="65F88279">
      <w:pPr>
        <w:pStyle w:val="18"/>
        <w:ind w:left="0" w:leftChars="0" w:firstLine="0"/>
        <w:jc w:val="center"/>
        <w:rPr>
          <w:rFonts w:hint="eastAsia" w:ascii="仿宋" w:hAnsi="仿宋" w:eastAsia="仿宋"/>
          <w:b/>
          <w:sz w:val="36"/>
          <w:szCs w:val="36"/>
        </w:rPr>
      </w:pPr>
    </w:p>
    <w:p w14:paraId="174DA8FD">
      <w:pPr>
        <w:pStyle w:val="18"/>
        <w:ind w:left="0" w:leftChars="0" w:firstLine="0"/>
        <w:jc w:val="center"/>
        <w:rPr>
          <w:rFonts w:hint="eastAsia" w:ascii="仿宋" w:hAnsi="仿宋" w:eastAsia="仿宋"/>
          <w:b/>
          <w:sz w:val="36"/>
          <w:szCs w:val="36"/>
        </w:rPr>
      </w:pPr>
    </w:p>
    <w:p w14:paraId="223FEA38">
      <w:pPr>
        <w:pStyle w:val="18"/>
        <w:ind w:left="0" w:leftChars="0" w:firstLine="0"/>
        <w:jc w:val="center"/>
        <w:rPr>
          <w:rFonts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ascii="仿宋" w:hAnsi="仿宋" w:eastAsia="仿宋"/>
          <w:b/>
          <w:sz w:val="24"/>
          <w:szCs w:val="24"/>
        </w:rPr>
      </w:pPr>
      <w:r>
        <w:rPr>
          <w:rFonts w:hint="eastAsia" w:ascii="仿宋" w:hAnsi="仿宋" w:eastAsia="仿宋"/>
          <w:b/>
          <w:sz w:val="24"/>
          <w:szCs w:val="24"/>
        </w:rPr>
        <w:t>2.评审方法</w:t>
      </w:r>
    </w:p>
    <w:p w14:paraId="1D76FA35">
      <w:pPr>
        <w:spacing w:line="360" w:lineRule="auto"/>
        <w:ind w:firstLine="480" w:firstLineChars="200"/>
        <w:rPr>
          <w:rFonts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2.1评审方法：综合评分法，即响应文件能够最大限度的满足询比采购文件规定的各项综合评价标准且经评审得分第一的供应商为成交供应商的评标方法。</w:t>
      </w:r>
    </w:p>
    <w:p w14:paraId="25A04307">
      <w:pPr>
        <w:spacing w:line="360" w:lineRule="auto"/>
        <w:ind w:firstLine="480" w:firstLineChars="200"/>
        <w:rPr>
          <w:rFonts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ascii="仿宋" w:hAnsi="仿宋" w:eastAsia="仿宋"/>
          <w:sz w:val="24"/>
          <w:szCs w:val="24"/>
        </w:rPr>
      </w:pPr>
      <w:r>
        <w:rPr>
          <w:rFonts w:hint="eastAsia" w:ascii="仿宋" w:hAnsi="仿宋" w:eastAsia="仿宋"/>
          <w:sz w:val="24"/>
          <w:szCs w:val="24"/>
        </w:rPr>
        <w:t>3.3价格分采用按评审因素和标准表格内评分标准执行。</w:t>
      </w:r>
    </w:p>
    <w:p w14:paraId="634AEBA5">
      <w:pPr>
        <w:spacing w:line="360" w:lineRule="auto"/>
        <w:ind w:firstLine="480" w:firstLineChars="200"/>
        <w:rPr>
          <w:rFonts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056FE710">
      <w:pPr>
        <w:pStyle w:val="18"/>
        <w:spacing w:before="0" w:beforeAutospacing="0" w:after="0" w:line="240" w:lineRule="atLeast"/>
        <w:ind w:left="0" w:leftChars="0" w:firstLine="0"/>
        <w:rPr>
          <w:rFonts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20"/>
        <w:tblW w:w="9801"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28" w:type="dxa"/>
          <w:left w:w="108" w:type="dxa"/>
          <w:bottom w:w="28" w:type="dxa"/>
          <w:right w:w="108" w:type="dxa"/>
        </w:tblCellMar>
      </w:tblPr>
      <w:tblGrid>
        <w:gridCol w:w="559"/>
        <w:gridCol w:w="1302"/>
        <w:gridCol w:w="704"/>
        <w:gridCol w:w="7236"/>
      </w:tblGrid>
      <w:tr w14:paraId="608006F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tblHeader/>
          <w:jc w:val="center"/>
        </w:trPr>
        <w:tc>
          <w:tcPr>
            <w:tcW w:w="559" w:type="dxa"/>
            <w:tcBorders>
              <w:top w:val="single" w:color="auto" w:sz="4" w:space="0"/>
              <w:left w:val="single" w:color="auto" w:sz="4" w:space="0"/>
            </w:tcBorders>
            <w:vAlign w:val="center"/>
          </w:tcPr>
          <w:p w14:paraId="3FB5E375">
            <w:pPr>
              <w:adjustRightInd w:val="0"/>
              <w:snapToGrid w:val="0"/>
              <w:spacing w:line="276" w:lineRule="auto"/>
              <w:jc w:val="center"/>
              <w:rPr>
                <w:rFonts w:ascii="黑体" w:hAnsi="黑体" w:eastAsia="黑体"/>
                <w:bCs/>
                <w:kern w:val="0"/>
                <w:sz w:val="24"/>
                <w:szCs w:val="24"/>
              </w:rPr>
            </w:pPr>
            <w:r>
              <w:rPr>
                <w:rFonts w:hint="eastAsia" w:ascii="黑体" w:hAnsi="黑体" w:eastAsia="黑体"/>
                <w:bCs/>
                <w:kern w:val="0"/>
                <w:sz w:val="24"/>
                <w:szCs w:val="24"/>
              </w:rPr>
              <w:t>序号</w:t>
            </w:r>
          </w:p>
        </w:tc>
        <w:tc>
          <w:tcPr>
            <w:tcW w:w="1302" w:type="dxa"/>
            <w:tcBorders>
              <w:top w:val="single" w:color="auto" w:sz="4" w:space="0"/>
            </w:tcBorders>
            <w:vAlign w:val="center"/>
          </w:tcPr>
          <w:p w14:paraId="53289C6E">
            <w:pPr>
              <w:adjustRightInd w:val="0"/>
              <w:snapToGrid w:val="0"/>
              <w:spacing w:line="276" w:lineRule="auto"/>
              <w:jc w:val="center"/>
              <w:rPr>
                <w:rFonts w:ascii="黑体" w:hAnsi="黑体" w:eastAsia="黑体"/>
                <w:bCs/>
                <w:kern w:val="0"/>
                <w:sz w:val="24"/>
                <w:szCs w:val="20"/>
              </w:rPr>
            </w:pPr>
            <w:r>
              <w:rPr>
                <w:rFonts w:hint="eastAsia" w:ascii="黑体" w:hAnsi="黑体" w:eastAsia="黑体"/>
                <w:bCs/>
                <w:kern w:val="0"/>
                <w:sz w:val="24"/>
                <w:szCs w:val="20"/>
              </w:rPr>
              <w:t>评分因素</w:t>
            </w:r>
          </w:p>
        </w:tc>
        <w:tc>
          <w:tcPr>
            <w:tcW w:w="704" w:type="dxa"/>
            <w:tcBorders>
              <w:top w:val="single" w:color="auto" w:sz="4" w:space="0"/>
            </w:tcBorders>
            <w:vAlign w:val="center"/>
          </w:tcPr>
          <w:p w14:paraId="3FD14CD8">
            <w:pPr>
              <w:adjustRightInd w:val="0"/>
              <w:snapToGrid w:val="0"/>
              <w:spacing w:line="276" w:lineRule="auto"/>
              <w:jc w:val="center"/>
              <w:rPr>
                <w:rFonts w:ascii="黑体" w:hAnsi="黑体" w:eastAsia="黑体"/>
                <w:bCs/>
                <w:kern w:val="0"/>
                <w:sz w:val="24"/>
                <w:szCs w:val="24"/>
              </w:rPr>
            </w:pPr>
            <w:r>
              <w:rPr>
                <w:rFonts w:hint="eastAsia" w:ascii="黑体" w:hAnsi="黑体" w:eastAsia="黑体"/>
                <w:bCs/>
                <w:kern w:val="0"/>
                <w:sz w:val="24"/>
                <w:szCs w:val="24"/>
              </w:rPr>
              <w:t>分值</w:t>
            </w:r>
          </w:p>
        </w:tc>
        <w:tc>
          <w:tcPr>
            <w:tcW w:w="7236" w:type="dxa"/>
            <w:tcBorders>
              <w:top w:val="single" w:color="auto" w:sz="4" w:space="0"/>
              <w:right w:val="single" w:color="auto" w:sz="4" w:space="0"/>
            </w:tcBorders>
            <w:vAlign w:val="center"/>
          </w:tcPr>
          <w:p w14:paraId="46E875D5">
            <w:pPr>
              <w:adjustRightInd w:val="0"/>
              <w:snapToGrid w:val="0"/>
              <w:spacing w:line="276" w:lineRule="auto"/>
              <w:jc w:val="center"/>
              <w:rPr>
                <w:rFonts w:ascii="黑体" w:hAnsi="黑体" w:eastAsia="黑体"/>
                <w:bCs/>
                <w:kern w:val="0"/>
                <w:sz w:val="24"/>
                <w:szCs w:val="24"/>
              </w:rPr>
            </w:pPr>
            <w:r>
              <w:rPr>
                <w:rFonts w:hint="eastAsia" w:ascii="黑体" w:hAnsi="黑体" w:eastAsia="黑体"/>
                <w:bCs/>
                <w:kern w:val="0"/>
                <w:sz w:val="24"/>
                <w:szCs w:val="24"/>
              </w:rPr>
              <w:t>评分标准</w:t>
            </w:r>
          </w:p>
        </w:tc>
      </w:tr>
      <w:tr w14:paraId="2C946A6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559" w:type="dxa"/>
            <w:tcBorders>
              <w:left w:val="single" w:color="auto" w:sz="4" w:space="0"/>
            </w:tcBorders>
            <w:vAlign w:val="center"/>
          </w:tcPr>
          <w:p w14:paraId="54F0E9E0">
            <w:pPr>
              <w:pStyle w:val="16"/>
              <w:keepNext w:val="0"/>
              <w:keepLines w:val="0"/>
              <w:widowControl/>
              <w:suppressLineNumbers w:val="0"/>
              <w:spacing w:before="0" w:beforeAutospacing="0" w:after="0" w:afterAutospacing="0"/>
              <w:ind w:left="0" w:leftChars="0" w:right="0" w:rightChars="0"/>
              <w:jc w:val="center"/>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1</w:t>
            </w:r>
          </w:p>
        </w:tc>
        <w:tc>
          <w:tcPr>
            <w:tcW w:w="1302" w:type="dxa"/>
            <w:vAlign w:val="center"/>
          </w:tcPr>
          <w:p w14:paraId="5121ACAA">
            <w:pPr>
              <w:pStyle w:val="16"/>
              <w:keepNext w:val="0"/>
              <w:keepLines w:val="0"/>
              <w:widowControl/>
              <w:suppressLineNumbers w:val="0"/>
              <w:spacing w:before="0" w:beforeAutospacing="0" w:after="0" w:afterAutospacing="0"/>
              <w:ind w:left="0" w:leftChars="0" w:right="0" w:rightChars="0"/>
              <w:jc w:val="center"/>
              <w:rPr>
                <w:rFonts w:ascii="仿宋" w:hAnsi="仿宋" w:eastAsia="仿宋" w:cs="仿宋"/>
                <w:b w:val="0"/>
                <w:bCs w:val="0"/>
                <w:i w:val="0"/>
                <w:iCs w:val="0"/>
                <w:color w:val="000000"/>
                <w:spacing w:val="0"/>
                <w:w w:val="100"/>
                <w:kern w:val="2"/>
                <w:sz w:val="24"/>
                <w:szCs w:val="24"/>
                <w:vertAlign w:val="baseline"/>
              </w:rPr>
            </w:pPr>
            <w:r>
              <w:rPr>
                <w:rFonts w:hint="eastAsia" w:ascii="仿宋" w:hAnsi="仿宋" w:eastAsia="仿宋" w:cs="仿宋"/>
                <w:b w:val="0"/>
                <w:bCs w:val="0"/>
                <w:i w:val="0"/>
                <w:iCs w:val="0"/>
                <w:color w:val="000000"/>
                <w:spacing w:val="0"/>
                <w:w w:val="100"/>
                <w:kern w:val="2"/>
                <w:sz w:val="24"/>
                <w:szCs w:val="24"/>
                <w:vertAlign w:val="baseline"/>
              </w:rPr>
              <w:t>报价</w:t>
            </w:r>
          </w:p>
        </w:tc>
        <w:tc>
          <w:tcPr>
            <w:tcW w:w="704" w:type="dxa"/>
            <w:vAlign w:val="center"/>
          </w:tcPr>
          <w:p w14:paraId="35526F8D">
            <w:pPr>
              <w:jc w:val="center"/>
              <w:rPr>
                <w:rFonts w:hint="default" w:ascii="仿宋" w:hAnsi="仿宋" w:eastAsia="仿宋" w:cs="仿宋"/>
                <w:b w:val="0"/>
                <w:bCs w:val="0"/>
                <w:i w:val="0"/>
                <w:iCs w:val="0"/>
                <w:color w:val="000000"/>
                <w:spacing w:val="0"/>
                <w:w w:val="100"/>
                <w:kern w:val="2"/>
                <w:sz w:val="24"/>
                <w:szCs w:val="24"/>
                <w:vertAlign w:val="baseline"/>
                <w:lang w:val="en-US" w:eastAsia="zh-CN"/>
              </w:rPr>
            </w:pPr>
            <w:r>
              <w:rPr>
                <w:rFonts w:hint="eastAsia" w:ascii="仿宋" w:hAnsi="仿宋" w:eastAsia="仿宋" w:cs="宋体"/>
                <w:sz w:val="24"/>
                <w:szCs w:val="24"/>
                <w:lang w:val="en-US" w:eastAsia="zh-CN"/>
              </w:rPr>
              <w:t>30</w:t>
            </w:r>
          </w:p>
        </w:tc>
        <w:tc>
          <w:tcPr>
            <w:tcW w:w="7236" w:type="dxa"/>
            <w:tcBorders>
              <w:right w:val="single" w:color="auto" w:sz="4" w:space="0"/>
            </w:tcBorders>
            <w:vAlign w:val="center"/>
          </w:tcPr>
          <w:p w14:paraId="30A596EE">
            <w:pPr>
              <w:pStyle w:val="16"/>
              <w:keepNext w:val="0"/>
              <w:keepLines w:val="0"/>
              <w:widowControl/>
              <w:suppressLineNumbers w:val="0"/>
              <w:spacing w:before="0" w:beforeAutospacing="0" w:after="0" w:afterAutospacing="0"/>
              <w:ind w:left="0" w:leftChars="0" w:right="0" w:rightChars="0"/>
              <w:jc w:val="left"/>
              <w:rPr>
                <w:rFonts w:hint="eastAsia" w:ascii="仿宋" w:hAnsi="仿宋" w:eastAsia="仿宋" w:cs="仿宋"/>
                <w:b w:val="0"/>
                <w:bCs w:val="0"/>
                <w:i w:val="0"/>
                <w:iCs w:val="0"/>
                <w:color w:val="000000"/>
                <w:spacing w:val="0"/>
                <w:w w:val="100"/>
                <w:sz w:val="24"/>
                <w:szCs w:val="24"/>
                <w:vertAlign w:val="baseline"/>
              </w:rPr>
            </w:pPr>
            <w:r>
              <w:rPr>
                <w:rFonts w:hint="eastAsia" w:ascii="仿宋" w:hAnsi="仿宋" w:eastAsia="仿宋" w:cs="仿宋"/>
                <w:b w:val="0"/>
                <w:bCs w:val="0"/>
                <w:i w:val="0"/>
                <w:iCs w:val="0"/>
                <w:color w:val="000000"/>
                <w:spacing w:val="0"/>
                <w:w w:val="100"/>
                <w:sz w:val="24"/>
                <w:szCs w:val="24"/>
                <w:vertAlign w:val="baseline"/>
              </w:rPr>
              <w:t>以经评委会一致认定满足招标文件要求且投标价格最低的投标报价为评标基准价，其价格得分计</w:t>
            </w:r>
            <w:r>
              <w:rPr>
                <w:rFonts w:hint="eastAsia" w:ascii="仿宋" w:hAnsi="仿宋" w:eastAsia="仿宋" w:cs="仿宋"/>
                <w:b w:val="0"/>
                <w:bCs w:val="0"/>
                <w:i w:val="0"/>
                <w:iCs w:val="0"/>
                <w:color w:val="000000"/>
                <w:spacing w:val="0"/>
                <w:w w:val="100"/>
                <w:sz w:val="24"/>
                <w:szCs w:val="24"/>
                <w:vertAlign w:val="baseline"/>
                <w:lang w:val="en-US" w:eastAsia="zh-CN"/>
              </w:rPr>
              <w:t>30</w:t>
            </w:r>
            <w:r>
              <w:rPr>
                <w:rFonts w:hint="eastAsia" w:ascii="仿宋" w:hAnsi="仿宋" w:eastAsia="仿宋" w:cs="仿宋"/>
                <w:b w:val="0"/>
                <w:bCs w:val="0"/>
                <w:i w:val="0"/>
                <w:iCs w:val="0"/>
                <w:color w:val="000000"/>
                <w:spacing w:val="0"/>
                <w:w w:val="100"/>
                <w:sz w:val="24"/>
                <w:szCs w:val="24"/>
                <w:vertAlign w:val="baseline"/>
              </w:rPr>
              <w:t>分。其他投标人的价格得分统一按公式计算：报价得分=（评标基准价/投标报价）×价格权重。</w:t>
            </w:r>
          </w:p>
        </w:tc>
      </w:tr>
      <w:tr w14:paraId="04FF5A6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559" w:type="dxa"/>
            <w:tcBorders>
              <w:left w:val="single" w:color="auto" w:sz="4" w:space="0"/>
            </w:tcBorders>
            <w:vAlign w:val="center"/>
          </w:tcPr>
          <w:p w14:paraId="32315791">
            <w:pPr>
              <w:jc w:val="left"/>
              <w:rPr>
                <w:rFonts w:hint="default"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2</w:t>
            </w:r>
          </w:p>
        </w:tc>
        <w:tc>
          <w:tcPr>
            <w:tcW w:w="1302" w:type="dxa"/>
            <w:vAlign w:val="center"/>
          </w:tcPr>
          <w:p w14:paraId="00C9ADFF">
            <w:pPr>
              <w:pStyle w:val="16"/>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i w:val="0"/>
                <w:iCs w:val="0"/>
                <w:color w:val="000000"/>
                <w:spacing w:val="0"/>
                <w:w w:val="100"/>
                <w:kern w:val="2"/>
                <w:sz w:val="24"/>
                <w:szCs w:val="24"/>
                <w:vertAlign w:val="baseline"/>
              </w:rPr>
            </w:pPr>
            <w:r>
              <w:rPr>
                <w:rFonts w:hint="eastAsia" w:ascii="仿宋" w:hAnsi="仿宋" w:eastAsia="仿宋" w:cs="仿宋"/>
                <w:b w:val="0"/>
                <w:bCs w:val="0"/>
                <w:i w:val="0"/>
                <w:iCs w:val="0"/>
                <w:color w:val="000000"/>
                <w:spacing w:val="0"/>
                <w:w w:val="100"/>
                <w:kern w:val="2"/>
                <w:sz w:val="24"/>
                <w:szCs w:val="24"/>
                <w:vertAlign w:val="baseline"/>
              </w:rPr>
              <w:t>服务方案</w:t>
            </w:r>
          </w:p>
        </w:tc>
        <w:tc>
          <w:tcPr>
            <w:tcW w:w="704" w:type="dxa"/>
            <w:vAlign w:val="center"/>
          </w:tcPr>
          <w:p w14:paraId="52B92FE2">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30</w:t>
            </w:r>
          </w:p>
        </w:tc>
        <w:tc>
          <w:tcPr>
            <w:tcW w:w="7236" w:type="dxa"/>
            <w:tcBorders>
              <w:right w:val="single" w:color="auto" w:sz="4" w:space="0"/>
            </w:tcBorders>
            <w:vAlign w:val="center"/>
          </w:tcPr>
          <w:p w14:paraId="05FCB522">
            <w:pPr>
              <w:adjustRightInd w:val="0"/>
              <w:snapToGrid w:val="0"/>
              <w:spacing w:line="276" w:lineRule="auto"/>
              <w:rPr>
                <w:rFonts w:ascii="仿宋" w:hAnsi="仿宋" w:eastAsia="仿宋" w:cs="宋体"/>
                <w:sz w:val="24"/>
                <w:szCs w:val="24"/>
              </w:rPr>
            </w:pPr>
            <w:r>
              <w:rPr>
                <w:rFonts w:hint="eastAsia" w:ascii="仿宋" w:hAnsi="仿宋" w:eastAsia="仿宋" w:cs="宋体"/>
                <w:sz w:val="24"/>
                <w:szCs w:val="24"/>
              </w:rPr>
              <w:t>供应商根据本项目实施特点及技术要求，结合学院校区情况制定实施方案、方案至少包括：①工程概况与维护目标；②编制依据与标准；③ 施工组织机构与职责；④维护保养内容与技术要求；⑤安全保障措施。</w:t>
            </w:r>
          </w:p>
          <w:p w14:paraId="7CC6F0A6">
            <w:pPr>
              <w:adjustRightInd w:val="0"/>
              <w:snapToGrid w:val="0"/>
              <w:spacing w:line="276" w:lineRule="auto"/>
              <w:rPr>
                <w:rFonts w:ascii="仿宋" w:hAnsi="仿宋" w:eastAsia="仿宋" w:cs="宋体"/>
                <w:sz w:val="24"/>
                <w:szCs w:val="24"/>
              </w:rPr>
            </w:pPr>
            <w:r>
              <w:rPr>
                <w:rFonts w:hint="eastAsia" w:ascii="仿宋" w:hAnsi="仿宋" w:eastAsia="仿宋" w:cs="宋体"/>
                <w:sz w:val="24"/>
                <w:szCs w:val="24"/>
              </w:rPr>
              <w:t>评审小组根据方案的完整性、合理性及操作性等进行评价，以上①~⑤条方案内容全面、科学合理的每条得6分，方案较完整、能满足基本保障要求的每条得3分，方案有缺失、操作性一般的得1分</w:t>
            </w:r>
            <w:r>
              <w:rPr>
                <w:rFonts w:hint="eastAsia" w:ascii="仿宋" w:hAnsi="仿宋" w:eastAsia="仿宋" w:cs="宋体"/>
                <w:sz w:val="24"/>
                <w:szCs w:val="24"/>
                <w:lang w:val="en-US" w:eastAsia="zh-CN"/>
              </w:rPr>
              <w:t>,</w:t>
            </w:r>
            <w:r>
              <w:rPr>
                <w:rFonts w:hint="eastAsia" w:ascii="仿宋" w:hAnsi="仿宋" w:eastAsia="仿宋" w:cs="宋体"/>
                <w:sz w:val="24"/>
                <w:szCs w:val="24"/>
              </w:rPr>
              <w:t>其它的不得分。</w:t>
            </w:r>
          </w:p>
          <w:p w14:paraId="28196E78">
            <w:pPr>
              <w:jc w:val="left"/>
              <w:rPr>
                <w:rFonts w:hint="eastAsia" w:ascii="仿宋" w:hAnsi="仿宋" w:eastAsia="仿宋" w:cs="宋体"/>
                <w:sz w:val="24"/>
                <w:szCs w:val="24"/>
              </w:rPr>
            </w:pPr>
            <w:r>
              <w:rPr>
                <w:rFonts w:hint="eastAsia" w:ascii="仿宋" w:hAnsi="仿宋" w:eastAsia="仿宋" w:cs="宋体"/>
                <w:b/>
                <w:bCs/>
                <w:color w:val="000000" w:themeColor="text1"/>
                <w:sz w:val="24"/>
                <w:szCs w:val="24"/>
                <w14:textFill>
                  <w14:solidFill>
                    <w14:schemeClr w14:val="tx1"/>
                  </w14:solidFill>
                </w14:textFill>
              </w:rPr>
              <w:t>本项满分</w:t>
            </w:r>
            <w:r>
              <w:rPr>
                <w:rFonts w:hint="eastAsia" w:ascii="仿宋" w:hAnsi="仿宋" w:eastAsia="仿宋" w:cs="宋体"/>
                <w:b/>
                <w:bCs/>
                <w:color w:val="000000" w:themeColor="text1"/>
                <w:sz w:val="24"/>
                <w:szCs w:val="24"/>
                <w:lang w:val="en-US" w:eastAsia="zh-CN"/>
                <w14:textFill>
                  <w14:solidFill>
                    <w14:schemeClr w14:val="tx1"/>
                  </w14:solidFill>
                </w14:textFill>
              </w:rPr>
              <w:t>3</w:t>
            </w:r>
            <w:r>
              <w:rPr>
                <w:rFonts w:hint="eastAsia" w:ascii="仿宋" w:hAnsi="仿宋" w:eastAsia="仿宋" w:cs="宋体"/>
                <w:b/>
                <w:bCs/>
                <w:color w:val="000000" w:themeColor="text1"/>
                <w:sz w:val="24"/>
                <w:szCs w:val="24"/>
                <w14:textFill>
                  <w14:solidFill>
                    <w14:schemeClr w14:val="tx1"/>
                  </w14:solidFill>
                </w14:textFill>
              </w:rPr>
              <w:t>0分。</w:t>
            </w:r>
          </w:p>
        </w:tc>
      </w:tr>
      <w:tr w14:paraId="02057F9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559" w:type="dxa"/>
            <w:tcBorders>
              <w:left w:val="single" w:color="auto" w:sz="4" w:space="0"/>
            </w:tcBorders>
            <w:vAlign w:val="center"/>
          </w:tcPr>
          <w:p w14:paraId="2FF1DB27">
            <w:pPr>
              <w:jc w:val="left"/>
              <w:rPr>
                <w:rFonts w:hint="default"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3</w:t>
            </w:r>
          </w:p>
        </w:tc>
        <w:tc>
          <w:tcPr>
            <w:tcW w:w="1302" w:type="dxa"/>
            <w:vAlign w:val="center"/>
          </w:tcPr>
          <w:p w14:paraId="4C2BC5B0">
            <w:pPr>
              <w:pStyle w:val="16"/>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b w:val="0"/>
                <w:bCs w:val="0"/>
                <w:i w:val="0"/>
                <w:iCs w:val="0"/>
                <w:color w:val="000000"/>
                <w:spacing w:val="0"/>
                <w:w w:val="100"/>
                <w:kern w:val="2"/>
                <w:sz w:val="24"/>
                <w:szCs w:val="24"/>
                <w:vertAlign w:val="baseline"/>
              </w:rPr>
            </w:pPr>
            <w:r>
              <w:rPr>
                <w:rFonts w:hint="eastAsia" w:ascii="仿宋" w:hAnsi="仿宋" w:eastAsia="仿宋" w:cs="仿宋"/>
                <w:b w:val="0"/>
                <w:bCs w:val="0"/>
                <w:i w:val="0"/>
                <w:iCs w:val="0"/>
                <w:color w:val="000000"/>
                <w:spacing w:val="0"/>
                <w:w w:val="100"/>
                <w:kern w:val="2"/>
                <w:sz w:val="24"/>
                <w:szCs w:val="24"/>
                <w:vertAlign w:val="baseline"/>
              </w:rPr>
              <w:t>服务团队能力</w:t>
            </w:r>
          </w:p>
        </w:tc>
        <w:tc>
          <w:tcPr>
            <w:tcW w:w="704" w:type="dxa"/>
            <w:vAlign w:val="center"/>
          </w:tcPr>
          <w:p w14:paraId="464BCF46">
            <w:pPr>
              <w:jc w:val="center"/>
              <w:rPr>
                <w:rFonts w:ascii="宋体" w:hAnsi="宋体"/>
                <w:kern w:val="0"/>
                <w:sz w:val="24"/>
                <w:szCs w:val="20"/>
              </w:rPr>
            </w:pPr>
            <w:r>
              <w:rPr>
                <w:rFonts w:hint="eastAsia" w:ascii="仿宋" w:hAnsi="仿宋" w:eastAsia="仿宋" w:cs="宋体"/>
                <w:sz w:val="24"/>
                <w:szCs w:val="24"/>
                <w:lang w:val="en-US" w:eastAsia="zh-CN"/>
              </w:rPr>
              <w:t>10</w:t>
            </w:r>
          </w:p>
        </w:tc>
        <w:tc>
          <w:tcPr>
            <w:tcW w:w="7236" w:type="dxa"/>
            <w:tcBorders>
              <w:right w:val="single" w:color="auto" w:sz="4" w:space="0"/>
            </w:tcBorders>
            <w:vAlign w:val="center"/>
          </w:tcPr>
          <w:p w14:paraId="536CD441">
            <w:pPr>
              <w:jc w:val="left"/>
              <w:rPr>
                <w:rFonts w:hint="eastAsia" w:ascii="仿宋" w:hAnsi="仿宋" w:eastAsia="仿宋" w:cs="宋体"/>
                <w:sz w:val="24"/>
                <w:szCs w:val="24"/>
              </w:rPr>
            </w:pPr>
            <w:r>
              <w:rPr>
                <w:rFonts w:hint="eastAsia" w:ascii="仿宋" w:hAnsi="仿宋" w:eastAsia="仿宋" w:cs="宋体"/>
                <w:sz w:val="24"/>
                <w:szCs w:val="24"/>
              </w:rPr>
              <w:t>(1)服务团队中的人员具备注册电气工程师、注册机电工程建造师、注册公用设备工程师的，每提供1人得</w:t>
            </w:r>
            <w:r>
              <w:rPr>
                <w:rFonts w:hint="eastAsia" w:ascii="仿宋" w:hAnsi="仿宋" w:eastAsia="仿宋" w:cs="宋体"/>
                <w:sz w:val="24"/>
                <w:szCs w:val="24"/>
                <w:lang w:val="en-US" w:eastAsia="zh-CN"/>
              </w:rPr>
              <w:t>1</w:t>
            </w:r>
            <w:r>
              <w:rPr>
                <w:rFonts w:hint="eastAsia" w:ascii="仿宋" w:hAnsi="仿宋" w:eastAsia="仿宋" w:cs="宋体"/>
                <w:sz w:val="24"/>
                <w:szCs w:val="24"/>
              </w:rPr>
              <w:t xml:space="preserve">分，最高得 </w:t>
            </w:r>
            <w:r>
              <w:rPr>
                <w:rFonts w:hint="eastAsia" w:ascii="仿宋" w:hAnsi="仿宋" w:eastAsia="仿宋" w:cs="宋体"/>
                <w:sz w:val="24"/>
                <w:szCs w:val="24"/>
                <w:lang w:val="en-US" w:eastAsia="zh-CN"/>
              </w:rPr>
              <w:t>2</w:t>
            </w:r>
            <w:r>
              <w:rPr>
                <w:rFonts w:hint="eastAsia" w:ascii="仿宋" w:hAnsi="仿宋" w:eastAsia="仿宋" w:cs="宋体"/>
                <w:sz w:val="24"/>
                <w:szCs w:val="24"/>
              </w:rPr>
              <w:t xml:space="preserve"> 分。</w:t>
            </w:r>
          </w:p>
          <w:p w14:paraId="466BE02A">
            <w:pPr>
              <w:jc w:val="left"/>
              <w:rPr>
                <w:rFonts w:hint="eastAsia" w:ascii="仿宋" w:hAnsi="仿宋" w:eastAsia="仿宋" w:cs="宋体"/>
                <w:sz w:val="24"/>
                <w:szCs w:val="24"/>
              </w:rPr>
            </w:pPr>
            <w:r>
              <w:rPr>
                <w:rFonts w:hint="eastAsia" w:ascii="仿宋" w:hAnsi="仿宋" w:eastAsia="仿宋" w:cs="宋体"/>
                <w:sz w:val="24"/>
                <w:szCs w:val="24"/>
              </w:rPr>
              <w:t>(2)服务团队中的人员具备电力</w:t>
            </w:r>
            <w:r>
              <w:rPr>
                <w:rFonts w:hint="eastAsia" w:ascii="仿宋" w:hAnsi="仿宋" w:eastAsia="仿宋" w:cs="宋体"/>
                <w:sz w:val="24"/>
                <w:szCs w:val="24"/>
                <w:lang w:val="en-US" w:eastAsia="zh-CN"/>
              </w:rPr>
              <w:t>中级</w:t>
            </w:r>
            <w:r>
              <w:rPr>
                <w:rFonts w:hint="eastAsia" w:ascii="仿宋" w:hAnsi="仿宋" w:eastAsia="仿宋" w:cs="宋体"/>
                <w:sz w:val="24"/>
                <w:szCs w:val="24"/>
              </w:rPr>
              <w:t>工程师证书的，每提供1人得</w:t>
            </w:r>
            <w:r>
              <w:rPr>
                <w:rFonts w:hint="eastAsia" w:ascii="仿宋" w:hAnsi="仿宋" w:eastAsia="仿宋" w:cs="宋体"/>
                <w:sz w:val="24"/>
                <w:szCs w:val="24"/>
                <w:lang w:val="en-US" w:eastAsia="zh-CN"/>
              </w:rPr>
              <w:t>1</w:t>
            </w:r>
            <w:r>
              <w:rPr>
                <w:rFonts w:hint="eastAsia" w:ascii="仿宋" w:hAnsi="仿宋" w:eastAsia="仿宋" w:cs="宋体"/>
                <w:sz w:val="24"/>
                <w:szCs w:val="24"/>
              </w:rPr>
              <w:t>分，最高得</w:t>
            </w:r>
            <w:r>
              <w:rPr>
                <w:rFonts w:hint="eastAsia" w:ascii="仿宋" w:hAnsi="仿宋" w:eastAsia="仿宋" w:cs="宋体"/>
                <w:sz w:val="24"/>
                <w:szCs w:val="24"/>
                <w:lang w:val="en-US" w:eastAsia="zh-CN"/>
              </w:rPr>
              <w:t>1</w:t>
            </w:r>
            <w:r>
              <w:rPr>
                <w:rFonts w:hint="eastAsia" w:ascii="仿宋" w:hAnsi="仿宋" w:eastAsia="仿宋" w:cs="宋体"/>
                <w:sz w:val="24"/>
                <w:szCs w:val="24"/>
              </w:rPr>
              <w:t>分。</w:t>
            </w:r>
          </w:p>
          <w:p w14:paraId="3AC8455C">
            <w:pPr>
              <w:jc w:val="left"/>
              <w:rPr>
                <w:rFonts w:hint="eastAsia" w:ascii="仿宋" w:hAnsi="仿宋" w:eastAsia="仿宋" w:cs="宋体"/>
                <w:sz w:val="24"/>
                <w:szCs w:val="24"/>
              </w:rPr>
            </w:pPr>
            <w:r>
              <w:rPr>
                <w:rFonts w:hint="eastAsia" w:ascii="仿宋" w:hAnsi="仿宋" w:eastAsia="仿宋" w:cs="宋体"/>
                <w:sz w:val="24"/>
                <w:szCs w:val="24"/>
              </w:rPr>
              <w:t>(</w:t>
            </w:r>
            <w:r>
              <w:rPr>
                <w:rFonts w:hint="eastAsia" w:ascii="仿宋" w:hAnsi="仿宋" w:eastAsia="仿宋" w:cs="宋体"/>
                <w:sz w:val="24"/>
                <w:szCs w:val="24"/>
                <w:lang w:val="en-US" w:eastAsia="zh-CN"/>
              </w:rPr>
              <w:t>3</w:t>
            </w:r>
            <w:r>
              <w:rPr>
                <w:rFonts w:hint="eastAsia" w:ascii="仿宋" w:hAnsi="仿宋" w:eastAsia="仿宋" w:cs="宋体"/>
                <w:sz w:val="24"/>
                <w:szCs w:val="24"/>
              </w:rPr>
              <w:t>)服务团队中的人员具备高压电工特种作业操作证书的，每提供1人得</w:t>
            </w:r>
            <w:r>
              <w:rPr>
                <w:rFonts w:hint="eastAsia" w:ascii="仿宋" w:hAnsi="仿宋" w:eastAsia="仿宋" w:cs="宋体"/>
                <w:sz w:val="24"/>
                <w:szCs w:val="24"/>
                <w:lang w:val="en-US" w:eastAsia="zh-CN"/>
              </w:rPr>
              <w:t>1</w:t>
            </w:r>
            <w:r>
              <w:rPr>
                <w:rFonts w:hint="eastAsia" w:ascii="仿宋" w:hAnsi="仿宋" w:eastAsia="仿宋" w:cs="宋体"/>
                <w:sz w:val="24"/>
                <w:szCs w:val="24"/>
              </w:rPr>
              <w:t>分，最高得</w:t>
            </w:r>
            <w:r>
              <w:rPr>
                <w:rFonts w:hint="eastAsia" w:ascii="仿宋" w:hAnsi="仿宋" w:eastAsia="仿宋" w:cs="宋体"/>
                <w:sz w:val="24"/>
                <w:szCs w:val="24"/>
                <w:lang w:val="en-US" w:eastAsia="zh-CN"/>
              </w:rPr>
              <w:t>5</w:t>
            </w:r>
            <w:r>
              <w:rPr>
                <w:rFonts w:hint="eastAsia" w:ascii="仿宋" w:hAnsi="仿宋" w:eastAsia="仿宋" w:cs="宋体"/>
                <w:sz w:val="24"/>
                <w:szCs w:val="24"/>
              </w:rPr>
              <w:t>分。</w:t>
            </w:r>
          </w:p>
          <w:p w14:paraId="4C3B144F">
            <w:pPr>
              <w:jc w:val="left"/>
              <w:rPr>
                <w:rFonts w:hint="eastAsia" w:ascii="仿宋" w:hAnsi="仿宋" w:eastAsia="仿宋" w:cs="宋体"/>
                <w:sz w:val="24"/>
                <w:szCs w:val="24"/>
              </w:rPr>
            </w:pPr>
            <w:r>
              <w:rPr>
                <w:rFonts w:hint="eastAsia" w:ascii="仿宋" w:hAnsi="仿宋" w:eastAsia="仿宋" w:cs="宋体"/>
                <w:sz w:val="24"/>
                <w:szCs w:val="24"/>
              </w:rPr>
              <w:t>(</w:t>
            </w:r>
            <w:r>
              <w:rPr>
                <w:rFonts w:hint="eastAsia" w:ascii="仿宋" w:hAnsi="仿宋" w:eastAsia="仿宋" w:cs="宋体"/>
                <w:sz w:val="24"/>
                <w:szCs w:val="24"/>
                <w:lang w:val="en-US" w:eastAsia="zh-CN"/>
              </w:rPr>
              <w:t>4</w:t>
            </w:r>
            <w:r>
              <w:rPr>
                <w:rFonts w:hint="eastAsia" w:ascii="仿宋" w:hAnsi="仿宋" w:eastAsia="仿宋" w:cs="宋体"/>
                <w:sz w:val="24"/>
                <w:szCs w:val="24"/>
              </w:rPr>
              <w:t>)服务团队中的人员具备</w:t>
            </w:r>
            <w:r>
              <w:rPr>
                <w:rFonts w:hint="eastAsia" w:ascii="仿宋" w:hAnsi="仿宋" w:eastAsia="仿宋" w:cs="宋体"/>
                <w:sz w:val="24"/>
                <w:szCs w:val="24"/>
                <w:lang w:val="en-US" w:eastAsia="zh-CN"/>
              </w:rPr>
              <w:t>设备安装质量员</w:t>
            </w:r>
            <w:r>
              <w:rPr>
                <w:rFonts w:hint="eastAsia" w:ascii="仿宋" w:hAnsi="仿宋" w:eastAsia="仿宋" w:cs="宋体"/>
                <w:sz w:val="24"/>
                <w:szCs w:val="24"/>
              </w:rPr>
              <w:t>操作证书的，每提供1人得</w:t>
            </w:r>
            <w:r>
              <w:rPr>
                <w:rFonts w:hint="eastAsia" w:ascii="仿宋" w:hAnsi="仿宋" w:eastAsia="仿宋" w:cs="宋体"/>
                <w:sz w:val="24"/>
                <w:szCs w:val="24"/>
                <w:lang w:val="en-US" w:eastAsia="zh-CN"/>
              </w:rPr>
              <w:t>1</w:t>
            </w:r>
            <w:r>
              <w:rPr>
                <w:rFonts w:hint="eastAsia" w:ascii="仿宋" w:hAnsi="仿宋" w:eastAsia="仿宋" w:cs="宋体"/>
                <w:sz w:val="24"/>
                <w:szCs w:val="24"/>
              </w:rPr>
              <w:t>分，最高得</w:t>
            </w:r>
            <w:r>
              <w:rPr>
                <w:rFonts w:hint="eastAsia" w:ascii="仿宋" w:hAnsi="仿宋" w:eastAsia="仿宋" w:cs="宋体"/>
                <w:sz w:val="24"/>
                <w:szCs w:val="24"/>
                <w:lang w:val="en-US" w:eastAsia="zh-CN"/>
              </w:rPr>
              <w:t>1</w:t>
            </w:r>
            <w:r>
              <w:rPr>
                <w:rFonts w:hint="eastAsia" w:ascii="仿宋" w:hAnsi="仿宋" w:eastAsia="仿宋" w:cs="宋体"/>
                <w:sz w:val="24"/>
                <w:szCs w:val="24"/>
              </w:rPr>
              <w:t>分。</w:t>
            </w:r>
          </w:p>
          <w:p w14:paraId="41DF6141">
            <w:pPr>
              <w:jc w:val="left"/>
              <w:rPr>
                <w:rFonts w:hint="eastAsia" w:ascii="仿宋" w:hAnsi="仿宋" w:eastAsia="仿宋" w:cs="宋体"/>
                <w:sz w:val="24"/>
                <w:szCs w:val="24"/>
              </w:rPr>
            </w:pPr>
            <w:r>
              <w:rPr>
                <w:rFonts w:hint="eastAsia" w:ascii="仿宋" w:hAnsi="仿宋" w:eastAsia="仿宋" w:cs="宋体"/>
                <w:sz w:val="24"/>
                <w:szCs w:val="24"/>
              </w:rPr>
              <w:t>(</w:t>
            </w:r>
            <w:r>
              <w:rPr>
                <w:rFonts w:hint="eastAsia" w:ascii="仿宋" w:hAnsi="仿宋" w:eastAsia="仿宋" w:cs="宋体"/>
                <w:sz w:val="24"/>
                <w:szCs w:val="24"/>
                <w:lang w:val="en-US" w:eastAsia="zh-CN"/>
              </w:rPr>
              <w:t>5</w:t>
            </w:r>
            <w:r>
              <w:rPr>
                <w:rFonts w:hint="eastAsia" w:ascii="仿宋" w:hAnsi="仿宋" w:eastAsia="仿宋" w:cs="宋体"/>
                <w:sz w:val="24"/>
                <w:szCs w:val="24"/>
              </w:rPr>
              <w:t>)服务团队中的人员具备</w:t>
            </w:r>
            <w:r>
              <w:rPr>
                <w:rFonts w:hint="eastAsia" w:ascii="仿宋" w:hAnsi="仿宋" w:eastAsia="仿宋" w:cs="宋体"/>
                <w:sz w:val="24"/>
                <w:szCs w:val="24"/>
                <w:lang w:val="en-US" w:eastAsia="zh-CN"/>
              </w:rPr>
              <w:t>安全员</w:t>
            </w:r>
            <w:r>
              <w:rPr>
                <w:rFonts w:hint="eastAsia" w:ascii="仿宋" w:hAnsi="仿宋" w:eastAsia="仿宋" w:cs="宋体"/>
                <w:sz w:val="24"/>
                <w:szCs w:val="24"/>
              </w:rPr>
              <w:t>操作证书的，每提供1人得</w:t>
            </w:r>
            <w:r>
              <w:rPr>
                <w:rFonts w:hint="eastAsia" w:ascii="仿宋" w:hAnsi="仿宋" w:eastAsia="仿宋" w:cs="宋体"/>
                <w:sz w:val="24"/>
                <w:szCs w:val="24"/>
                <w:lang w:val="en-US" w:eastAsia="zh-CN"/>
              </w:rPr>
              <w:t>1</w:t>
            </w:r>
            <w:r>
              <w:rPr>
                <w:rFonts w:hint="eastAsia" w:ascii="仿宋" w:hAnsi="仿宋" w:eastAsia="仿宋" w:cs="宋体"/>
                <w:sz w:val="24"/>
                <w:szCs w:val="24"/>
              </w:rPr>
              <w:t>分，最高得</w:t>
            </w:r>
            <w:r>
              <w:rPr>
                <w:rFonts w:hint="eastAsia" w:ascii="仿宋" w:hAnsi="仿宋" w:eastAsia="仿宋" w:cs="宋体"/>
                <w:sz w:val="24"/>
                <w:szCs w:val="24"/>
                <w:lang w:val="en-US" w:eastAsia="zh-CN"/>
              </w:rPr>
              <w:t>1</w:t>
            </w:r>
            <w:r>
              <w:rPr>
                <w:rFonts w:hint="eastAsia" w:ascii="仿宋" w:hAnsi="仿宋" w:eastAsia="仿宋" w:cs="宋体"/>
                <w:sz w:val="24"/>
                <w:szCs w:val="24"/>
              </w:rPr>
              <w:t>分。</w:t>
            </w:r>
          </w:p>
          <w:p w14:paraId="6F26B7EA">
            <w:pPr>
              <w:jc w:val="left"/>
              <w:rPr>
                <w:rFonts w:hint="eastAsia" w:ascii="仿宋" w:hAnsi="仿宋" w:eastAsia="仿宋" w:cs="宋体"/>
                <w:sz w:val="24"/>
                <w:szCs w:val="24"/>
              </w:rPr>
            </w:pPr>
            <w:r>
              <w:rPr>
                <w:rFonts w:hint="eastAsia" w:ascii="仿宋" w:hAnsi="仿宋" w:eastAsia="仿宋" w:cs="宋体"/>
                <w:b/>
                <w:bCs/>
                <w:color w:val="000000" w:themeColor="text1"/>
                <w:sz w:val="24"/>
                <w:szCs w:val="24"/>
                <w14:textFill>
                  <w14:solidFill>
                    <w14:schemeClr w14:val="tx1"/>
                  </w14:solidFill>
                </w14:textFill>
              </w:rPr>
              <w:t>本项满分</w:t>
            </w:r>
            <w:r>
              <w:rPr>
                <w:rFonts w:hint="eastAsia" w:ascii="仿宋" w:hAnsi="仿宋" w:eastAsia="仿宋" w:cs="宋体"/>
                <w:b/>
                <w:bCs/>
                <w:color w:val="000000" w:themeColor="text1"/>
                <w:sz w:val="24"/>
                <w:szCs w:val="24"/>
                <w:lang w:val="en-US" w:eastAsia="zh-CN"/>
                <w14:textFill>
                  <w14:solidFill>
                    <w14:schemeClr w14:val="tx1"/>
                  </w14:solidFill>
                </w14:textFill>
              </w:rPr>
              <w:t>1</w:t>
            </w:r>
            <w:r>
              <w:rPr>
                <w:rFonts w:hint="eastAsia" w:ascii="仿宋" w:hAnsi="仿宋" w:eastAsia="仿宋" w:cs="宋体"/>
                <w:b/>
                <w:bCs/>
                <w:color w:val="000000" w:themeColor="text1"/>
                <w:sz w:val="24"/>
                <w:szCs w:val="24"/>
                <w14:textFill>
                  <w14:solidFill>
                    <w14:schemeClr w14:val="tx1"/>
                  </w14:solidFill>
                </w14:textFill>
              </w:rPr>
              <w:t>0分。</w:t>
            </w:r>
          </w:p>
          <w:p w14:paraId="4EC3D94D">
            <w:pPr>
              <w:rPr>
                <w:rFonts w:ascii="Times New Roman" w:hAnsi="Times New Roman"/>
                <w:iCs/>
                <w:szCs w:val="21"/>
              </w:rPr>
            </w:pPr>
            <w:r>
              <w:rPr>
                <w:rFonts w:hint="eastAsia" w:ascii="仿宋" w:hAnsi="仿宋" w:eastAsia="仿宋" w:cs="宋体"/>
                <w:b/>
                <w:bCs/>
                <w:sz w:val="24"/>
                <w:szCs w:val="24"/>
              </w:rPr>
              <w:t>【评审依据】:1)响应文件中提供以上人员证书扫描件和供应商为其缴纳的近三个月(不含磋商当月)的社保证明扫描件并加盖供应商公章，未提供或提供的证明材料不齐全的不得分。2)服务团队中人员证书不得复用，否则不予加分。</w:t>
            </w:r>
          </w:p>
        </w:tc>
      </w:tr>
      <w:tr w14:paraId="3AC5E45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559" w:type="dxa"/>
            <w:tcBorders>
              <w:left w:val="single" w:color="auto" w:sz="4" w:space="0"/>
            </w:tcBorders>
            <w:vAlign w:val="center"/>
          </w:tcPr>
          <w:p w14:paraId="4BF94067">
            <w:pPr>
              <w:jc w:val="left"/>
              <w:rPr>
                <w:rFonts w:hint="eastAsia"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4</w:t>
            </w:r>
          </w:p>
        </w:tc>
        <w:tc>
          <w:tcPr>
            <w:tcW w:w="1302" w:type="dxa"/>
            <w:vAlign w:val="center"/>
          </w:tcPr>
          <w:p w14:paraId="3885A697">
            <w:pPr>
              <w:jc w:val="left"/>
              <w:rPr>
                <w:rFonts w:hint="eastAsia" w:ascii="仿宋" w:hAnsi="仿宋" w:eastAsia="仿宋" w:cs="宋体"/>
                <w:sz w:val="24"/>
                <w:szCs w:val="24"/>
              </w:rPr>
            </w:pPr>
            <w:r>
              <w:rPr>
                <w:rFonts w:hint="eastAsia" w:ascii="仿宋" w:hAnsi="仿宋" w:eastAsia="仿宋" w:cs="宋体"/>
                <w:sz w:val="24"/>
                <w:szCs w:val="24"/>
              </w:rPr>
              <w:t>公司业绩</w:t>
            </w:r>
          </w:p>
        </w:tc>
        <w:tc>
          <w:tcPr>
            <w:tcW w:w="704" w:type="dxa"/>
            <w:vAlign w:val="center"/>
          </w:tcPr>
          <w:p w14:paraId="3774F0FB">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20</w:t>
            </w:r>
          </w:p>
        </w:tc>
        <w:tc>
          <w:tcPr>
            <w:tcW w:w="7236" w:type="dxa"/>
            <w:tcBorders>
              <w:right w:val="single" w:color="auto" w:sz="4" w:space="0"/>
            </w:tcBorders>
            <w:vAlign w:val="center"/>
          </w:tcPr>
          <w:p w14:paraId="63B5D462">
            <w:pPr>
              <w:rPr>
                <w:rFonts w:hint="eastAsia" w:ascii="仿宋" w:hAnsi="仿宋" w:eastAsia="仿宋" w:cs="宋体"/>
                <w:color w:val="000000" w:themeColor="text1"/>
                <w:sz w:val="24"/>
                <w:szCs w:val="24"/>
                <w14:textFill>
                  <w14:solidFill>
                    <w14:schemeClr w14:val="tx1"/>
                  </w14:solidFill>
                </w14:textFill>
              </w:rPr>
            </w:pPr>
            <w:r>
              <w:rPr>
                <w:rFonts w:hint="eastAsia" w:ascii="仿宋" w:hAnsi="仿宋" w:eastAsia="仿宋" w:cs="宋体"/>
                <w:color w:val="000000" w:themeColor="text1"/>
                <w:sz w:val="24"/>
                <w:szCs w:val="24"/>
                <w14:textFill>
                  <w14:solidFill>
                    <w14:schemeClr w14:val="tx1"/>
                  </w14:solidFill>
                </w14:textFill>
              </w:rPr>
              <w:t>供应商提供自202</w:t>
            </w:r>
            <w:r>
              <w:rPr>
                <w:rFonts w:hint="eastAsia" w:ascii="仿宋" w:hAnsi="仿宋" w:eastAsia="仿宋" w:cs="宋体"/>
                <w:color w:val="000000" w:themeColor="text1"/>
                <w:sz w:val="24"/>
                <w:szCs w:val="24"/>
                <w:lang w:val="en-US" w:eastAsia="zh-CN"/>
                <w14:textFill>
                  <w14:solidFill>
                    <w14:schemeClr w14:val="tx1"/>
                  </w14:solidFill>
                </w14:textFill>
              </w:rPr>
              <w:t>2</w:t>
            </w:r>
            <w:r>
              <w:rPr>
                <w:rFonts w:hint="eastAsia" w:ascii="仿宋" w:hAnsi="仿宋" w:eastAsia="仿宋" w:cs="宋体"/>
                <w:color w:val="000000" w:themeColor="text1"/>
                <w:sz w:val="24"/>
                <w:szCs w:val="24"/>
                <w14:textFill>
                  <w14:solidFill>
                    <w14:schemeClr w14:val="tx1"/>
                  </w14:solidFill>
                </w14:textFill>
              </w:rPr>
              <w:t>年1月至本项目响应文件递交截止时间（以合同签订日期为准）承担过类似的项目业绩，每提供1个得5分，最高</w:t>
            </w:r>
            <w:r>
              <w:rPr>
                <w:rFonts w:hint="eastAsia" w:ascii="仿宋" w:hAnsi="仿宋" w:eastAsia="仿宋" w:cs="宋体"/>
                <w:color w:val="000000" w:themeColor="text1"/>
                <w:sz w:val="24"/>
                <w:szCs w:val="24"/>
                <w:lang w:val="en-US" w:eastAsia="zh-CN"/>
                <w14:textFill>
                  <w14:solidFill>
                    <w14:schemeClr w14:val="tx1"/>
                  </w14:solidFill>
                </w14:textFill>
              </w:rPr>
              <w:t>20</w:t>
            </w:r>
            <w:r>
              <w:rPr>
                <w:rFonts w:hint="eastAsia" w:ascii="仿宋" w:hAnsi="仿宋" w:eastAsia="仿宋" w:cs="宋体"/>
                <w:color w:val="000000" w:themeColor="text1"/>
                <w:sz w:val="24"/>
                <w:szCs w:val="24"/>
                <w14:textFill>
                  <w14:solidFill>
                    <w14:schemeClr w14:val="tx1"/>
                  </w14:solidFill>
                </w14:textFill>
              </w:rPr>
              <w:t>分。</w:t>
            </w:r>
          </w:p>
          <w:p w14:paraId="4E3601D4">
            <w:pPr>
              <w:jc w:val="left"/>
              <w:rPr>
                <w:rFonts w:hint="eastAsia" w:ascii="仿宋" w:hAnsi="仿宋" w:eastAsia="仿宋" w:cs="宋体"/>
                <w:color w:val="000000" w:themeColor="text1"/>
                <w:sz w:val="24"/>
                <w:szCs w:val="24"/>
                <w14:textFill>
                  <w14:solidFill>
                    <w14:schemeClr w14:val="tx1"/>
                  </w14:solidFill>
                </w14:textFill>
              </w:rPr>
            </w:pPr>
            <w:r>
              <w:rPr>
                <w:rFonts w:hint="eastAsia" w:ascii="仿宋" w:hAnsi="仿宋" w:eastAsia="仿宋" w:cs="宋体"/>
                <w:b/>
                <w:bCs/>
                <w:color w:val="000000" w:themeColor="text1"/>
                <w:sz w:val="24"/>
                <w:szCs w:val="24"/>
                <w14:textFill>
                  <w14:solidFill>
                    <w14:schemeClr w14:val="tx1"/>
                  </w14:solidFill>
                </w14:textFill>
              </w:rPr>
              <w:t>本项满分</w:t>
            </w:r>
            <w:r>
              <w:rPr>
                <w:rFonts w:hint="eastAsia" w:ascii="仿宋" w:hAnsi="仿宋" w:eastAsia="仿宋" w:cs="宋体"/>
                <w:b/>
                <w:bCs/>
                <w:color w:val="000000" w:themeColor="text1"/>
                <w:sz w:val="24"/>
                <w:szCs w:val="24"/>
                <w:lang w:val="en-US" w:eastAsia="zh-CN"/>
                <w14:textFill>
                  <w14:solidFill>
                    <w14:schemeClr w14:val="tx1"/>
                  </w14:solidFill>
                </w14:textFill>
              </w:rPr>
              <w:t>2</w:t>
            </w:r>
            <w:r>
              <w:rPr>
                <w:rFonts w:hint="eastAsia" w:ascii="仿宋" w:hAnsi="仿宋" w:eastAsia="仿宋" w:cs="宋体"/>
                <w:b/>
                <w:bCs/>
                <w:color w:val="000000" w:themeColor="text1"/>
                <w:sz w:val="24"/>
                <w:szCs w:val="24"/>
                <w14:textFill>
                  <w14:solidFill>
                    <w14:schemeClr w14:val="tx1"/>
                  </w14:solidFill>
                </w14:textFill>
              </w:rPr>
              <w:t>0分。</w:t>
            </w:r>
          </w:p>
          <w:p w14:paraId="0ABFD87A">
            <w:pPr>
              <w:adjustRightInd w:val="0"/>
              <w:snapToGrid w:val="0"/>
              <w:spacing w:line="276" w:lineRule="auto"/>
              <w:rPr>
                <w:rFonts w:ascii="宋体" w:hAnsi="宋体" w:cs="宋体"/>
                <w:kern w:val="0"/>
                <w:sz w:val="24"/>
                <w:szCs w:val="20"/>
              </w:rPr>
            </w:pPr>
            <w:r>
              <w:rPr>
                <w:rFonts w:hint="eastAsia" w:ascii="仿宋" w:hAnsi="仿宋" w:eastAsia="仿宋" w:cs="宋体"/>
                <w:b/>
                <w:bCs/>
                <w:color w:val="000000" w:themeColor="text1"/>
                <w:sz w:val="24"/>
                <w:szCs w:val="24"/>
                <w14:textFill>
                  <w14:solidFill>
                    <w14:schemeClr w14:val="tx1"/>
                  </w14:solidFill>
                </w14:textFill>
              </w:rPr>
              <w:t>【评审依据】：响应文件中提供合同复印件并加盖供应商公章。（合同复印件需提供合同首页、标的或内容所在页、签字盖章页）同一单位不重复计分。</w:t>
            </w:r>
          </w:p>
        </w:tc>
      </w:tr>
      <w:tr w14:paraId="013582F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559" w:type="dxa"/>
            <w:tcBorders>
              <w:left w:val="single" w:color="auto" w:sz="4" w:space="0"/>
            </w:tcBorders>
            <w:vAlign w:val="center"/>
          </w:tcPr>
          <w:p w14:paraId="3EE00D5B">
            <w:pPr>
              <w:jc w:val="left"/>
              <w:rPr>
                <w:rFonts w:hint="default" w:ascii="仿宋" w:hAnsi="仿宋" w:eastAsia="仿宋" w:cs="宋体"/>
                <w:kern w:val="2"/>
                <w:sz w:val="24"/>
                <w:szCs w:val="24"/>
                <w:lang w:val="en-US" w:eastAsia="zh-CN" w:bidi="ar-SA"/>
              </w:rPr>
            </w:pPr>
            <w:r>
              <w:rPr>
                <w:rFonts w:hint="eastAsia" w:ascii="仿宋" w:hAnsi="仿宋" w:eastAsia="仿宋" w:cs="宋体"/>
                <w:kern w:val="2"/>
                <w:sz w:val="24"/>
                <w:szCs w:val="24"/>
                <w:lang w:val="en-US" w:eastAsia="zh-CN" w:bidi="ar-SA"/>
              </w:rPr>
              <w:t>5</w:t>
            </w:r>
          </w:p>
        </w:tc>
        <w:tc>
          <w:tcPr>
            <w:tcW w:w="1302" w:type="dxa"/>
            <w:vAlign w:val="center"/>
          </w:tcPr>
          <w:p w14:paraId="596C703F">
            <w:pPr>
              <w:jc w:val="left"/>
              <w:rPr>
                <w:rFonts w:hint="eastAsia" w:ascii="仿宋" w:hAnsi="仿宋" w:eastAsia="仿宋" w:cs="宋体"/>
                <w:sz w:val="24"/>
                <w:szCs w:val="24"/>
              </w:rPr>
            </w:pPr>
            <w:r>
              <w:rPr>
                <w:rFonts w:hint="eastAsia" w:ascii="仿宋" w:hAnsi="仿宋" w:eastAsia="仿宋" w:cs="宋体"/>
                <w:sz w:val="24"/>
                <w:szCs w:val="24"/>
                <w:lang w:val="en-US" w:eastAsia="zh-CN"/>
              </w:rPr>
              <w:t>综合</w:t>
            </w:r>
            <w:r>
              <w:rPr>
                <w:rFonts w:hint="eastAsia" w:ascii="仿宋" w:hAnsi="仿宋" w:eastAsia="仿宋" w:cs="宋体"/>
                <w:sz w:val="24"/>
                <w:szCs w:val="24"/>
              </w:rPr>
              <w:t>实力</w:t>
            </w:r>
          </w:p>
        </w:tc>
        <w:tc>
          <w:tcPr>
            <w:tcW w:w="704" w:type="dxa"/>
            <w:vAlign w:val="center"/>
          </w:tcPr>
          <w:p w14:paraId="301B109B">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10</w:t>
            </w:r>
          </w:p>
        </w:tc>
        <w:tc>
          <w:tcPr>
            <w:tcW w:w="7236" w:type="dxa"/>
            <w:tcBorders>
              <w:right w:val="single" w:color="auto" w:sz="4" w:space="0"/>
            </w:tcBorders>
            <w:vAlign w:val="center"/>
          </w:tcPr>
          <w:p w14:paraId="19BE1445">
            <w:pPr>
              <w:rPr>
                <w:iCs/>
                <w:szCs w:val="21"/>
              </w:rPr>
            </w:pPr>
            <w:r>
              <w:rPr>
                <w:rFonts w:hint="eastAsia" w:ascii="仿宋" w:hAnsi="仿宋" w:eastAsia="仿宋" w:cs="宋体"/>
                <w:sz w:val="24"/>
                <w:szCs w:val="24"/>
                <w:lang w:val="en-US" w:eastAsia="zh-CN"/>
              </w:rPr>
              <w:t>供应商提供ISO9001质量管理体系认证证书的，计2分；</w:t>
            </w:r>
          </w:p>
          <w:p w14:paraId="231761DB">
            <w:pPr>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供应商提供ISO14001环境管理体系认证的、计4分；</w:t>
            </w:r>
          </w:p>
          <w:p w14:paraId="56039066">
            <w:pPr>
              <w:rPr>
                <w:iCs/>
                <w:szCs w:val="21"/>
              </w:rPr>
            </w:pPr>
            <w:r>
              <w:rPr>
                <w:rFonts w:hint="eastAsia" w:ascii="仿宋" w:hAnsi="仿宋" w:eastAsia="仿宋" w:cs="宋体"/>
                <w:sz w:val="24"/>
                <w:szCs w:val="24"/>
                <w:lang w:val="en-US" w:eastAsia="zh-CN"/>
              </w:rPr>
              <w:t>供应商提供OHSAS18001或GB/T45001职业健康安全管理体系认证的，计4分。</w:t>
            </w:r>
          </w:p>
          <w:p w14:paraId="4715C912">
            <w:pPr>
              <w:jc w:val="left"/>
              <w:rPr>
                <w:rFonts w:hint="eastAsia" w:ascii="仿宋" w:hAnsi="仿宋" w:eastAsia="仿宋" w:cs="宋体"/>
                <w:color w:val="000000" w:themeColor="text1"/>
                <w:sz w:val="24"/>
                <w:szCs w:val="24"/>
                <w14:textFill>
                  <w14:solidFill>
                    <w14:schemeClr w14:val="tx1"/>
                  </w14:solidFill>
                </w14:textFill>
              </w:rPr>
            </w:pPr>
            <w:r>
              <w:rPr>
                <w:rFonts w:hint="eastAsia" w:ascii="仿宋" w:hAnsi="仿宋" w:eastAsia="仿宋" w:cs="宋体"/>
                <w:b/>
                <w:bCs/>
                <w:color w:val="000000" w:themeColor="text1"/>
                <w:sz w:val="24"/>
                <w:szCs w:val="24"/>
                <w14:textFill>
                  <w14:solidFill>
                    <w14:schemeClr w14:val="tx1"/>
                  </w14:solidFill>
                </w14:textFill>
              </w:rPr>
              <w:t>本项满分</w:t>
            </w:r>
            <w:r>
              <w:rPr>
                <w:rFonts w:hint="eastAsia" w:ascii="仿宋" w:hAnsi="仿宋" w:eastAsia="仿宋" w:cs="宋体"/>
                <w:b/>
                <w:bCs/>
                <w:color w:val="000000" w:themeColor="text1"/>
                <w:sz w:val="24"/>
                <w:szCs w:val="24"/>
                <w:lang w:val="en-US" w:eastAsia="zh-CN"/>
                <w14:textFill>
                  <w14:solidFill>
                    <w14:schemeClr w14:val="tx1"/>
                  </w14:solidFill>
                </w14:textFill>
              </w:rPr>
              <w:t>1</w:t>
            </w:r>
            <w:r>
              <w:rPr>
                <w:rFonts w:hint="eastAsia" w:ascii="仿宋" w:hAnsi="仿宋" w:eastAsia="仿宋" w:cs="宋体"/>
                <w:b/>
                <w:bCs/>
                <w:color w:val="000000" w:themeColor="text1"/>
                <w:sz w:val="24"/>
                <w:szCs w:val="24"/>
                <w14:textFill>
                  <w14:solidFill>
                    <w14:schemeClr w14:val="tx1"/>
                  </w14:solidFill>
                </w14:textFill>
              </w:rPr>
              <w:t>0分。</w:t>
            </w:r>
          </w:p>
          <w:p w14:paraId="1958DD7B">
            <w:pPr>
              <w:rPr>
                <w:rFonts w:ascii="宋体" w:hAnsi="宋体" w:cs="宋体"/>
                <w:kern w:val="0"/>
                <w:sz w:val="24"/>
                <w:szCs w:val="20"/>
              </w:rPr>
            </w:pPr>
            <w:r>
              <w:rPr>
                <w:rFonts w:hint="eastAsia" w:ascii="仿宋" w:hAnsi="仿宋" w:eastAsia="仿宋" w:cs="宋体"/>
                <w:sz w:val="24"/>
                <w:szCs w:val="24"/>
                <w:lang w:val="en-US" w:eastAsia="zh-CN"/>
              </w:rPr>
              <w:t>（提供有效期内的证书复印件并加盖公章，否则不计分）</w:t>
            </w:r>
          </w:p>
        </w:tc>
      </w:tr>
    </w:tbl>
    <w:p w14:paraId="1F838AB8"/>
    <w:p w14:paraId="2CE8C035"/>
    <w:p w14:paraId="450018AE"/>
    <w:p w14:paraId="4F8D3D8C">
      <w:pPr>
        <w:pStyle w:val="18"/>
        <w:ind w:left="0" w:leftChars="0" w:firstLine="0"/>
        <w:jc w:val="center"/>
        <w:rPr>
          <w:rFonts w:ascii="宋体" w:hAnsi="宋体" w:eastAsia="仿宋" w:cs="宋体"/>
          <w:b/>
          <w:color w:val="333333"/>
          <w:kern w:val="0"/>
          <w:sz w:val="36"/>
          <w:szCs w:val="36"/>
        </w:rPr>
      </w:pPr>
    </w:p>
    <w:p w14:paraId="5077E8EB">
      <w:pPr>
        <w:pStyle w:val="18"/>
        <w:ind w:left="0" w:leftChars="0" w:firstLine="0"/>
        <w:jc w:val="center"/>
        <w:rPr>
          <w:rFonts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18"/>
        <w:spacing w:before="0" w:beforeAutospacing="0" w:after="0" w:line="360" w:lineRule="auto"/>
        <w:ind w:left="0" w:leftChars="0" w:firstLine="482" w:firstLineChars="200"/>
        <w:jc w:val="left"/>
        <w:rPr>
          <w:rFonts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bCs/>
          <w:sz w:val="24"/>
          <w:szCs w:val="24"/>
        </w:rPr>
        <w:t>见</w:t>
      </w:r>
      <w:r>
        <w:rPr>
          <w:rFonts w:hint="eastAsia" w:ascii="仿宋" w:hAnsi="仿宋" w:eastAsia="仿宋"/>
          <w:sz w:val="24"/>
          <w:szCs w:val="24"/>
        </w:rPr>
        <w:t>附件2</w:t>
      </w:r>
    </w:p>
    <w:p w14:paraId="083C3535"/>
    <w:p w14:paraId="14FCD1CB">
      <w:pPr>
        <w:pStyle w:val="18"/>
        <w:ind w:left="0" w:leftChars="0" w:firstLine="0"/>
        <w:jc w:val="right"/>
        <w:rPr>
          <w:rFonts w:ascii="宋体" w:hAnsi="宋体" w:eastAsia="仿宋" w:cs="宋体"/>
          <w:b/>
          <w:color w:val="333333"/>
          <w:kern w:val="0"/>
          <w:sz w:val="36"/>
          <w:szCs w:val="36"/>
        </w:rPr>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pPr>
    </w:p>
    <w:p w14:paraId="4DFEE8F5">
      <w:pPr>
        <w:pStyle w:val="18"/>
        <w:ind w:left="0" w:leftChars="0" w:firstLine="0"/>
        <w:jc w:val="center"/>
        <w:rPr>
          <w:rFonts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4"/>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4"/>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4"/>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4"/>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11"/>
        <w:adjustRightInd w:val="0"/>
        <w:snapToGrid w:val="0"/>
        <w:spacing w:line="360" w:lineRule="auto"/>
        <w:rPr>
          <w:rFonts w:ascii="仿宋_GB2312" w:hAnsi="宋体" w:eastAsia="仿宋_GB2312"/>
          <w:b/>
        </w:rPr>
      </w:pPr>
    </w:p>
    <w:p w14:paraId="495F3925">
      <w:pPr>
        <w:pStyle w:val="11"/>
        <w:adjustRightInd w:val="0"/>
        <w:snapToGrid w:val="0"/>
        <w:spacing w:line="360" w:lineRule="auto"/>
        <w:rPr>
          <w:rFonts w:ascii="仿宋_GB2312" w:hAnsi="宋体" w:eastAsia="仿宋_GB2312"/>
          <w:b/>
        </w:rPr>
      </w:pPr>
    </w:p>
    <w:p w14:paraId="33EE1F5B">
      <w:pPr>
        <w:pStyle w:val="11"/>
        <w:adjustRightInd w:val="0"/>
        <w:snapToGrid w:val="0"/>
        <w:spacing w:line="360" w:lineRule="auto"/>
        <w:rPr>
          <w:rFonts w:ascii="仿宋_GB2312" w:hAnsi="宋体" w:eastAsia="仿宋_GB2312"/>
          <w:b/>
        </w:rPr>
      </w:pPr>
    </w:p>
    <w:p w14:paraId="6BA60C6A">
      <w:pPr>
        <w:pStyle w:val="11"/>
        <w:adjustRightInd w:val="0"/>
        <w:snapToGrid w:val="0"/>
        <w:spacing w:line="360" w:lineRule="auto"/>
        <w:rPr>
          <w:rFonts w:ascii="仿宋_GB2312" w:hAnsi="宋体" w:eastAsia="仿宋_GB2312"/>
          <w:b/>
        </w:rPr>
      </w:pPr>
    </w:p>
    <w:p w14:paraId="0F92DE75">
      <w:pPr>
        <w:pStyle w:val="11"/>
        <w:adjustRightInd w:val="0"/>
        <w:snapToGrid w:val="0"/>
        <w:spacing w:line="360" w:lineRule="auto"/>
        <w:rPr>
          <w:rFonts w:ascii="仿宋" w:hAnsi="仿宋" w:eastAsia="仿宋"/>
          <w:b/>
          <w:sz w:val="24"/>
          <w:szCs w:val="24"/>
        </w:rPr>
        <w:sectPr>
          <w:pgSz w:w="11906" w:h="16838"/>
          <w:pgMar w:top="1440" w:right="1800" w:bottom="1440" w:left="1800" w:header="851" w:footer="992" w:gutter="0"/>
          <w:cols w:space="720" w:num="1"/>
          <w:docGrid w:type="lines" w:linePitch="312" w:charSpace="0"/>
        </w:sectPr>
      </w:pPr>
    </w:p>
    <w:p w14:paraId="2CCC1DC8">
      <w:pPr>
        <w:pStyle w:val="11"/>
        <w:adjustRightInd w:val="0"/>
        <w:snapToGrid w:val="0"/>
        <w:spacing w:line="360" w:lineRule="auto"/>
        <w:rPr>
          <w:rFonts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ascii="仿宋_GB2312" w:hAnsi="宋体" w:eastAsia="仿宋_GB2312"/>
          <w:sz w:val="24"/>
          <w:szCs w:val="24"/>
        </w:rPr>
      </w:pPr>
    </w:p>
    <w:p w14:paraId="3B40E189">
      <w:pPr>
        <w:adjustRightInd w:val="0"/>
        <w:snapToGrid w:val="0"/>
        <w:spacing w:line="360" w:lineRule="auto"/>
        <w:rPr>
          <w:rFonts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1"/>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1"/>
        <w:adjustRightInd w:val="0"/>
        <w:snapToGrid w:val="0"/>
        <w:spacing w:line="360" w:lineRule="auto"/>
        <w:ind w:firstLine="480" w:firstLineChars="200"/>
        <w:rPr>
          <w:rFonts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1"/>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1"/>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1"/>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ascii="仿宋" w:hAnsi="仿宋" w:eastAsia="仿宋"/>
          <w:bCs/>
          <w:sz w:val="24"/>
          <w:szCs w:val="24"/>
        </w:rPr>
      </w:pPr>
    </w:p>
    <w:p w14:paraId="124491FF">
      <w:pPr>
        <w:adjustRightInd w:val="0"/>
        <w:snapToGrid w:val="0"/>
        <w:spacing w:line="360" w:lineRule="auto"/>
        <w:ind w:right="24"/>
        <w:rPr>
          <w:rFonts w:ascii="仿宋" w:hAnsi="仿宋" w:eastAsia="仿宋"/>
          <w:bCs/>
          <w:sz w:val="24"/>
          <w:szCs w:val="24"/>
        </w:rPr>
      </w:pPr>
    </w:p>
    <w:p w14:paraId="5DB1CD06">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11"/>
        <w:adjustRightInd w:val="0"/>
        <w:snapToGrid w:val="0"/>
        <w:spacing w:line="360" w:lineRule="auto"/>
        <w:rPr>
          <w:rFonts w:ascii="仿宋" w:hAnsi="仿宋" w:eastAsia="仿宋"/>
          <w:sz w:val="24"/>
          <w:szCs w:val="24"/>
        </w:rPr>
      </w:pPr>
    </w:p>
    <w:p w14:paraId="5B8CF27D">
      <w:pPr>
        <w:pStyle w:val="11"/>
        <w:adjustRightInd w:val="0"/>
        <w:snapToGrid w:val="0"/>
        <w:spacing w:line="360" w:lineRule="auto"/>
        <w:rPr>
          <w:rFonts w:ascii="仿宋" w:hAnsi="仿宋" w:eastAsia="仿宋"/>
          <w:sz w:val="24"/>
          <w:szCs w:val="24"/>
        </w:rPr>
      </w:pPr>
    </w:p>
    <w:p w14:paraId="0E155071">
      <w:pPr>
        <w:pStyle w:val="11"/>
        <w:adjustRightInd w:val="0"/>
        <w:snapToGrid w:val="0"/>
        <w:spacing w:line="360" w:lineRule="auto"/>
        <w:rPr>
          <w:rFonts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ascii="仿宋" w:hAnsi="仿宋" w:eastAsia="仿宋"/>
          <w:bCs/>
          <w:sz w:val="24"/>
        </w:rPr>
      </w:pPr>
    </w:p>
    <w:p w14:paraId="53E8A92D">
      <w:pPr>
        <w:adjustRightInd w:val="0"/>
        <w:snapToGrid w:val="0"/>
        <w:spacing w:line="360" w:lineRule="auto"/>
        <w:ind w:right="24"/>
        <w:rPr>
          <w:rFonts w:ascii="仿宋_GB2312" w:hAnsi="华文中宋" w:eastAsia="仿宋_GB2312"/>
          <w:bCs/>
          <w:sz w:val="24"/>
        </w:rPr>
      </w:pPr>
    </w:p>
    <w:p w14:paraId="7FC44160">
      <w:pPr>
        <w:adjustRightInd w:val="0"/>
        <w:snapToGrid w:val="0"/>
        <w:spacing w:line="360" w:lineRule="auto"/>
        <w:ind w:right="24"/>
        <w:rPr>
          <w:rFonts w:ascii="仿宋_GB2312" w:hAnsi="华文中宋" w:eastAsia="仿宋_GB2312"/>
          <w:bCs/>
          <w:sz w:val="24"/>
        </w:rPr>
      </w:pPr>
    </w:p>
    <w:p w14:paraId="2F5415D5">
      <w:pPr>
        <w:adjustRightInd w:val="0"/>
        <w:snapToGrid w:val="0"/>
        <w:spacing w:line="360" w:lineRule="auto"/>
        <w:ind w:right="24"/>
        <w:rPr>
          <w:szCs w:val="21"/>
        </w:rPr>
      </w:pPr>
    </w:p>
    <w:p w14:paraId="1196C8BE">
      <w:pPr>
        <w:adjustRightInd w:val="0"/>
        <w:snapToGrid w:val="0"/>
        <w:spacing w:line="360" w:lineRule="auto"/>
        <w:ind w:right="24"/>
        <w:rPr>
          <w:rFonts w:ascii="仿宋" w:hAnsi="仿宋" w:eastAsia="仿宋"/>
          <w:bCs/>
          <w:sz w:val="24"/>
          <w:szCs w:val="24"/>
        </w:rPr>
        <w:sectPr>
          <w:pgSz w:w="11906" w:h="16838"/>
          <w:pgMar w:top="1440" w:right="1800" w:bottom="1440" w:left="1800" w:header="851" w:footer="992" w:gutter="0"/>
          <w:cols w:space="720" w:num="1"/>
          <w:docGrid w:type="lines" w:linePitch="312" w:charSpace="0"/>
        </w:sectPr>
      </w:pPr>
    </w:p>
    <w:p w14:paraId="36AF8E5A">
      <w:pPr>
        <w:adjustRightInd w:val="0"/>
        <w:snapToGrid w:val="0"/>
        <w:spacing w:line="360" w:lineRule="auto"/>
        <w:ind w:right="24"/>
        <w:rPr>
          <w:rFonts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ascii="仿宋" w:hAnsi="仿宋" w:eastAsia="仿宋"/>
          <w:sz w:val="24"/>
          <w:szCs w:val="24"/>
        </w:rPr>
      </w:pPr>
    </w:p>
    <w:p w14:paraId="225D67E6">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ascii="仿宋" w:hAnsi="仿宋" w:eastAsia="仿宋"/>
          <w:sz w:val="24"/>
          <w:szCs w:val="24"/>
        </w:rPr>
      </w:pPr>
    </w:p>
    <w:p w14:paraId="4EAB8206">
      <w:pPr>
        <w:snapToGrid w:val="0"/>
        <w:rPr>
          <w:rFonts w:ascii="仿宋" w:hAnsi="仿宋" w:eastAsia="仿宋"/>
          <w:sz w:val="24"/>
          <w:szCs w:val="24"/>
        </w:rPr>
      </w:pPr>
    </w:p>
    <w:p w14:paraId="67C67ED1">
      <w:pPr>
        <w:snapToGrid w:val="0"/>
        <w:rPr>
          <w:rFonts w:ascii="仿宋" w:hAnsi="仿宋" w:eastAsia="仿宋"/>
          <w:sz w:val="24"/>
          <w:szCs w:val="24"/>
        </w:rPr>
      </w:pPr>
    </w:p>
    <w:p w14:paraId="172E056E">
      <w:pPr>
        <w:snapToGrid w:val="0"/>
        <w:rPr>
          <w:rFonts w:ascii="仿宋" w:hAnsi="仿宋" w:eastAsia="仿宋"/>
          <w:sz w:val="24"/>
          <w:szCs w:val="24"/>
        </w:rPr>
      </w:pPr>
    </w:p>
    <w:p w14:paraId="336B8B31">
      <w:pPr>
        <w:snapToGrid w:val="0"/>
        <w:rPr>
          <w:rFonts w:ascii="仿宋" w:hAnsi="仿宋" w:eastAsia="仿宋"/>
          <w:sz w:val="24"/>
          <w:szCs w:val="24"/>
        </w:rPr>
      </w:pPr>
    </w:p>
    <w:p w14:paraId="7FB434E6">
      <w:pPr>
        <w:adjustRightInd w:val="0"/>
        <w:snapToGrid w:val="0"/>
        <w:spacing w:line="360" w:lineRule="auto"/>
        <w:rPr>
          <w:rFonts w:ascii="仿宋" w:hAnsi="仿宋" w:eastAsia="仿宋"/>
          <w:sz w:val="24"/>
          <w:szCs w:val="24"/>
        </w:rPr>
      </w:pPr>
    </w:p>
    <w:p w14:paraId="244CD4E8">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ascii="仿宋_GB2312" w:hAnsi="宋体" w:eastAsia="仿宋_GB2312"/>
          <w:sz w:val="24"/>
          <w:szCs w:val="24"/>
        </w:rPr>
      </w:pPr>
    </w:p>
    <w:p w14:paraId="325667BA">
      <w:pPr>
        <w:adjustRightInd w:val="0"/>
        <w:snapToGrid w:val="0"/>
        <w:spacing w:before="156" w:beforeLines="50" w:line="360" w:lineRule="auto"/>
        <w:rPr>
          <w:rFonts w:ascii="仿宋_GB2312" w:hAnsi="宋体" w:eastAsia="仿宋_GB2312"/>
          <w:sz w:val="24"/>
          <w:szCs w:val="24"/>
        </w:rPr>
      </w:pPr>
    </w:p>
    <w:p w14:paraId="6BDE129F">
      <w:pPr>
        <w:adjustRightInd w:val="0"/>
        <w:snapToGrid w:val="0"/>
        <w:spacing w:before="156" w:beforeLines="50" w:line="360" w:lineRule="auto"/>
        <w:rPr>
          <w:rFonts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w:t>
      </w:r>
    </w:p>
    <w:p w14:paraId="656A6B8E">
      <w:pPr>
        <w:adjustRightInd w:val="0"/>
        <w:snapToGrid w:val="0"/>
        <w:spacing w:line="360" w:lineRule="auto"/>
        <w:ind w:right="24"/>
        <w:jc w:val="center"/>
        <w:rPr>
          <w:rFonts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8"/>
      </w:pPr>
    </w:p>
    <w:p w14:paraId="10CB8852"/>
    <w:p w14:paraId="7F870902"/>
    <w:p w14:paraId="78DBABB8">
      <w:pPr>
        <w:pStyle w:val="18"/>
        <w:ind w:left="0" w:leftChars="0" w:firstLine="0"/>
        <w:rPr>
          <w:rFonts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ascii="仿宋" w:hAnsi="仿宋" w:eastAsia="仿宋"/>
          <w:b/>
          <w:sz w:val="32"/>
          <w:szCs w:val="32"/>
        </w:rPr>
      </w:pPr>
      <w:r>
        <w:rPr>
          <w:rFonts w:ascii="仿宋" w:hAnsi="仿宋" w:eastAsia="仿宋"/>
          <w:b/>
          <w:sz w:val="32"/>
          <w:szCs w:val="32"/>
        </w:rPr>
        <w:t>报价函</w:t>
      </w:r>
    </w:p>
    <w:p w14:paraId="090965E8">
      <w:pPr>
        <w:rPr>
          <w:rFonts w:ascii="仿宋" w:hAnsi="仿宋" w:eastAsia="仿宋"/>
          <w:sz w:val="24"/>
          <w:szCs w:val="24"/>
        </w:rPr>
      </w:pPr>
      <w:r>
        <w:rPr>
          <w:rFonts w:hint="eastAsia" w:ascii="仿宋" w:hAnsi="仿宋" w:eastAsia="仿宋"/>
          <w:sz w:val="24"/>
          <w:szCs w:val="24"/>
        </w:rPr>
        <w:t xml:space="preserve">                               </w:t>
      </w:r>
    </w:p>
    <w:p w14:paraId="78B7DD34">
      <w:pPr>
        <w:spacing w:line="480" w:lineRule="auto"/>
        <w:jc w:val="left"/>
        <w:rPr>
          <w:rFonts w:ascii="仿宋" w:hAnsi="仿宋" w:eastAsia="仿宋" w:cs="宋体"/>
          <w:sz w:val="24"/>
          <w:szCs w:val="24"/>
        </w:rPr>
      </w:pPr>
      <w:r>
        <w:rPr>
          <w:rFonts w:hint="eastAsia" w:ascii="仿宋" w:hAnsi="仿宋" w:eastAsia="仿宋" w:cs="宋体"/>
          <w:sz w:val="24"/>
          <w:szCs w:val="24"/>
        </w:rPr>
        <w:t>湖南铁道职业技术学院：</w:t>
      </w:r>
    </w:p>
    <w:p w14:paraId="40AE0C00">
      <w:pPr>
        <w:spacing w:line="480" w:lineRule="auto"/>
        <w:ind w:firstLine="640"/>
        <w:jc w:val="left"/>
        <w:rPr>
          <w:rFonts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项目</w:t>
      </w:r>
      <w:r>
        <w:rPr>
          <w:rFonts w:hint="eastAsia" w:ascii="仿宋" w:hAnsi="仿宋" w:eastAsia="仿宋"/>
          <w:sz w:val="24"/>
          <w:szCs w:val="24"/>
        </w:rPr>
        <w:t>询比文件，清楚文件中关于本项目的相关采购需求。</w:t>
      </w:r>
    </w:p>
    <w:p w14:paraId="700F3C6E">
      <w:pPr>
        <w:spacing w:line="480" w:lineRule="auto"/>
        <w:ind w:firstLine="482" w:firstLineChars="200"/>
        <w:jc w:val="left"/>
        <w:rPr>
          <w:rFonts w:ascii="仿宋" w:hAnsi="仿宋" w:eastAsia="仿宋" w:cs="宋体"/>
          <w:b/>
          <w:bCs/>
          <w:sz w:val="24"/>
          <w:szCs w:val="24"/>
        </w:rPr>
      </w:pPr>
      <w:r>
        <w:rPr>
          <w:rFonts w:hint="eastAsia" w:ascii="仿宋" w:hAnsi="仿宋" w:eastAsia="仿宋" w:cs="宋体"/>
          <w:b/>
          <w:bCs/>
          <w:sz w:val="24"/>
          <w:szCs w:val="24"/>
        </w:rPr>
        <w:t>报价：</w:t>
      </w:r>
    </w:p>
    <w:p w14:paraId="138E3F66">
      <w:pPr>
        <w:spacing w:line="480" w:lineRule="auto"/>
        <w:ind w:firstLine="480" w:firstLineChars="200"/>
        <w:jc w:val="left"/>
        <w:rPr>
          <w:rFonts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5322F436">
      <w:pPr>
        <w:pStyle w:val="18"/>
        <w:rPr>
          <w:rFonts w:ascii="仿宋" w:hAnsi="仿宋" w:eastAsia="仿宋"/>
        </w:rPr>
      </w:pPr>
    </w:p>
    <w:p w14:paraId="7EFF9261">
      <w:pPr>
        <w:pStyle w:val="18"/>
        <w:ind w:left="0" w:leftChars="0" w:firstLine="0"/>
        <w:rPr>
          <w:rFonts w:ascii="仿宋" w:hAnsi="仿宋" w:eastAsia="仿宋"/>
        </w:rPr>
      </w:pPr>
    </w:p>
    <w:p w14:paraId="2D9FA07B">
      <w:pPr>
        <w:spacing w:line="360" w:lineRule="auto"/>
        <w:ind w:firstLine="640"/>
        <w:jc w:val="left"/>
        <w:rPr>
          <w:rFonts w:ascii="仿宋" w:hAnsi="仿宋" w:eastAsia="仿宋"/>
          <w:sz w:val="24"/>
          <w:szCs w:val="24"/>
        </w:rPr>
      </w:pPr>
    </w:p>
    <w:p w14:paraId="5FDC514B">
      <w:pPr>
        <w:spacing w:line="480" w:lineRule="auto"/>
        <w:ind w:firstLine="3600" w:firstLineChars="1500"/>
        <w:jc w:val="left"/>
        <w:rPr>
          <w:rFonts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22279672">
      <w:pPr>
        <w:spacing w:line="480" w:lineRule="auto"/>
        <w:ind w:firstLine="5520" w:firstLineChars="2300"/>
        <w:jc w:val="left"/>
        <w:rPr>
          <w:rFonts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p w14:paraId="23ADF5B6">
      <w:pPr>
        <w:rPr>
          <w:rFonts w:ascii="仿宋" w:hAnsi="仿宋" w:eastAsia="仿宋"/>
          <w:sz w:val="24"/>
          <w:szCs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script"/>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4"/>
          <w:jc w:val="center"/>
        </w:pPr>
        <w:r>
          <w:fldChar w:fldCharType="begin"/>
        </w:r>
        <w:r>
          <w:instrText xml:space="preserve">PAGE   \* MERGEFORMAT</w:instrText>
        </w:r>
        <w:r>
          <w:fldChar w:fldCharType="separate"/>
        </w:r>
        <w:r>
          <w:rPr>
            <w:lang w:val="zh-CN"/>
          </w:rPr>
          <w:t>2</w:t>
        </w:r>
        <w:r>
          <w:fldChar w:fldCharType="end"/>
        </w:r>
      </w:p>
    </w:sdtContent>
  </w:sdt>
  <w:p w14:paraId="4ACC8206">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4"/>
      <w:framePr w:wrap="around" w:vAnchor="text" w:hAnchor="margin" w:xAlign="center" w:y="1"/>
      <w:rPr>
        <w:rStyle w:val="22"/>
      </w:rPr>
    </w:pPr>
    <w:r>
      <w:fldChar w:fldCharType="begin"/>
    </w:r>
    <w:r>
      <w:rPr>
        <w:rStyle w:val="22"/>
      </w:rPr>
      <w:instrText xml:space="preserve">PAGE  </w:instrText>
    </w:r>
    <w:r>
      <w:fldChar w:fldCharType="end"/>
    </w:r>
  </w:p>
  <w:p w14:paraId="7B4CFFC0">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5"/>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1BC3D2"/>
    <w:multiLevelType w:val="singleLevel"/>
    <w:tmpl w:val="2F1BC3D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47701"/>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81BF0"/>
    <w:rsid w:val="003906B4"/>
    <w:rsid w:val="003A53A1"/>
    <w:rsid w:val="003A55E6"/>
    <w:rsid w:val="003A750D"/>
    <w:rsid w:val="003B40C1"/>
    <w:rsid w:val="003B6199"/>
    <w:rsid w:val="003C233C"/>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827"/>
    <w:rsid w:val="00585E27"/>
    <w:rsid w:val="0059459F"/>
    <w:rsid w:val="005A062C"/>
    <w:rsid w:val="005B2278"/>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B3962"/>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92299"/>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5419"/>
    <w:rsid w:val="00A37C1E"/>
    <w:rsid w:val="00A37EF9"/>
    <w:rsid w:val="00A456C6"/>
    <w:rsid w:val="00A46021"/>
    <w:rsid w:val="00A52380"/>
    <w:rsid w:val="00A67616"/>
    <w:rsid w:val="00A77FC1"/>
    <w:rsid w:val="00A839BA"/>
    <w:rsid w:val="00A84A35"/>
    <w:rsid w:val="00A914CA"/>
    <w:rsid w:val="00A92BEF"/>
    <w:rsid w:val="00A978E5"/>
    <w:rsid w:val="00AC07FC"/>
    <w:rsid w:val="00AE7076"/>
    <w:rsid w:val="00AF5819"/>
    <w:rsid w:val="00B17C1E"/>
    <w:rsid w:val="00B3136E"/>
    <w:rsid w:val="00B464FC"/>
    <w:rsid w:val="00B46954"/>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0252"/>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3348F"/>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817"/>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E10A5"/>
    <w:rsid w:val="00EF50F4"/>
    <w:rsid w:val="00EF52ED"/>
    <w:rsid w:val="00F07FB6"/>
    <w:rsid w:val="00F129A6"/>
    <w:rsid w:val="00F133F3"/>
    <w:rsid w:val="00F15528"/>
    <w:rsid w:val="00F26174"/>
    <w:rsid w:val="00F26EA9"/>
    <w:rsid w:val="00F55AA7"/>
    <w:rsid w:val="00F60A40"/>
    <w:rsid w:val="00F673D3"/>
    <w:rsid w:val="00F71B67"/>
    <w:rsid w:val="00F72BBE"/>
    <w:rsid w:val="00F75F46"/>
    <w:rsid w:val="00F86AB7"/>
    <w:rsid w:val="00FA4BEB"/>
    <w:rsid w:val="00FC011A"/>
    <w:rsid w:val="00FC4EB7"/>
    <w:rsid w:val="00FD19D9"/>
    <w:rsid w:val="00FE0327"/>
    <w:rsid w:val="00FE4AAE"/>
    <w:rsid w:val="00FE55F5"/>
    <w:rsid w:val="00FF6106"/>
    <w:rsid w:val="015B6B52"/>
    <w:rsid w:val="017442FA"/>
    <w:rsid w:val="0215299B"/>
    <w:rsid w:val="044E0E32"/>
    <w:rsid w:val="05997E8B"/>
    <w:rsid w:val="05F60B74"/>
    <w:rsid w:val="066D3445"/>
    <w:rsid w:val="08964B56"/>
    <w:rsid w:val="08C83CB5"/>
    <w:rsid w:val="097D7547"/>
    <w:rsid w:val="09902C2B"/>
    <w:rsid w:val="0A9926DB"/>
    <w:rsid w:val="0C3721EC"/>
    <w:rsid w:val="0CEC11E8"/>
    <w:rsid w:val="0CFD51A3"/>
    <w:rsid w:val="0D7A240F"/>
    <w:rsid w:val="0D973665"/>
    <w:rsid w:val="0FB06655"/>
    <w:rsid w:val="10912321"/>
    <w:rsid w:val="10C81F6C"/>
    <w:rsid w:val="11BE5B42"/>
    <w:rsid w:val="13A26E3E"/>
    <w:rsid w:val="13AE369B"/>
    <w:rsid w:val="144F1BCA"/>
    <w:rsid w:val="148F300C"/>
    <w:rsid w:val="14FD6A90"/>
    <w:rsid w:val="15455939"/>
    <w:rsid w:val="159D11E4"/>
    <w:rsid w:val="15B12877"/>
    <w:rsid w:val="15D95635"/>
    <w:rsid w:val="16D36F75"/>
    <w:rsid w:val="16FC64CC"/>
    <w:rsid w:val="172E31C9"/>
    <w:rsid w:val="17C3509D"/>
    <w:rsid w:val="18B0196A"/>
    <w:rsid w:val="19E54DD6"/>
    <w:rsid w:val="1A07140F"/>
    <w:rsid w:val="1A7D2861"/>
    <w:rsid w:val="1B451A26"/>
    <w:rsid w:val="1BB90E2F"/>
    <w:rsid w:val="1C8F365C"/>
    <w:rsid w:val="1D444728"/>
    <w:rsid w:val="1E4F7829"/>
    <w:rsid w:val="1F9951FF"/>
    <w:rsid w:val="201D3E7D"/>
    <w:rsid w:val="202D76F6"/>
    <w:rsid w:val="20746BB2"/>
    <w:rsid w:val="21A344FF"/>
    <w:rsid w:val="21E64000"/>
    <w:rsid w:val="22CE3412"/>
    <w:rsid w:val="22E45C6F"/>
    <w:rsid w:val="22FB1D2D"/>
    <w:rsid w:val="23E9602A"/>
    <w:rsid w:val="242B03F0"/>
    <w:rsid w:val="24F13006"/>
    <w:rsid w:val="26E533CB"/>
    <w:rsid w:val="295D104C"/>
    <w:rsid w:val="29B665AC"/>
    <w:rsid w:val="29D15596"/>
    <w:rsid w:val="2A7725E1"/>
    <w:rsid w:val="2B473D61"/>
    <w:rsid w:val="2CB01DDA"/>
    <w:rsid w:val="2CD05F77"/>
    <w:rsid w:val="2D460049"/>
    <w:rsid w:val="3163566D"/>
    <w:rsid w:val="31962059"/>
    <w:rsid w:val="31D8203D"/>
    <w:rsid w:val="31FA2FC3"/>
    <w:rsid w:val="3248523C"/>
    <w:rsid w:val="32C65BB0"/>
    <w:rsid w:val="353327D7"/>
    <w:rsid w:val="35A3072E"/>
    <w:rsid w:val="35BA60CE"/>
    <w:rsid w:val="37182D17"/>
    <w:rsid w:val="38A93B0F"/>
    <w:rsid w:val="38CA49CD"/>
    <w:rsid w:val="39D54C2E"/>
    <w:rsid w:val="3A731769"/>
    <w:rsid w:val="3B3140E6"/>
    <w:rsid w:val="3B8763FC"/>
    <w:rsid w:val="3C0E61D6"/>
    <w:rsid w:val="3D912B45"/>
    <w:rsid w:val="3DC92B7D"/>
    <w:rsid w:val="3E135601"/>
    <w:rsid w:val="3E7013C9"/>
    <w:rsid w:val="3F2D1069"/>
    <w:rsid w:val="404D79B1"/>
    <w:rsid w:val="40CF23D7"/>
    <w:rsid w:val="411058C0"/>
    <w:rsid w:val="413277CA"/>
    <w:rsid w:val="41A31919"/>
    <w:rsid w:val="42507548"/>
    <w:rsid w:val="457F75CA"/>
    <w:rsid w:val="471A6376"/>
    <w:rsid w:val="48125136"/>
    <w:rsid w:val="495E1E55"/>
    <w:rsid w:val="4A6C57DD"/>
    <w:rsid w:val="4A842484"/>
    <w:rsid w:val="4ACE4B79"/>
    <w:rsid w:val="4ADA413D"/>
    <w:rsid w:val="4C811ECE"/>
    <w:rsid w:val="4C8E75EA"/>
    <w:rsid w:val="4CD64AED"/>
    <w:rsid w:val="4CF0277A"/>
    <w:rsid w:val="4DEA6AA2"/>
    <w:rsid w:val="4DF74D1B"/>
    <w:rsid w:val="505E5526"/>
    <w:rsid w:val="50C025FA"/>
    <w:rsid w:val="51CA3B38"/>
    <w:rsid w:val="53425821"/>
    <w:rsid w:val="543D7D43"/>
    <w:rsid w:val="54413194"/>
    <w:rsid w:val="554E608A"/>
    <w:rsid w:val="56D36709"/>
    <w:rsid w:val="56EB5013"/>
    <w:rsid w:val="579B08DA"/>
    <w:rsid w:val="57A557E8"/>
    <w:rsid w:val="57DD4F82"/>
    <w:rsid w:val="57E37FE4"/>
    <w:rsid w:val="59337A15"/>
    <w:rsid w:val="5A865DA5"/>
    <w:rsid w:val="5B3B1FAA"/>
    <w:rsid w:val="5BBE40B7"/>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6ED741F"/>
    <w:rsid w:val="68B735CD"/>
    <w:rsid w:val="6A400653"/>
    <w:rsid w:val="6A7F45BF"/>
    <w:rsid w:val="6B5A68F5"/>
    <w:rsid w:val="6B8E00BA"/>
    <w:rsid w:val="6BBF5D79"/>
    <w:rsid w:val="6BC9041D"/>
    <w:rsid w:val="6DAB7F02"/>
    <w:rsid w:val="709F271D"/>
    <w:rsid w:val="719E17CE"/>
    <w:rsid w:val="71CD20B4"/>
    <w:rsid w:val="72567DE8"/>
    <w:rsid w:val="72C16AF2"/>
    <w:rsid w:val="72FA6ED8"/>
    <w:rsid w:val="73A76E7D"/>
    <w:rsid w:val="74A23383"/>
    <w:rsid w:val="751E1916"/>
    <w:rsid w:val="75730384"/>
    <w:rsid w:val="78401AE9"/>
    <w:rsid w:val="7B4E5EDA"/>
    <w:rsid w:val="7BEB3862"/>
    <w:rsid w:val="7C7B7C1A"/>
    <w:rsid w:val="7D210FAE"/>
    <w:rsid w:val="7DE95B7F"/>
    <w:rsid w:val="7DF64DA9"/>
    <w:rsid w:val="7E151C77"/>
    <w:rsid w:val="7ED606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9"/>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2"/>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5">
    <w:name w:val="heading 6"/>
    <w:basedOn w:val="1"/>
    <w:next w:val="1"/>
    <w:link w:val="36"/>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7"/>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7">
    <w:name w:val="Body Text Indent"/>
    <w:basedOn w:val="1"/>
    <w:next w:val="8"/>
    <w:unhideWhenUsed/>
    <w:qFormat/>
    <w:uiPriority w:val="99"/>
    <w:pPr>
      <w:spacing w:after="120"/>
      <w:ind w:left="420" w:leftChars="200"/>
    </w:pPr>
  </w:style>
  <w:style w:type="paragraph" w:styleId="8">
    <w:name w:val="Body Text Indent 2"/>
    <w:basedOn w:val="1"/>
    <w:link w:val="41"/>
    <w:qFormat/>
    <w:uiPriority w:val="99"/>
    <w:pPr>
      <w:spacing w:after="120" w:line="480" w:lineRule="auto"/>
      <w:ind w:left="420" w:leftChars="200"/>
    </w:pPr>
    <w:rPr>
      <w:kern w:val="0"/>
      <w:sz w:val="24"/>
    </w:rPr>
  </w:style>
  <w:style w:type="paragraph" w:styleId="9">
    <w:name w:val="Document Map"/>
    <w:basedOn w:val="1"/>
    <w:link w:val="25"/>
    <w:semiHidden/>
    <w:unhideWhenUsed/>
    <w:qFormat/>
    <w:uiPriority w:val="99"/>
    <w:rPr>
      <w:rFonts w:ascii="宋体"/>
      <w:sz w:val="18"/>
      <w:szCs w:val="18"/>
    </w:rPr>
  </w:style>
  <w:style w:type="paragraph" w:styleId="10">
    <w:name w:val="Body Text"/>
    <w:basedOn w:val="1"/>
    <w:next w:val="1"/>
    <w:link w:val="37"/>
    <w:qFormat/>
    <w:uiPriority w:val="0"/>
    <w:pPr>
      <w:spacing w:after="120"/>
    </w:pPr>
    <w:rPr>
      <w:rFonts w:ascii="Times New Roman" w:hAnsi="Times New Roman"/>
      <w:szCs w:val="24"/>
    </w:rPr>
  </w:style>
  <w:style w:type="paragraph" w:styleId="11">
    <w:name w:val="Plain Text"/>
    <w:basedOn w:val="1"/>
    <w:link w:val="30"/>
    <w:qFormat/>
    <w:uiPriority w:val="0"/>
    <w:rPr>
      <w:rFonts w:ascii="宋体" w:hAnsi="Courier New"/>
      <w:kern w:val="0"/>
      <w:szCs w:val="20"/>
    </w:rPr>
  </w:style>
  <w:style w:type="paragraph" w:styleId="12">
    <w:name w:val="Date"/>
    <w:basedOn w:val="1"/>
    <w:next w:val="1"/>
    <w:link w:val="27"/>
    <w:semiHidden/>
    <w:unhideWhenUsed/>
    <w:qFormat/>
    <w:uiPriority w:val="99"/>
    <w:pPr>
      <w:ind w:left="100" w:leftChars="2500"/>
    </w:pPr>
  </w:style>
  <w:style w:type="paragraph" w:styleId="13">
    <w:name w:val="Balloon Text"/>
    <w:basedOn w:val="1"/>
    <w:link w:val="45"/>
    <w:semiHidden/>
    <w:unhideWhenUsed/>
    <w:qFormat/>
    <w:uiPriority w:val="99"/>
    <w:rPr>
      <w:sz w:val="18"/>
      <w:szCs w:val="18"/>
    </w:rPr>
  </w:style>
  <w:style w:type="paragraph" w:styleId="14">
    <w:name w:val="footer"/>
    <w:basedOn w:val="1"/>
    <w:link w:val="24"/>
    <w:unhideWhenUsed/>
    <w:qFormat/>
    <w:uiPriority w:val="99"/>
    <w:pPr>
      <w:tabs>
        <w:tab w:val="center" w:pos="4153"/>
        <w:tab w:val="right" w:pos="8306"/>
      </w:tabs>
      <w:snapToGrid w:val="0"/>
      <w:jc w:val="left"/>
    </w:pPr>
    <w:rPr>
      <w:sz w:val="18"/>
      <w:szCs w:val="18"/>
    </w:rPr>
  </w:style>
  <w:style w:type="paragraph" w:styleId="15">
    <w:name w:val="header"/>
    <w:basedOn w:val="1"/>
    <w:link w:val="23"/>
    <w:unhideWhenUsed/>
    <w:qFormat/>
    <w:uiPriority w:val="0"/>
    <w:pPr>
      <w:pBdr>
        <w:bottom w:val="single" w:color="auto" w:sz="6" w:space="1"/>
      </w:pBdr>
      <w:tabs>
        <w:tab w:val="center" w:pos="4153"/>
        <w:tab w:val="right" w:pos="8306"/>
      </w:tabs>
      <w:snapToGrid w:val="0"/>
      <w:jc w:val="center"/>
    </w:pPr>
    <w:rPr>
      <w:sz w:val="18"/>
      <w:szCs w:val="18"/>
    </w:rPr>
  </w:style>
  <w:style w:type="paragraph" w:styleId="16">
    <w:name w:val="Normal (Web)"/>
    <w:basedOn w:val="1"/>
    <w:semiHidden/>
    <w:unhideWhenUsed/>
    <w:qFormat/>
    <w:uiPriority w:val="99"/>
    <w:pPr>
      <w:spacing w:beforeAutospacing="1" w:afterAutospacing="1"/>
      <w:jc w:val="left"/>
    </w:pPr>
    <w:rPr>
      <w:kern w:val="0"/>
      <w:sz w:val="24"/>
    </w:rPr>
  </w:style>
  <w:style w:type="paragraph" w:styleId="17">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8">
    <w:name w:val="Body Text First Indent 2"/>
    <w:basedOn w:val="7"/>
    <w:next w:val="1"/>
    <w:unhideWhenUsed/>
    <w:qFormat/>
    <w:uiPriority w:val="99"/>
    <w:pPr>
      <w:spacing w:before="100" w:beforeAutospacing="1"/>
      <w:ind w:firstLine="420"/>
    </w:pPr>
    <w:rPr>
      <w:szCs w:val="21"/>
    </w:rPr>
  </w:style>
  <w:style w:type="table" w:styleId="20">
    <w:name w:val="Table Grid"/>
    <w:basedOn w:val="19"/>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customStyle="1" w:styleId="23">
    <w:name w:val="页眉 Char"/>
    <w:basedOn w:val="21"/>
    <w:link w:val="15"/>
    <w:qFormat/>
    <w:uiPriority w:val="0"/>
    <w:rPr>
      <w:rFonts w:ascii="Calibri" w:hAnsi="Calibri" w:eastAsia="宋体" w:cs="Times New Roman"/>
      <w:sz w:val="18"/>
      <w:szCs w:val="18"/>
    </w:rPr>
  </w:style>
  <w:style w:type="character" w:customStyle="1" w:styleId="24">
    <w:name w:val="页脚 Char"/>
    <w:basedOn w:val="21"/>
    <w:link w:val="14"/>
    <w:qFormat/>
    <w:uiPriority w:val="99"/>
    <w:rPr>
      <w:rFonts w:ascii="Calibri" w:hAnsi="Calibri" w:eastAsia="宋体" w:cs="Times New Roman"/>
      <w:sz w:val="18"/>
      <w:szCs w:val="18"/>
    </w:rPr>
  </w:style>
  <w:style w:type="character" w:customStyle="1" w:styleId="25">
    <w:name w:val="文档结构图 Char"/>
    <w:basedOn w:val="21"/>
    <w:link w:val="9"/>
    <w:semiHidden/>
    <w:qFormat/>
    <w:uiPriority w:val="99"/>
    <w:rPr>
      <w:rFonts w:ascii="宋体" w:hAnsi="Calibri" w:eastAsia="宋体" w:cs="Times New Roman"/>
      <w:sz w:val="18"/>
      <w:szCs w:val="18"/>
    </w:rPr>
  </w:style>
  <w:style w:type="paragraph" w:customStyle="1" w:styleId="26">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7">
    <w:name w:val="日期 Char"/>
    <w:basedOn w:val="21"/>
    <w:link w:val="12"/>
    <w:semiHidden/>
    <w:qFormat/>
    <w:uiPriority w:val="99"/>
    <w:rPr>
      <w:rFonts w:ascii="Calibri" w:hAnsi="Calibri" w:eastAsia="宋体" w:cs="Times New Roman"/>
    </w:rPr>
  </w:style>
  <w:style w:type="paragraph" w:customStyle="1" w:styleId="28">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9">
    <w:name w:val="标题 1 Char"/>
    <w:basedOn w:val="21"/>
    <w:link w:val="2"/>
    <w:qFormat/>
    <w:uiPriority w:val="0"/>
    <w:rPr>
      <w:rFonts w:ascii="Cambria" w:hAnsi="Cambria" w:eastAsia="华文中宋" w:cs="Times New Roman"/>
      <w:b/>
      <w:bCs/>
      <w:sz w:val="44"/>
      <w:szCs w:val="28"/>
    </w:rPr>
  </w:style>
  <w:style w:type="character" w:customStyle="1" w:styleId="30">
    <w:name w:val="纯文本 Char1"/>
    <w:link w:val="11"/>
    <w:qFormat/>
    <w:locked/>
    <w:uiPriority w:val="0"/>
    <w:rPr>
      <w:rFonts w:ascii="宋体" w:hAnsi="Courier New"/>
      <w:sz w:val="21"/>
    </w:rPr>
  </w:style>
  <w:style w:type="character" w:customStyle="1" w:styleId="31">
    <w:name w:val="纯文本 Char"/>
    <w:basedOn w:val="21"/>
    <w:semiHidden/>
    <w:qFormat/>
    <w:uiPriority w:val="99"/>
    <w:rPr>
      <w:rFonts w:ascii="宋体" w:hAnsi="Courier New" w:cs="Courier New"/>
      <w:kern w:val="2"/>
      <w:sz w:val="21"/>
      <w:szCs w:val="21"/>
    </w:rPr>
  </w:style>
  <w:style w:type="character" w:customStyle="1" w:styleId="32">
    <w:name w:val="标题 2 Char"/>
    <w:basedOn w:val="21"/>
    <w:link w:val="3"/>
    <w:semiHidden/>
    <w:qFormat/>
    <w:uiPriority w:val="9"/>
    <w:rPr>
      <w:rFonts w:asciiTheme="majorHAnsi" w:hAnsiTheme="majorHAnsi" w:eastAsiaTheme="majorEastAsia" w:cstheme="majorBidi"/>
      <w:b/>
      <w:bCs/>
      <w:kern w:val="2"/>
      <w:sz w:val="32"/>
      <w:szCs w:val="32"/>
    </w:rPr>
  </w:style>
  <w:style w:type="paragraph" w:customStyle="1" w:styleId="33">
    <w:name w:val="Table Paragraph"/>
    <w:basedOn w:val="1"/>
    <w:qFormat/>
    <w:uiPriority w:val="1"/>
  </w:style>
  <w:style w:type="paragraph" w:customStyle="1" w:styleId="34">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5">
    <w:name w:val="Char1 Char Char Char Char Char Char Char"/>
    <w:basedOn w:val="1"/>
    <w:qFormat/>
    <w:uiPriority w:val="0"/>
    <w:rPr>
      <w:rFonts w:ascii="Tahoma" w:hAnsi="Tahoma"/>
      <w:sz w:val="24"/>
      <w:szCs w:val="20"/>
    </w:rPr>
  </w:style>
  <w:style w:type="character" w:customStyle="1" w:styleId="36">
    <w:name w:val="标题 6 Char"/>
    <w:basedOn w:val="21"/>
    <w:link w:val="5"/>
    <w:qFormat/>
    <w:uiPriority w:val="9"/>
    <w:rPr>
      <w:rFonts w:asciiTheme="majorHAnsi" w:hAnsiTheme="majorHAnsi" w:eastAsiaTheme="majorEastAsia" w:cstheme="majorBidi"/>
      <w:b/>
      <w:bCs/>
      <w:kern w:val="2"/>
      <w:sz w:val="24"/>
      <w:szCs w:val="24"/>
    </w:rPr>
  </w:style>
  <w:style w:type="character" w:customStyle="1" w:styleId="37">
    <w:name w:val="正文文本 Char"/>
    <w:basedOn w:val="21"/>
    <w:link w:val="10"/>
    <w:qFormat/>
    <w:uiPriority w:val="0"/>
    <w:rPr>
      <w:kern w:val="2"/>
      <w:sz w:val="21"/>
      <w:szCs w:val="24"/>
    </w:rPr>
  </w:style>
  <w:style w:type="paragraph" w:styleId="38">
    <w:name w:val="List Paragraph"/>
    <w:basedOn w:val="1"/>
    <w:qFormat/>
    <w:uiPriority w:val="99"/>
    <w:pPr>
      <w:ind w:firstLine="420" w:firstLineChars="200"/>
    </w:pPr>
    <w:rPr>
      <w:rFonts w:ascii="Times New Roman" w:hAnsi="Times New Roman"/>
      <w:szCs w:val="24"/>
    </w:rPr>
  </w:style>
  <w:style w:type="paragraph" w:customStyle="1" w:styleId="39">
    <w:name w:val="样式 宋体1"/>
    <w:basedOn w:val="1"/>
    <w:qFormat/>
    <w:uiPriority w:val="0"/>
    <w:pPr>
      <w:ind w:firstLine="420" w:firstLineChars="200"/>
      <w:jc w:val="left"/>
    </w:pPr>
    <w:rPr>
      <w:rFonts w:ascii="宋体" w:hAnsi="宋体" w:eastAsia="等线" w:cs="宋体"/>
      <w:szCs w:val="20"/>
    </w:rPr>
  </w:style>
  <w:style w:type="paragraph" w:customStyle="1" w:styleId="40">
    <w:name w:val="Normal_1"/>
    <w:qFormat/>
    <w:uiPriority w:val="0"/>
    <w:rPr>
      <w:rFonts w:ascii="Calibri" w:hAnsi="Calibri" w:eastAsia="宋体" w:cs="Times New Roman"/>
      <w:sz w:val="24"/>
      <w:szCs w:val="24"/>
      <w:lang w:val="en-US" w:eastAsia="zh-CN" w:bidi="ar-SA"/>
    </w:rPr>
  </w:style>
  <w:style w:type="character" w:customStyle="1" w:styleId="41">
    <w:name w:val="正文文本缩进 2 Char"/>
    <w:link w:val="8"/>
    <w:qFormat/>
    <w:uiPriority w:val="99"/>
    <w:rPr>
      <w:rFonts w:ascii="Calibri" w:hAnsi="Calibri"/>
      <w:sz w:val="24"/>
      <w:szCs w:val="22"/>
    </w:rPr>
  </w:style>
  <w:style w:type="paragraph" w:customStyle="1" w:styleId="42">
    <w:name w:val="01 文件标题"/>
    <w:basedOn w:val="1"/>
    <w:next w:val="1"/>
    <w:qFormat/>
    <w:uiPriority w:val="0"/>
    <w:pPr>
      <w:spacing w:line="560" w:lineRule="exact"/>
      <w:jc w:val="center"/>
    </w:pPr>
    <w:rPr>
      <w:rFonts w:ascii="方正小标宋简体" w:eastAsia="方正小标宋简体"/>
      <w:sz w:val="44"/>
    </w:rPr>
  </w:style>
  <w:style w:type="paragraph" w:customStyle="1" w:styleId="43">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4">
    <w:name w:val="04 二级标题"/>
    <w:basedOn w:val="3"/>
    <w:qFormat/>
    <w:uiPriority w:val="0"/>
    <w:pPr>
      <w:spacing w:before="0" w:after="0" w:line="560" w:lineRule="exact"/>
      <w:ind w:firstLine="200" w:firstLineChars="200"/>
    </w:pPr>
    <w:rPr>
      <w:rFonts w:ascii="楷体_GB2312" w:hAnsi="Times New Roman" w:eastAsia="楷体_GB2312"/>
      <w:b w:val="0"/>
    </w:rPr>
  </w:style>
  <w:style w:type="character" w:customStyle="1" w:styleId="45">
    <w:name w:val="批注框文本 Char"/>
    <w:basedOn w:val="21"/>
    <w:link w:val="13"/>
    <w:semiHidden/>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QBPC</Company>
  <Pages>14</Pages>
  <Words>3201</Words>
  <Characters>3468</Characters>
  <Lines>41</Lines>
  <Paragraphs>11</Paragraphs>
  <TotalTime>4</TotalTime>
  <ScaleCrop>false</ScaleCrop>
  <LinksUpToDate>false</LinksUpToDate>
  <CharactersWithSpaces>3496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2025-12-12T03:00:00Z</dcterms:created>
  <dc:creator>xb21cn</dc:creator>
  <cp:lastModifiedBy>耀之歌</cp:lastModifiedBy>
  <cp:lastPrinted>2020-08-24T02:17:00Z</cp:lastPrinted>
  <dcterms:modified xsi:type="dcterms:W3CDTF">2025-12-22T02:21:51Z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7171CEA723AE4B8C908215614B1410DC_13</vt:lpwstr>
  </property>
  <property fmtid="{D5CDD505-2E9C-101B-9397-08002B2CF9AE}" pid="4" name="KSOTemplateDocerSaveRecord">
    <vt:lpwstr>eyJoZGlkIjoiNjExNjA1MzY4NDcxNDhlNGIwYWUzMzQ5YTk5ZTk5ZTUiLCJ1c2VySWQiOiI0OTQ3NjU2MzMifQ==</vt:lpwstr>
  </property>
</Properties>
</file>