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311D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1</w:t>
      </w:r>
    </w:p>
    <w:p w14:paraId="1B8F8F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 w14:paraId="3DBECDB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2026年度湖南省网信研究课题</w:t>
      </w:r>
    </w:p>
    <w:p w14:paraId="6E2538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指南目录</w:t>
      </w:r>
    </w:p>
    <w:p w14:paraId="68E2C29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2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</w:p>
    <w:p w14:paraId="483DFEAD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湖南省互联网发展报告（2026年度）</w:t>
      </w:r>
    </w:p>
    <w:p w14:paraId="4A7485D4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20" w:lineRule="exact"/>
        <w:ind w:firstLine="640" w:firstLineChars="200"/>
        <w:textAlignment w:val="auto"/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2.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大模型内生安全机理与治理体系研究</w:t>
      </w:r>
    </w:p>
    <w:p w14:paraId="6E41BD1D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20" w:lineRule="exact"/>
        <w:ind w:firstLine="640" w:firstLineChars="200"/>
        <w:textAlignment w:val="auto"/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3.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国家网络安全教育技术产业融合发展试验区（长沙）建设路径研究</w:t>
      </w:r>
    </w:p>
    <w:p w14:paraId="5660F9AF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20" w:lineRule="exact"/>
        <w:ind w:firstLine="640" w:firstLineChars="200"/>
        <w:textAlignment w:val="auto"/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4.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政务智能体的应用风险及其法律防控</w:t>
      </w:r>
    </w:p>
    <w:p w14:paraId="7E946F05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20" w:lineRule="exact"/>
        <w:ind w:firstLine="640" w:firstLineChars="200"/>
        <w:textAlignment w:val="auto"/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5.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湖南省全民数字素养与技能提升发展情况研究</w:t>
      </w:r>
    </w:p>
    <w:p w14:paraId="404C8D17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6.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关于“IPv6+AI Agent”网络建构关键技术研究及部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署实践</w:t>
      </w:r>
    </w:p>
    <w:p w14:paraId="75500497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7.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网络传播项目绩效评估的科学指标体系探索</w:t>
      </w:r>
    </w:p>
    <w:p w14:paraId="10744769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8.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医疗卫生行业提高舆论引导水平的对策研究</w:t>
      </w:r>
    </w:p>
    <w:p w14:paraId="4A99458F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9.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湖南省网民留言办理规范研究</w:t>
      </w:r>
    </w:p>
    <w:p w14:paraId="2191A760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10.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面向AI治理的湖南省网络舆情智能标签体系与高质量数据集构建研究</w:t>
      </w:r>
    </w:p>
    <w:p w14:paraId="6DA1D816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11.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湖南省网络生态治理问题及路径研究</w:t>
      </w:r>
    </w:p>
    <w:p w14:paraId="2FC6481E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12.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网信部门执法物理场所和执法专用设备设施标准化问题研究</w:t>
      </w:r>
    </w:p>
    <w:p w14:paraId="5FDB0349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13.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湖南省网络生态治理执法电子证据取证固证规则与程序规范研究</w:t>
      </w:r>
    </w:p>
    <w:p w14:paraId="38F535BB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14.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湖南人工智能产业发展态势与治理对策研究</w:t>
      </w:r>
    </w:p>
    <w:p w14:paraId="1CB4E2E0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15.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AI助力网络普法精品内容创作生产路径研究</w:t>
      </w:r>
    </w:p>
    <w:p w14:paraId="703A4903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16.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信息化条件下机关党建工作高质量发展研究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Arial Unicode MS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9F0E94DC-B70B-49A6-AD19-CA04C2DF18A2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A3FA8960-9861-44EB-8D27-23A3C3F92D6E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7D4BD4"/>
    <w:rsid w:val="434838D4"/>
    <w:rsid w:val="47A583E7"/>
    <w:rsid w:val="647D4BD4"/>
    <w:rsid w:val="7DE55AEC"/>
    <w:rsid w:val="EA7F1795"/>
    <w:rsid w:val="FF4E62F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iPriority="99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 w:afterLines="0" w:afterAutospacing="0"/>
    </w:pPr>
  </w:style>
  <w:style w:type="paragraph" w:styleId="3">
    <w:name w:val="index 6"/>
    <w:basedOn w:val="1"/>
    <w:next w:val="1"/>
    <w:unhideWhenUsed/>
    <w:qFormat/>
    <w:uiPriority w:val="99"/>
    <w:pPr>
      <w:ind w:left="21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359</Words>
  <Characters>401</Characters>
  <Lines>0</Lines>
  <Paragraphs>0</Paragraphs>
  <TotalTime>22.3333333333333</TotalTime>
  <ScaleCrop>false</ScaleCrop>
  <LinksUpToDate>false</LinksUpToDate>
  <CharactersWithSpaces>402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2026-04-28T18:14:00Z</dcterms:created>
  <dc:creator>zhuzhou</dc:creator>
  <cp:lastModifiedBy>泡泡</cp:lastModifiedBy>
  <dcterms:modified xsi:type="dcterms:W3CDTF">2026-05-09T06:21:50Z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E94E12E8845047AE80BC1807B88EB58B_13</vt:lpwstr>
  </property>
</Properties>
</file>