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《列车车载电源装置（DC600V）大修》典型生产性实训项目数字资源制作服务</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6"/>
      </w:pPr>
    </w:p>
    <w:p w14:paraId="40E4DFFA">
      <w:pPr>
        <w:pStyle w:val="16"/>
        <w:rPr>
          <w:szCs w:val="22"/>
        </w:rPr>
      </w:pPr>
    </w:p>
    <w:p w14:paraId="6EAB8857">
      <w:pPr>
        <w:jc w:val="center"/>
        <w:outlineLvl w:val="0"/>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u w:val="none"/>
        </w:rPr>
        <w:t>湖南铁道职业技术学院《列车车载电源装置（DC600V）大修》典型生产性实训项目数字资源制作服务项目询比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《列车车载电源装置（DC600V）大修》典型生产性实训项目数字资源制作服务项目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26475"/>
      <w:bookmarkStart w:id="2" w:name="_Toc3564"/>
      <w:bookmarkStart w:id="3" w:name="_Toc4659"/>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1.项目名称：《列车车载电源装置（DC600V）大修》典型生产性实训项目数字资源制作服务项目</w:t>
      </w:r>
    </w:p>
    <w:p w14:paraId="4430676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2.项目概况:</w:t>
      </w:r>
      <w:r>
        <w:rPr>
          <w:rFonts w:hint="eastAsia" w:ascii="仿宋" w:hAnsi="仿宋" w:eastAsia="仿宋" w:cs="Times New Roman"/>
          <w:kern w:val="2"/>
          <w:sz w:val="24"/>
          <w:szCs w:val="24"/>
          <w:lang w:val="en-US" w:eastAsia="zh-CN" w:bidi="ar-SA"/>
        </w:rPr>
        <w:t xml:space="preserve"> 为满足轨道交通类专业人才培养需求，提升《列车车载电源装置（DC600V）大修》生产性实训项目的教学效果与安全性，根据项目教学内容，设计和制作数字化教学资源。教学资源需紧密结合真实岗位工作流程、技术规范与安全标准，服务于学生实训操作前的理论学习、流程预习、操作规范认知及技能要点掌握。 </w:t>
      </w:r>
    </w:p>
    <w:p w14:paraId="5BF0E80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供应商需严格按照采购人提供的技术规范、操作流程、安全标准及教学需求，完成实训项目的工艺流程脚本编写、实操视频拍摄与后期剪辑、合成、二维动画设计、三维动画设计、数字人微课设计等数字资源的策划、脚本编写、制作、修改及最终交付视频拍摄服务，</w:t>
      </w:r>
      <w:r>
        <w:rPr>
          <w:rFonts w:hint="eastAsia" w:ascii="仿宋" w:hAnsi="仿宋" w:eastAsia="仿宋"/>
          <w:color w:val="000000" w:themeColor="text1"/>
          <w:sz w:val="24"/>
          <w:szCs w:val="24"/>
          <w14:textFill>
            <w14:solidFill>
              <w14:schemeClr w14:val="tx1"/>
            </w14:solidFill>
          </w14:textFill>
        </w:rPr>
        <w:t>具体内容详见采购需求。</w:t>
      </w: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14.8万元</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2414E76A">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1、基本资格条件：供应商必须是在中华人民共和国境内注册登记的法人、其他组织或者自然人，且应当符合下列规定，即：</w:t>
      </w:r>
    </w:p>
    <w:p w14:paraId="7C90A097">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（1）具有独立承担民事责任的能力；</w:t>
      </w:r>
    </w:p>
    <w:p w14:paraId="3E48F1C8">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（2）具有良好的商业信誉和健全的财务会计制度；</w:t>
      </w:r>
    </w:p>
    <w:p w14:paraId="4E35DD5D">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（3）具有履行合同所必需的设备和专业技术能力；</w:t>
      </w:r>
    </w:p>
    <w:p w14:paraId="2CBD718B">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（4）有依法缴纳税收的良好记录；</w:t>
      </w:r>
    </w:p>
    <w:p w14:paraId="44760BE7">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（5）参加采购活动前三年内，在经营活动中没有重大违法记录；</w:t>
      </w:r>
    </w:p>
    <w:p w14:paraId="16911F5A">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（6）法律、行政法规规定的其他条件。</w:t>
      </w:r>
    </w:p>
    <w:p w14:paraId="359D6FC5">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2、特定资格条件：必须具备视频制作、数字资源制作或者软件设计资质。</w:t>
      </w:r>
    </w:p>
    <w:p w14:paraId="7871BA6E">
      <w:pPr>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3.本项目不接受联合体投标。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6</w:t>
      </w:r>
      <w:r>
        <w:rPr>
          <w:rFonts w:hint="eastAsia" w:ascii="仿宋" w:hAnsi="仿宋" w:eastAsia="仿宋"/>
          <w:sz w:val="24"/>
          <w:szCs w:val="24"/>
        </w:rPr>
        <w:t>月</w:t>
      </w:r>
      <w:r>
        <w:rPr>
          <w:rFonts w:hint="eastAsia" w:ascii="仿宋" w:hAnsi="仿宋" w:eastAsia="仿宋"/>
          <w:sz w:val="24"/>
          <w:szCs w:val="24"/>
          <w:lang w:val="en-US" w:eastAsia="zh-CN"/>
        </w:rPr>
        <w:t>30</w:t>
      </w:r>
      <w:bookmarkStart w:id="10" w:name="_GoBack"/>
      <w:bookmarkEnd w:id="10"/>
      <w:r>
        <w:rPr>
          <w:rFonts w:hint="eastAsia" w:ascii="仿宋" w:hAnsi="仿宋" w:eastAsia="仿宋"/>
          <w:sz w:val="24"/>
          <w:szCs w:val="24"/>
        </w:rPr>
        <w:t>日</w:t>
      </w:r>
      <w:r>
        <w:rPr>
          <w:rFonts w:hint="eastAsia" w:ascii="仿宋" w:hAnsi="仿宋" w:eastAsia="仿宋"/>
          <w:sz w:val="24"/>
          <w:szCs w:val="24"/>
          <w:lang w:val="en-US" w:eastAsia="zh-CN"/>
        </w:rPr>
        <w:t>16</w:t>
      </w:r>
      <w:r>
        <w:rPr>
          <w:rFonts w:hint="eastAsia" w:ascii="仿宋" w:hAnsi="仿宋" w:eastAsia="仿宋"/>
          <w:sz w:val="24"/>
          <w:szCs w:val="24"/>
        </w:rPr>
        <w:t>时</w:t>
      </w:r>
    </w:p>
    <w:p w14:paraId="5FCFB0A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2．首次响应文件的开启时间：2025年</w:t>
      </w:r>
      <w:r>
        <w:rPr>
          <w:rFonts w:hint="eastAsia" w:ascii="仿宋" w:hAnsi="仿宋" w:eastAsia="仿宋"/>
          <w:sz w:val="24"/>
          <w:szCs w:val="24"/>
          <w:lang w:val="en-US" w:eastAsia="zh-CN"/>
        </w:rPr>
        <w:t>6</w:t>
      </w:r>
      <w:r>
        <w:rPr>
          <w:rFonts w:hint="eastAsia" w:ascii="仿宋" w:hAnsi="仿宋" w:eastAsia="仿宋"/>
          <w:sz w:val="24"/>
          <w:szCs w:val="24"/>
        </w:rPr>
        <w:t>月</w:t>
      </w:r>
      <w:r>
        <w:rPr>
          <w:rFonts w:hint="eastAsia" w:ascii="仿宋" w:hAnsi="仿宋" w:eastAsia="仿宋"/>
          <w:sz w:val="24"/>
          <w:szCs w:val="24"/>
          <w:lang w:val="en-US" w:eastAsia="zh-CN"/>
        </w:rPr>
        <w:t>30</w:t>
      </w:r>
      <w:r>
        <w:rPr>
          <w:rFonts w:hint="eastAsia" w:ascii="仿宋" w:hAnsi="仿宋" w:eastAsia="仿宋"/>
          <w:sz w:val="24"/>
          <w:szCs w:val="24"/>
        </w:rPr>
        <w:t>日</w:t>
      </w:r>
      <w:r>
        <w:rPr>
          <w:rFonts w:hint="eastAsia" w:ascii="仿宋" w:hAnsi="仿宋" w:eastAsia="仿宋"/>
          <w:sz w:val="24"/>
          <w:szCs w:val="24"/>
          <w:lang w:val="en-US" w:eastAsia="zh-CN"/>
        </w:rPr>
        <w:t>16</w:t>
      </w:r>
      <w:r>
        <w:rPr>
          <w:rFonts w:hint="eastAsia" w:ascii="仿宋" w:hAnsi="仿宋" w:eastAsia="仿宋"/>
          <w:sz w:val="24"/>
          <w:szCs w:val="24"/>
        </w:rPr>
        <w:t>时</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4"/>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singl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val="en-US" w:eastAsia="zh-CN"/>
        </w:rPr>
        <w:t>黄杰</w:t>
      </w:r>
    </w:p>
    <w:p w14:paraId="3B37533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eastAsia" w:ascii="仿宋" w:hAnsi="仿宋" w:eastAsia="仿宋" w:cstheme="minorEastAsia"/>
          <w:sz w:val="24"/>
          <w:szCs w:val="24"/>
          <w:u w:val="none"/>
          <w:lang w:val="en-US" w:eastAsia="zh-CN"/>
        </w:rPr>
        <w:t>18975315717</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6"/>
      </w:pPr>
    </w:p>
    <w:p w14:paraId="42402AF4"/>
    <w:p w14:paraId="06CBF053">
      <w:pPr>
        <w:pStyle w:val="16"/>
      </w:pPr>
    </w:p>
    <w:p w14:paraId="0617B9A7"/>
    <w:p w14:paraId="4FFDF357">
      <w:pPr>
        <w:pStyle w:val="16"/>
      </w:pPr>
    </w:p>
    <w:p w14:paraId="5EE97DA2">
      <w:pPr>
        <w:pStyle w:val="16"/>
        <w:ind w:left="0" w:leftChars="0" w:firstLine="0"/>
        <w:rPr>
          <w:szCs w:val="22"/>
        </w:rPr>
      </w:pPr>
    </w:p>
    <w:p w14:paraId="2A3004E7"/>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《列车车载电源装置（DC600V）大修》典型生产性实训项目数字资源制作服务</w:t>
      </w:r>
      <w:r>
        <w:rPr>
          <w:rFonts w:hint="eastAsia" w:ascii="仿宋" w:hAnsi="仿宋" w:eastAsia="仿宋" w:cs="仿宋"/>
          <w:color w:val="333333"/>
          <w:kern w:val="0"/>
          <w:sz w:val="24"/>
          <w:szCs w:val="24"/>
        </w:rPr>
        <w:t>项目</w:t>
      </w:r>
    </w:p>
    <w:p w14:paraId="2B3CA49A">
      <w:pPr>
        <w:spacing w:line="360" w:lineRule="auto"/>
        <w:ind w:firstLine="480" w:firstLineChars="200"/>
        <w:jc w:val="left"/>
        <w:rPr>
          <w:rFonts w:hint="eastAsia" w:ascii="仿宋" w:hAnsi="仿宋" w:eastAsia="仿宋"/>
          <w:sz w:val="24"/>
        </w:rPr>
      </w:pPr>
      <w:r>
        <w:rPr>
          <w:rFonts w:hint="eastAsia" w:ascii="仿宋" w:hAnsi="仿宋" w:eastAsia="仿宋" w:cs="仿宋"/>
          <w:color w:val="333333"/>
          <w:kern w:val="0"/>
          <w:sz w:val="24"/>
          <w:szCs w:val="24"/>
        </w:rPr>
        <w:t>2．</w:t>
      </w:r>
      <w:r>
        <w:rPr>
          <w:rFonts w:hint="eastAsia" w:ascii="仿宋" w:hAnsi="仿宋" w:eastAsia="仿宋" w:cs="仿宋"/>
          <w:color w:val="333333"/>
          <w:kern w:val="0"/>
          <w:sz w:val="24"/>
          <w:szCs w:val="24"/>
          <w:lang w:val="en-US" w:eastAsia="zh-CN"/>
        </w:rPr>
        <w:t>基本要求：</w:t>
      </w:r>
      <w:r>
        <w:rPr>
          <w:rFonts w:hint="eastAsia" w:ascii="仿宋" w:hAnsi="仿宋" w:eastAsia="仿宋"/>
          <w:sz w:val="24"/>
        </w:rPr>
        <w:t>为满足轨道交通类专业人才培养需求，提升《列车车载电源装置（DC600V）大修》生产性实训项目的教学效果与安全性，现采购配套的数字教学资源制作服务。资源需紧密结合真实岗位工作流程、技术规范与安全标准，服务于学生实训操作前的理论学习、流程预习、操作规范认知及技能要点掌握。</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520A1EFD">
      <w:pPr>
        <w:spacing w:line="360" w:lineRule="auto"/>
        <w:ind w:firstLine="480" w:firstLineChars="200"/>
        <w:rPr>
          <w:rFonts w:hint="eastAsia" w:ascii="仿宋" w:hAnsi="仿宋" w:eastAsia="仿宋"/>
          <w:sz w:val="24"/>
        </w:rPr>
      </w:pPr>
      <w:r>
        <w:rPr>
          <w:rFonts w:hint="eastAsia" w:ascii="仿宋" w:hAnsi="仿宋" w:eastAsia="仿宋"/>
          <w:sz w:val="24"/>
        </w:rPr>
        <w:t>供应商需严格按照采购人提供的技术规范、操作流程、安全标准及教学需求，完成以下数字资源的策划、脚本编写、制作、修改及最终交付。</w:t>
      </w:r>
    </w:p>
    <w:p w14:paraId="35C3C441">
      <w:pPr>
        <w:numPr>
          <w:ilvl w:val="0"/>
          <w:numId w:val="1"/>
        </w:numPr>
        <w:spacing w:line="360" w:lineRule="auto"/>
        <w:ind w:firstLine="482" w:firstLineChars="200"/>
        <w:rPr>
          <w:rFonts w:hint="eastAsia" w:ascii="仿宋" w:hAnsi="仿宋" w:eastAsia="仿宋"/>
          <w:sz w:val="24"/>
        </w:rPr>
      </w:pPr>
      <w:r>
        <w:rPr>
          <w:rFonts w:hint="eastAsia" w:ascii="仿宋" w:hAnsi="仿宋" w:eastAsia="仿宋"/>
          <w:b/>
          <w:bCs/>
          <w:sz w:val="24"/>
        </w:rPr>
        <w:t>设备检修实拍视频。</w:t>
      </w:r>
      <w:r>
        <w:rPr>
          <w:rFonts w:hint="eastAsia" w:ascii="仿宋" w:hAnsi="仿宋" w:eastAsia="仿宋"/>
          <w:sz w:val="24"/>
        </w:rPr>
        <w:t xml:space="preserve">内容：覆盖DC600V车载电源装置大修的核心操作流程、关键检修步骤、专用工具设备使用、安全防护规范、常见故障诊断与排除等。要求：高清画质（1080P或以上），多角度拍摄（含特写关键操作细节），配专业解说与字幕，重点突出操作规范、技术要点和安全警示。时长总计不少于 </w:t>
      </w:r>
      <w:r>
        <w:rPr>
          <w:rFonts w:hint="eastAsia" w:ascii="仿宋" w:hAnsi="仿宋" w:eastAsia="仿宋"/>
          <w:b/>
          <w:bCs/>
          <w:sz w:val="24"/>
        </w:rPr>
        <w:t>[130]</w:t>
      </w:r>
      <w:r>
        <w:rPr>
          <w:rFonts w:hint="eastAsia" w:ascii="仿宋" w:hAnsi="仿宋" w:eastAsia="仿宋"/>
          <w:sz w:val="24"/>
        </w:rPr>
        <w:t xml:space="preserve"> 分钟。</w:t>
      </w:r>
    </w:p>
    <w:p w14:paraId="64B1C333">
      <w:pPr>
        <w:numPr>
          <w:ilvl w:val="0"/>
          <w:numId w:val="1"/>
        </w:numPr>
        <w:spacing w:line="360" w:lineRule="auto"/>
        <w:ind w:firstLine="482" w:firstLineChars="200"/>
        <w:rPr>
          <w:rFonts w:hint="eastAsia" w:ascii="仿宋" w:hAnsi="仿宋" w:eastAsia="仿宋"/>
          <w:sz w:val="24"/>
        </w:rPr>
      </w:pPr>
      <w:r>
        <w:rPr>
          <w:rFonts w:hint="eastAsia" w:ascii="仿宋" w:hAnsi="仿宋" w:eastAsia="仿宋"/>
          <w:b/>
          <w:bCs/>
          <w:sz w:val="24"/>
        </w:rPr>
        <w:t>二维原理与流程动画。</w:t>
      </w:r>
      <w:r>
        <w:rPr>
          <w:rFonts w:hint="eastAsia" w:ascii="仿宋" w:hAnsi="仿宋" w:eastAsia="仿宋"/>
          <w:sz w:val="24"/>
        </w:rPr>
        <w:t>内容：用于阐释DC600V电源系统工作原理、电路结构、关键部件功能、控制逻辑及整体检修流程框图等。要求：风格清晰简洁，逻辑性强，色彩搭配符合工业标准，能准确、生动地展示抽象原理和宏观流程。时长总计不少于 [300] 秒。</w:t>
      </w:r>
    </w:p>
    <w:p w14:paraId="1A5EACAC">
      <w:pPr>
        <w:spacing w:line="360" w:lineRule="auto"/>
        <w:ind w:firstLine="480" w:firstLineChars="200"/>
        <w:rPr>
          <w:rFonts w:hint="eastAsia" w:ascii="仿宋" w:hAnsi="仿宋" w:eastAsia="仿宋"/>
          <w:sz w:val="24"/>
        </w:rPr>
      </w:pPr>
      <w:r>
        <w:rPr>
          <w:rFonts w:hint="eastAsia" w:ascii="仿宋" w:hAnsi="仿宋" w:eastAsia="仿宋"/>
          <w:sz w:val="24"/>
        </w:rPr>
        <w:t>（3）</w:t>
      </w:r>
      <w:r>
        <w:rPr>
          <w:rFonts w:hint="eastAsia" w:ascii="仿宋" w:hAnsi="仿宋" w:eastAsia="仿宋"/>
          <w:b/>
          <w:bCs/>
          <w:sz w:val="24"/>
        </w:rPr>
        <w:t>三维设备拆装与结构动画。</w:t>
      </w:r>
      <w:r>
        <w:rPr>
          <w:rFonts w:hint="eastAsia" w:ascii="仿宋" w:hAnsi="仿宋" w:eastAsia="仿宋"/>
          <w:sz w:val="24"/>
        </w:rPr>
        <w:t>内容：聚焦DC600V电源装置关键部件（如逆变器、充电机、滤波器等）的精细三维模型展示、虚拟拆解与组装动画、内部结构透视、部件间装配关系等。要求：模型精度高、比例准确、材质逼真；动画流畅，清晰展示拆装顺序、工具使用、配合关系及内部结构；支持多角度观察。时长总计不少于 [450] 秒。</w:t>
      </w:r>
    </w:p>
    <w:p w14:paraId="7DC98883">
      <w:pPr>
        <w:spacing w:line="360" w:lineRule="auto"/>
        <w:ind w:firstLine="480" w:firstLineChars="200"/>
        <w:rPr>
          <w:rFonts w:hint="eastAsia" w:ascii="仿宋" w:hAnsi="仿宋" w:eastAsia="仿宋"/>
          <w:sz w:val="24"/>
        </w:rPr>
      </w:pPr>
      <w:r>
        <w:rPr>
          <w:rFonts w:hint="eastAsia" w:ascii="仿宋" w:hAnsi="仿宋" w:eastAsia="仿宋"/>
          <w:sz w:val="24"/>
        </w:rPr>
        <w:t>（4）</w:t>
      </w:r>
      <w:r>
        <w:rPr>
          <w:rFonts w:hint="eastAsia" w:ascii="仿宋" w:hAnsi="仿宋" w:eastAsia="仿宋"/>
          <w:b/>
          <w:bCs/>
          <w:sz w:val="24"/>
        </w:rPr>
        <w:t>数字人微课制作。</w:t>
      </w:r>
      <w:r>
        <w:rPr>
          <w:rFonts w:hint="eastAsia" w:ascii="仿宋" w:hAnsi="仿宋" w:eastAsia="仿宋"/>
          <w:sz w:val="24"/>
        </w:rPr>
        <w:t>内容：利用虚拟数字人讲师，系统讲解DC600V电源装置大修的理论知识、技术标准、安全规程、典型案例分析等模块化教学内容。要求：数字人形象专业、自然；讲解内容准确、条理清晰；结合实拍视频、二维/三维动画片段、图文等多媒体元素进行交互式呈现；背景与场景设计符合教学情境。单个微课时长建议5-8分钟，总计不少于 [50] 分钟。</w:t>
      </w:r>
    </w:p>
    <w:p w14:paraId="4D103245">
      <w:pPr>
        <w:spacing w:line="360" w:lineRule="auto"/>
        <w:ind w:firstLine="480" w:firstLineChars="200"/>
        <w:rPr>
          <w:rFonts w:hint="eastAsia" w:ascii="仿宋" w:hAnsi="仿宋" w:eastAsia="仿宋"/>
          <w:sz w:val="24"/>
        </w:rPr>
      </w:pPr>
      <w:r>
        <w:rPr>
          <w:rFonts w:hint="eastAsia" w:ascii="仿宋" w:hAnsi="仿宋" w:eastAsia="仿宋"/>
          <w:sz w:val="24"/>
        </w:rPr>
        <w:t>（5）</w:t>
      </w:r>
      <w:r>
        <w:rPr>
          <w:rFonts w:hint="eastAsia" w:ascii="仿宋" w:hAnsi="仿宋" w:eastAsia="仿宋"/>
          <w:b/>
          <w:bCs/>
          <w:sz w:val="24"/>
        </w:rPr>
        <w:t>配套资源：</w:t>
      </w:r>
      <w:r>
        <w:rPr>
          <w:rFonts w:hint="eastAsia" w:ascii="仿宋" w:hAnsi="仿宋" w:eastAsia="仿宋"/>
          <w:sz w:val="24"/>
        </w:rPr>
        <w:t>根据项目主要知识点和技术关键点，编写工艺文件的脚本；提供所有视频、动画的原始工程文件、素材文件；提供分镜头脚本、解说词文稿（电子版）；根据采购人要求进行修改完善直至最终验收通过。</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463857AF">
      <w:pPr>
        <w:numPr>
          <w:ilvl w:val="0"/>
          <w:numId w:val="2"/>
        </w:numPr>
        <w:spacing w:line="360" w:lineRule="auto"/>
        <w:ind w:left="0" w:firstLine="480"/>
        <w:rPr>
          <w:rFonts w:hint="eastAsia" w:ascii="仿宋" w:hAnsi="仿宋" w:eastAsia="仿宋"/>
          <w:sz w:val="24"/>
        </w:rPr>
      </w:pPr>
      <w:bookmarkStart w:id="9" w:name="OLE_LINK4"/>
      <w:r>
        <w:rPr>
          <w:rFonts w:hint="eastAsia" w:ascii="仿宋" w:hAnsi="仿宋" w:eastAsia="仿宋"/>
          <w:sz w:val="24"/>
        </w:rPr>
        <w:t>技术准确性：所有资源内容必须严格符合国家及行业相关技术标准、检修规程、安全规范及采购人提供的技术资料，确保专业知识无错误。</w:t>
      </w:r>
    </w:p>
    <w:p w14:paraId="7B1B787F">
      <w:pPr>
        <w:numPr>
          <w:ilvl w:val="0"/>
          <w:numId w:val="2"/>
        </w:numPr>
        <w:spacing w:line="360" w:lineRule="auto"/>
        <w:ind w:left="0" w:firstLine="480"/>
        <w:rPr>
          <w:rFonts w:hint="eastAsia" w:ascii="仿宋" w:hAnsi="仿宋" w:eastAsia="仿宋"/>
          <w:sz w:val="24"/>
        </w:rPr>
      </w:pPr>
      <w:r>
        <w:rPr>
          <w:rFonts w:hint="eastAsia" w:ascii="仿宋" w:hAnsi="仿宋" w:eastAsia="仿宋"/>
          <w:sz w:val="24"/>
        </w:rPr>
        <w:t>教学适用性：资源设计需紧密结合高职学生认知特点和实训教学目标，重点突出、难点解析透彻，能有效支撑课前预习、理论学习和操作规范掌握。</w:t>
      </w:r>
    </w:p>
    <w:p w14:paraId="4B49287B">
      <w:pPr>
        <w:numPr>
          <w:ilvl w:val="0"/>
          <w:numId w:val="2"/>
        </w:numPr>
        <w:spacing w:line="360" w:lineRule="auto"/>
        <w:ind w:left="0" w:firstLine="480"/>
        <w:rPr>
          <w:rFonts w:hint="eastAsia" w:ascii="仿宋" w:hAnsi="仿宋" w:eastAsia="仿宋"/>
          <w:sz w:val="24"/>
        </w:rPr>
      </w:pPr>
      <w:r>
        <w:rPr>
          <w:rFonts w:hint="eastAsia" w:ascii="仿宋" w:hAnsi="仿宋" w:eastAsia="仿宋"/>
          <w:sz w:val="24"/>
        </w:rPr>
        <w:t>制作水准：</w:t>
      </w:r>
    </w:p>
    <w:p w14:paraId="50A2DD7C">
      <w:pPr>
        <w:spacing w:line="360" w:lineRule="auto"/>
        <w:ind w:firstLine="480" w:firstLineChars="200"/>
        <w:rPr>
          <w:rFonts w:hint="eastAsia" w:ascii="仿宋" w:hAnsi="仿宋" w:eastAsia="仿宋"/>
          <w:sz w:val="24"/>
        </w:rPr>
      </w:pPr>
      <w:r>
        <w:rPr>
          <w:rFonts w:hint="eastAsia" w:ascii="仿宋" w:hAnsi="仿宋" w:eastAsia="仿宋"/>
          <w:sz w:val="24"/>
        </w:rPr>
        <w:t>视频：画面稳定清晰，构图合理，光线充足均匀，录音清晰无杂音，剪辑流畅，字幕准确同步。</w:t>
      </w:r>
    </w:p>
    <w:p w14:paraId="1317BFFB">
      <w:pPr>
        <w:spacing w:line="360" w:lineRule="auto"/>
        <w:ind w:firstLine="480" w:firstLineChars="200"/>
        <w:rPr>
          <w:rFonts w:hint="eastAsia" w:ascii="仿宋" w:hAnsi="仿宋" w:eastAsia="仿宋"/>
          <w:sz w:val="24"/>
        </w:rPr>
      </w:pPr>
      <w:r>
        <w:rPr>
          <w:rFonts w:hint="eastAsia" w:ascii="仿宋" w:hAnsi="仿宋" w:eastAsia="仿宋"/>
          <w:sz w:val="24"/>
        </w:rPr>
        <w:t>动画（2D/3D）：视觉效果专业，动作流畅自然，模型精细准确（3D），色彩协调，信息传达清晰高效。</w:t>
      </w:r>
    </w:p>
    <w:p w14:paraId="2AC3BDA1">
      <w:pPr>
        <w:spacing w:line="360" w:lineRule="auto"/>
        <w:ind w:firstLine="480" w:firstLineChars="200"/>
        <w:rPr>
          <w:rFonts w:hint="eastAsia" w:ascii="仿宋" w:hAnsi="仿宋" w:eastAsia="仿宋"/>
          <w:sz w:val="24"/>
        </w:rPr>
      </w:pPr>
      <w:r>
        <w:rPr>
          <w:rFonts w:hint="eastAsia" w:ascii="仿宋" w:hAnsi="仿宋" w:eastAsia="仿宋"/>
          <w:sz w:val="24"/>
        </w:rPr>
        <w:t>数字人：形象自然生动，口型与语音同步精准，表情动作得体，与教学内容结合紧密。</w:t>
      </w:r>
    </w:p>
    <w:p w14:paraId="227CFAAC">
      <w:pPr>
        <w:numPr>
          <w:ilvl w:val="0"/>
          <w:numId w:val="2"/>
        </w:numPr>
        <w:spacing w:line="360" w:lineRule="auto"/>
        <w:ind w:left="0" w:firstLine="480"/>
        <w:rPr>
          <w:rFonts w:ascii="仿宋" w:hAnsi="仿宋" w:eastAsia="仿宋"/>
          <w:sz w:val="24"/>
        </w:rPr>
      </w:pPr>
      <w:r>
        <w:rPr>
          <w:rFonts w:hint="eastAsia" w:ascii="仿宋" w:hAnsi="仿宋" w:eastAsia="仿宋"/>
          <w:sz w:val="24"/>
        </w:rPr>
        <w:t>规范性：专业技术知识点表述准确，解说词、术语、单位、符号等使用规范统一；安全警示标识醒目、位置恰当。</w:t>
      </w:r>
    </w:p>
    <w:p w14:paraId="01E11D31">
      <w:pPr>
        <w:numPr>
          <w:ilvl w:val="0"/>
          <w:numId w:val="2"/>
        </w:numPr>
        <w:spacing w:line="360" w:lineRule="auto"/>
        <w:ind w:left="0" w:firstLine="480"/>
        <w:rPr>
          <w:rFonts w:ascii="仿宋" w:hAnsi="仿宋" w:eastAsia="仿宋"/>
          <w:sz w:val="24"/>
        </w:rPr>
      </w:pPr>
      <w:r>
        <w:rPr>
          <w:rFonts w:hint="eastAsia" w:ascii="仿宋" w:hAnsi="仿宋" w:eastAsia="仿宋"/>
          <w:sz w:val="24"/>
        </w:rPr>
        <w:t>兼容性与格式：最终交付成品格式需为通用高清格式（如MP4 H.264），能在常用电脑及多媒体教学设备上流畅播放，源文件需可编辑。</w:t>
      </w:r>
    </w:p>
    <w:p w14:paraId="50F35791">
      <w:pPr>
        <w:numPr>
          <w:ilvl w:val="0"/>
          <w:numId w:val="2"/>
        </w:numPr>
        <w:spacing w:line="360" w:lineRule="auto"/>
        <w:ind w:left="0" w:firstLine="480"/>
        <w:rPr>
          <w:rFonts w:ascii="仿宋" w:hAnsi="仿宋" w:eastAsia="仿宋"/>
          <w:sz w:val="24"/>
        </w:rPr>
      </w:pPr>
      <w:r>
        <w:rPr>
          <w:rFonts w:hint="eastAsia" w:ascii="仿宋" w:hAnsi="仿宋" w:eastAsia="仿宋"/>
          <w:sz w:val="24"/>
        </w:rPr>
        <w:t>响应与修改：在制作过程中及验收阶段，供应商需积极响应采购人的反馈意见，在规定时间内完成修改完善工作。</w:t>
      </w:r>
    </w:p>
    <w:bookmarkEnd w:id="9"/>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531724DC">
      <w:pPr>
        <w:numPr>
          <w:ilvl w:val="0"/>
          <w:numId w:val="0"/>
        </w:numPr>
        <w:spacing w:line="360" w:lineRule="auto"/>
        <w:ind w:firstLine="480" w:firstLineChars="200"/>
        <w:rPr>
          <w:rFonts w:hint="eastAsia"/>
        </w:rPr>
      </w:pPr>
      <w:r>
        <w:rPr>
          <w:rFonts w:hint="eastAsia" w:ascii="仿宋" w:hAnsi="仿宋" w:eastAsia="仿宋"/>
          <w:sz w:val="24"/>
        </w:rPr>
        <w:t>最终成果需通过采购人组织的专家验收，满足本通知规定的所有内容、质量、格式要求，并签署验收合格报告。</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14.8</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67DF641F">
      <w:pPr>
        <w:spacing w:before="156" w:beforeLines="50"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w:t>
      </w:r>
      <w:r>
        <w:rPr>
          <w:rFonts w:hint="eastAsia" w:ascii="仿宋" w:hAnsi="仿宋" w:eastAsia="仿宋"/>
          <w:sz w:val="24"/>
        </w:rPr>
        <w:t>合同签订后</w:t>
      </w:r>
      <w:r>
        <w:rPr>
          <w:rFonts w:hint="eastAsia" w:ascii="仿宋" w:hAnsi="仿宋" w:eastAsia="仿宋"/>
          <w:b/>
          <w:bCs/>
          <w:sz w:val="24"/>
          <w:lang w:val="en-US" w:eastAsia="zh-CN"/>
        </w:rPr>
        <w:t>15</w:t>
      </w:r>
      <w:r>
        <w:rPr>
          <w:rFonts w:hint="eastAsia" w:ascii="仿宋" w:hAnsi="仿宋" w:eastAsia="仿宋"/>
          <w:sz w:val="24"/>
        </w:rPr>
        <w:t>个日历日内完成所有数字资源的制作、修改并交付验收。</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6870C465">
      <w:pPr>
        <w:pStyle w:val="16"/>
        <w:ind w:left="0" w:leftChars="0" w:firstLine="0"/>
        <w:jc w:val="center"/>
        <w:rPr>
          <w:rFonts w:ascii="仿宋" w:hAnsi="仿宋" w:eastAsia="仿宋"/>
          <w:b/>
          <w:sz w:val="36"/>
          <w:szCs w:val="36"/>
        </w:rPr>
      </w:pPr>
    </w:p>
    <w:p w14:paraId="0191A80D">
      <w:pPr>
        <w:rPr>
          <w:rFonts w:hint="eastAsia"/>
        </w:rPr>
      </w:pPr>
    </w:p>
    <w:p w14:paraId="223FEA3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7F151275">
      <w:pPr>
        <w:rPr>
          <w:rFonts w:ascii="仿宋" w:hAnsi="仿宋" w:eastAsia="仿宋"/>
          <w:b/>
          <w:sz w:val="28"/>
          <w:szCs w:val="28"/>
        </w:rPr>
      </w:pPr>
      <w:r>
        <w:rPr>
          <w:rFonts w:ascii="仿宋" w:hAnsi="仿宋" w:eastAsia="仿宋"/>
          <w:b/>
          <w:sz w:val="28"/>
          <w:szCs w:val="28"/>
        </w:rPr>
        <w:br w:type="page"/>
      </w:r>
    </w:p>
    <w:p w14:paraId="25421117">
      <w:pPr>
        <w:pStyle w:val="16"/>
        <w:spacing w:before="0" w:beforeAutospacing="0" w:after="0" w:line="240" w:lineRule="atLeast"/>
        <w:ind w:left="0" w:leftChars="0" w:firstLine="0"/>
        <w:rPr>
          <w:rFonts w:ascii="仿宋_GB2312" w:hAnsi="仿宋_GB2312" w:eastAsia="仿宋_GB2312" w:cs="仿宋_GB2312"/>
          <w:b/>
          <w:szCs w:val="21"/>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51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805"/>
        <w:gridCol w:w="672"/>
        <w:gridCol w:w="6192"/>
      </w:tblGrid>
      <w:tr w14:paraId="5730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4" w:type="pct"/>
            <w:vAlign w:val="center"/>
          </w:tcPr>
          <w:p w14:paraId="07263E9D">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评分项</w:t>
            </w:r>
          </w:p>
        </w:tc>
        <w:tc>
          <w:tcPr>
            <w:tcW w:w="455" w:type="pct"/>
            <w:vAlign w:val="center"/>
          </w:tcPr>
          <w:p w14:paraId="68C869CC">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计分内容</w:t>
            </w:r>
          </w:p>
        </w:tc>
        <w:tc>
          <w:tcPr>
            <w:tcW w:w="378" w:type="pct"/>
            <w:vAlign w:val="center"/>
          </w:tcPr>
          <w:p w14:paraId="18C4E291">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分值</w:t>
            </w:r>
          </w:p>
        </w:tc>
        <w:tc>
          <w:tcPr>
            <w:tcW w:w="3500" w:type="pct"/>
            <w:vAlign w:val="center"/>
          </w:tcPr>
          <w:p w14:paraId="3BA81996">
            <w:pPr>
              <w:adjustRightInd w:val="0"/>
              <w:snapToGrid w:val="0"/>
              <w:spacing w:line="300" w:lineRule="exact"/>
              <w:jc w:val="center"/>
              <w:rPr>
                <w:rFonts w:hint="eastAsia" w:ascii="仿宋" w:hAnsi="仿宋" w:eastAsia="仿宋" w:cs="仿宋_GB2312"/>
                <w:b/>
                <w:bCs/>
                <w:color w:val="000000"/>
                <w:sz w:val="24"/>
              </w:rPr>
            </w:pPr>
            <w:r>
              <w:rPr>
                <w:rFonts w:hint="eastAsia" w:ascii="仿宋" w:hAnsi="仿宋" w:eastAsia="仿宋" w:cs="仿宋_GB2312"/>
                <w:b/>
                <w:bCs/>
                <w:color w:val="000000"/>
                <w:sz w:val="24"/>
              </w:rPr>
              <w:t>评分标准</w:t>
            </w:r>
          </w:p>
        </w:tc>
      </w:tr>
      <w:tr w14:paraId="1885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pct"/>
            <w:vAlign w:val="center"/>
          </w:tcPr>
          <w:p w14:paraId="0D4CC1A0">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价格部分</w:t>
            </w:r>
          </w:p>
          <w:p w14:paraId="7BC85C62">
            <w:pPr>
              <w:adjustRightInd w:val="0"/>
              <w:snapToGrid w:val="0"/>
              <w:spacing w:line="300" w:lineRule="exact"/>
              <w:jc w:val="center"/>
              <w:rPr>
                <w:rFonts w:hint="eastAsia" w:ascii="仿宋" w:hAnsi="仿宋" w:eastAsia="仿宋"/>
              </w:rPr>
            </w:pPr>
            <w:r>
              <w:rPr>
                <w:rFonts w:hint="eastAsia" w:ascii="仿宋" w:hAnsi="仿宋" w:eastAsia="仿宋" w:cs="仿宋_GB2312"/>
                <w:color w:val="000000"/>
                <w:sz w:val="24"/>
              </w:rPr>
              <w:t>（30分）</w:t>
            </w:r>
          </w:p>
        </w:tc>
        <w:tc>
          <w:tcPr>
            <w:tcW w:w="455" w:type="pct"/>
            <w:vAlign w:val="center"/>
          </w:tcPr>
          <w:p w14:paraId="769ACB06">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投标报价</w:t>
            </w:r>
          </w:p>
        </w:tc>
        <w:tc>
          <w:tcPr>
            <w:tcW w:w="378" w:type="pct"/>
            <w:vAlign w:val="center"/>
          </w:tcPr>
          <w:p w14:paraId="787E4932">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30</w:t>
            </w:r>
          </w:p>
        </w:tc>
        <w:tc>
          <w:tcPr>
            <w:tcW w:w="6192" w:type="dxa"/>
            <w:vAlign w:val="center"/>
          </w:tcPr>
          <w:p w14:paraId="2552752E">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 xml:space="preserve">以经评委会一致认定满足招标文件要求且投标价格最低的投标报价为评标基准价，其价格得分计30分。其他投标人的价格得分统一按公式计算：报价得分=（评标基准价/投标报价）×价格权重。 </w:t>
            </w:r>
          </w:p>
        </w:tc>
      </w:tr>
      <w:tr w14:paraId="2607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restart"/>
            <w:vAlign w:val="center"/>
          </w:tcPr>
          <w:p w14:paraId="72F3C3F3">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技术部分</w:t>
            </w:r>
          </w:p>
          <w:p w14:paraId="53989CC5">
            <w:pPr>
              <w:adjustRightInd w:val="0"/>
              <w:snapToGrid w:val="0"/>
              <w:spacing w:line="300" w:lineRule="exact"/>
              <w:rPr>
                <w:rFonts w:hint="eastAsia" w:ascii="仿宋" w:hAnsi="仿宋" w:eastAsia="仿宋"/>
              </w:rPr>
            </w:pPr>
            <w:r>
              <w:rPr>
                <w:rFonts w:hint="eastAsia" w:ascii="仿宋" w:hAnsi="仿宋" w:eastAsia="仿宋" w:cs="仿宋_GB2312"/>
                <w:color w:val="000000"/>
                <w:sz w:val="24"/>
              </w:rPr>
              <w:t>（35分）</w:t>
            </w:r>
          </w:p>
        </w:tc>
        <w:tc>
          <w:tcPr>
            <w:tcW w:w="455" w:type="pct"/>
            <w:vAlign w:val="center"/>
          </w:tcPr>
          <w:p w14:paraId="1A20CC6A">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人员配置</w:t>
            </w:r>
          </w:p>
        </w:tc>
        <w:tc>
          <w:tcPr>
            <w:tcW w:w="378" w:type="pct"/>
            <w:vAlign w:val="center"/>
          </w:tcPr>
          <w:p w14:paraId="67538905">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sz w:val="24"/>
              </w:rPr>
              <w:t>10</w:t>
            </w:r>
          </w:p>
        </w:tc>
        <w:tc>
          <w:tcPr>
            <w:tcW w:w="6192" w:type="dxa"/>
            <w:vAlign w:val="center"/>
          </w:tcPr>
          <w:p w14:paraId="2381E583">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服务团队具备相关专业本科学历或者高级职称/资质的，每提供1人得2分，最多计算5人。</w:t>
            </w:r>
          </w:p>
          <w:p w14:paraId="16142B74">
            <w:pPr>
              <w:jc w:val="left"/>
              <w:rPr>
                <w:rFonts w:hint="eastAsia"/>
              </w:rPr>
            </w:pPr>
            <w:r>
              <w:rPr>
                <w:rFonts w:hint="eastAsia" w:ascii="仿宋" w:hAnsi="仿宋" w:eastAsia="仿宋" w:cs="宋体"/>
                <w:b/>
                <w:bCs/>
                <w:sz w:val="24"/>
                <w:szCs w:val="24"/>
              </w:rPr>
              <w:t>本项满分10分。</w:t>
            </w:r>
          </w:p>
          <w:p w14:paraId="3C57124F">
            <w:pPr>
              <w:adjustRightInd w:val="0"/>
              <w:snapToGrid w:val="0"/>
              <w:spacing w:line="300" w:lineRule="exact"/>
              <w:rPr>
                <w:rFonts w:hint="eastAsia" w:ascii="仿宋" w:hAnsi="仿宋" w:eastAsia="仿宋" w:cs="仿宋_GB2312"/>
                <w:color w:val="000000"/>
                <w:sz w:val="24"/>
              </w:rPr>
            </w:pPr>
            <w:r>
              <w:rPr>
                <w:rFonts w:hint="eastAsia" w:ascii="仿宋" w:hAnsi="仿宋" w:eastAsia="仿宋" w:cs="宋体"/>
                <w:b/>
                <w:bCs/>
                <w:sz w:val="24"/>
                <w:szCs w:val="24"/>
              </w:rPr>
              <w:t>【评审依据】：</w:t>
            </w:r>
            <w:r>
              <w:rPr>
                <w:rFonts w:hint="eastAsia" w:ascii="仿宋" w:hAnsi="仿宋" w:eastAsia="仿宋" w:cs="仿宋_GB2312"/>
                <w:b/>
                <w:bCs/>
                <w:color w:val="000000"/>
                <w:sz w:val="24"/>
              </w:rPr>
              <w:t>1）响应文件中提供以上人员证书扫描件和供应商为其缴纳的近三个月（不含</w:t>
            </w:r>
            <w:r>
              <w:rPr>
                <w:rFonts w:hint="eastAsia" w:ascii="仿宋" w:hAnsi="仿宋" w:eastAsia="仿宋" w:cs="仿宋_GB2312"/>
                <w:b/>
                <w:bCs/>
                <w:color w:val="000000"/>
                <w:sz w:val="24"/>
                <w:lang w:val="en-US" w:eastAsia="zh-CN"/>
              </w:rPr>
              <w:t>询比</w:t>
            </w:r>
            <w:r>
              <w:rPr>
                <w:rFonts w:hint="eastAsia" w:ascii="仿宋" w:hAnsi="仿宋" w:eastAsia="仿宋" w:cs="仿宋_GB2312"/>
                <w:b/>
                <w:bCs/>
                <w:color w:val="000000"/>
                <w:sz w:val="24"/>
              </w:rPr>
              <w:t>当月）的社保证明扫描件并加盖供应商公章，未提供或提供的证明材料不齐全的不得分。2）服务团队中人员证书不得复用，否则不予加分。</w:t>
            </w:r>
          </w:p>
        </w:tc>
      </w:tr>
      <w:tr w14:paraId="73BB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4CD03C9D">
            <w:pPr>
              <w:adjustRightInd w:val="0"/>
              <w:snapToGrid w:val="0"/>
              <w:spacing w:line="300" w:lineRule="exact"/>
              <w:rPr>
                <w:rFonts w:hint="eastAsia" w:ascii="仿宋" w:hAnsi="仿宋" w:eastAsia="仿宋" w:cs="仿宋_GB2312"/>
                <w:color w:val="000000"/>
                <w:sz w:val="24"/>
              </w:rPr>
            </w:pPr>
          </w:p>
        </w:tc>
        <w:tc>
          <w:tcPr>
            <w:tcW w:w="455" w:type="pct"/>
            <w:vAlign w:val="center"/>
          </w:tcPr>
          <w:p w14:paraId="7BC7A65F">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实施方案</w:t>
            </w:r>
          </w:p>
        </w:tc>
        <w:tc>
          <w:tcPr>
            <w:tcW w:w="378" w:type="pct"/>
            <w:vAlign w:val="center"/>
          </w:tcPr>
          <w:p w14:paraId="70218EFD">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433854FC">
            <w:pPr>
              <w:adjustRightInd w:val="0"/>
              <w:snapToGrid w:val="0"/>
              <w:spacing w:line="300" w:lineRule="exac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供应商根据本项目实施特点及技术要求，结合项目所在地现有情况制定实施方案，方案至少应包括：①技术保障措施；②人员组织保障措施；③进度保障措施；④质量保障措施；⑤售后保障服务。</w:t>
            </w:r>
          </w:p>
          <w:p w14:paraId="76E60BF1">
            <w:pPr>
              <w:jc w:val="left"/>
              <w:rPr>
                <w:rFonts w:hint="eastAsia"/>
              </w:rPr>
            </w:pPr>
            <w:r>
              <w:rPr>
                <w:rFonts w:hint="eastAsia" w:ascii="仿宋" w:hAnsi="仿宋" w:eastAsia="仿宋" w:cs="宋体"/>
                <w:b/>
                <w:bCs/>
                <w:sz w:val="24"/>
                <w:szCs w:val="24"/>
              </w:rPr>
              <w:t>本项满分10分。</w:t>
            </w:r>
          </w:p>
          <w:p w14:paraId="6EBD77BC">
            <w:pPr>
              <w:jc w:val="left"/>
            </w:pPr>
            <w:r>
              <w:rPr>
                <w:rFonts w:hint="eastAsia" w:ascii="仿宋" w:hAnsi="仿宋" w:eastAsia="仿宋" w:cs="宋体"/>
                <w:b/>
                <w:bCs/>
                <w:sz w:val="24"/>
                <w:szCs w:val="24"/>
              </w:rPr>
              <w:t>评审小组根据方案的完整性、合理性及操作性等进行评价，以上①~⑤条方案内容全面、科学合理，</w:t>
            </w:r>
            <w:r>
              <w:rPr>
                <w:rFonts w:ascii="仿宋" w:hAnsi="仿宋" w:eastAsia="仿宋" w:cs="仿宋_GB2312"/>
                <w:b/>
                <w:bCs/>
                <w:color w:val="000000"/>
                <w:sz w:val="24"/>
              </w:rPr>
              <w:t>技术细节100%符合轨道行业规范</w:t>
            </w:r>
            <w:r>
              <w:rPr>
                <w:rFonts w:hint="eastAsia" w:ascii="仿宋" w:hAnsi="仿宋" w:eastAsia="仿宋" w:cs="宋体"/>
                <w:b/>
                <w:bCs/>
                <w:sz w:val="24"/>
                <w:szCs w:val="24"/>
              </w:rPr>
              <w:t>的每条得2分；方案较完整，但是操作性一般的，且</w:t>
            </w:r>
            <w:r>
              <w:rPr>
                <w:rFonts w:ascii="仿宋" w:hAnsi="仿宋" w:eastAsia="仿宋" w:cs="仿宋_GB2312"/>
                <w:b/>
                <w:bCs/>
                <w:color w:val="000000"/>
                <w:sz w:val="24"/>
              </w:rPr>
              <w:t>存在≤2处技术表述不严谨</w:t>
            </w:r>
            <w:r>
              <w:rPr>
                <w:rFonts w:hint="eastAsia" w:ascii="仿宋" w:hAnsi="仿宋" w:eastAsia="仿宋" w:cs="宋体"/>
                <w:b/>
                <w:bCs/>
                <w:sz w:val="24"/>
                <w:szCs w:val="24"/>
              </w:rPr>
              <w:t>每条得1分；</w:t>
            </w:r>
            <w:r>
              <w:rPr>
                <w:rFonts w:hint="eastAsia" w:ascii="仿宋" w:hAnsi="仿宋" w:eastAsia="仿宋" w:cs="仿宋_GB2312"/>
                <w:b/>
                <w:bCs/>
                <w:color w:val="000000"/>
                <w:sz w:val="24"/>
              </w:rPr>
              <w:t>实施方案材料严重缺失</w:t>
            </w:r>
            <w:r>
              <w:rPr>
                <w:rFonts w:hint="eastAsia" w:ascii="仿宋" w:hAnsi="仿宋" w:eastAsia="仿宋" w:cs="宋体"/>
                <w:b/>
                <w:bCs/>
                <w:sz w:val="24"/>
                <w:szCs w:val="24"/>
              </w:rPr>
              <w:t>的不得分。</w:t>
            </w:r>
          </w:p>
        </w:tc>
      </w:tr>
      <w:tr w14:paraId="3D65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63FA4D3F">
            <w:pPr>
              <w:adjustRightInd w:val="0"/>
              <w:snapToGrid w:val="0"/>
              <w:spacing w:line="300" w:lineRule="exact"/>
              <w:rPr>
                <w:rFonts w:hint="eastAsia" w:ascii="仿宋" w:hAnsi="仿宋" w:eastAsia="仿宋" w:cs="仿宋_GB2312"/>
                <w:color w:val="000000"/>
                <w:sz w:val="24"/>
              </w:rPr>
            </w:pPr>
          </w:p>
        </w:tc>
        <w:tc>
          <w:tcPr>
            <w:tcW w:w="455" w:type="pct"/>
            <w:vAlign w:val="center"/>
          </w:tcPr>
          <w:p w14:paraId="07B745AF">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样品案例</w:t>
            </w:r>
          </w:p>
        </w:tc>
        <w:tc>
          <w:tcPr>
            <w:tcW w:w="378" w:type="pct"/>
            <w:vAlign w:val="center"/>
          </w:tcPr>
          <w:p w14:paraId="47D1FCA4">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15分</w:t>
            </w:r>
          </w:p>
        </w:tc>
        <w:tc>
          <w:tcPr>
            <w:tcW w:w="6192" w:type="dxa"/>
            <w:vAlign w:val="center"/>
          </w:tcPr>
          <w:p w14:paraId="130CA03D">
            <w:pPr>
              <w:adjustRightInd w:val="0"/>
              <w:snapToGrid w:val="0"/>
              <w:spacing w:line="300" w:lineRule="exact"/>
              <w:rPr>
                <w:rFonts w:hint="eastAsia" w:ascii="仿宋" w:hAnsi="仿宋" w:eastAsia="仿宋" w:cs="仿宋_GB2312"/>
                <w:sz w:val="24"/>
              </w:rPr>
            </w:pPr>
            <w:r>
              <w:rPr>
                <w:rFonts w:hint="eastAsia" w:ascii="仿宋" w:hAnsi="仿宋" w:eastAsia="仿宋" w:cs="宋体"/>
                <w:sz w:val="24"/>
                <w:szCs w:val="24"/>
              </w:rPr>
              <w:t>评审小组根据各响应文件中对应的“实拍视频”、“二维动画”、“三维动画”技术要求进行对比，</w:t>
            </w:r>
            <w:r>
              <w:rPr>
                <w:rFonts w:hint="eastAsia" w:ascii="仿宋" w:hAnsi="仿宋" w:eastAsia="仿宋" w:cs="宋体"/>
                <w:sz w:val="24"/>
              </w:rPr>
              <w:t>每提供1个</w:t>
            </w:r>
            <w:r>
              <w:rPr>
                <w:rFonts w:hint="eastAsia" w:ascii="仿宋" w:hAnsi="仿宋" w:eastAsia="仿宋" w:cs="仿宋_GB2312"/>
                <w:sz w:val="24"/>
              </w:rPr>
              <w:t>高度相关成功案例，且技术方案创新性强，样品指标全面优于要求的得3分；</w:t>
            </w:r>
            <w:r>
              <w:rPr>
                <w:rFonts w:hint="eastAsia" w:ascii="仿宋" w:hAnsi="仿宋" w:eastAsia="仿宋" w:cs="宋体"/>
                <w:sz w:val="24"/>
              </w:rPr>
              <w:t>每提供1个</w:t>
            </w:r>
            <w:r>
              <w:rPr>
                <w:rFonts w:hint="eastAsia" w:ascii="仿宋" w:hAnsi="仿宋" w:eastAsia="仿宋" w:cs="仿宋_GB2312"/>
                <w:sz w:val="24"/>
              </w:rPr>
              <w:t>基本相关案例，样品主要指标达标但存在次要缺陷的得2分；</w:t>
            </w:r>
            <w:r>
              <w:rPr>
                <w:rFonts w:hint="eastAsia" w:ascii="仿宋" w:hAnsi="仿宋" w:eastAsia="仿宋" w:cs="宋体"/>
                <w:sz w:val="24"/>
              </w:rPr>
              <w:t>每提供</w:t>
            </w:r>
            <w:r>
              <w:rPr>
                <w:rFonts w:hint="eastAsia" w:ascii="仿宋" w:hAnsi="仿宋" w:eastAsia="仿宋" w:cs="仿宋_GB2312"/>
                <w:sz w:val="24"/>
              </w:rPr>
              <w:t>1个基本相关案例，样品主要指标达标但存在次要缺陷的得1分。</w:t>
            </w:r>
            <w:r>
              <w:rPr>
                <w:rFonts w:hint="eastAsia" w:ascii="仿宋" w:hAnsi="仿宋" w:eastAsia="仿宋" w:cs="仿宋_GB2312"/>
                <w:b/>
                <w:bCs/>
                <w:sz w:val="24"/>
              </w:rPr>
              <w:t>最多计算5个样品案例。</w:t>
            </w:r>
          </w:p>
        </w:tc>
      </w:tr>
      <w:tr w14:paraId="5280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restart"/>
            <w:vAlign w:val="center"/>
          </w:tcPr>
          <w:p w14:paraId="34C5B599">
            <w:pPr>
              <w:adjustRightInd w:val="0"/>
              <w:snapToGrid w:val="0"/>
              <w:spacing w:line="300" w:lineRule="exact"/>
              <w:jc w:val="center"/>
              <w:rPr>
                <w:rFonts w:hint="eastAsia" w:ascii="仿宋" w:hAnsi="仿宋" w:eastAsia="仿宋"/>
              </w:rPr>
            </w:pPr>
          </w:p>
          <w:p w14:paraId="489C1190">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商务部分</w:t>
            </w:r>
          </w:p>
          <w:p w14:paraId="5F6B0161">
            <w:pPr>
              <w:adjustRightInd w:val="0"/>
              <w:snapToGrid w:val="0"/>
              <w:spacing w:line="300" w:lineRule="exact"/>
              <w:jc w:val="center"/>
              <w:rPr>
                <w:rFonts w:hint="eastAsia" w:ascii="仿宋" w:hAnsi="仿宋" w:eastAsia="仿宋"/>
                <w:b/>
                <w:sz w:val="24"/>
                <w:szCs w:val="20"/>
              </w:rPr>
            </w:pPr>
            <w:r>
              <w:rPr>
                <w:rFonts w:hint="eastAsia" w:ascii="仿宋" w:hAnsi="仿宋" w:eastAsia="仿宋" w:cs="仿宋_GB2312"/>
                <w:color w:val="000000"/>
                <w:sz w:val="24"/>
              </w:rPr>
              <w:t>(35分）</w:t>
            </w:r>
          </w:p>
        </w:tc>
        <w:tc>
          <w:tcPr>
            <w:tcW w:w="455" w:type="pct"/>
            <w:vAlign w:val="center"/>
          </w:tcPr>
          <w:p w14:paraId="72408A30">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技术力量</w:t>
            </w:r>
          </w:p>
        </w:tc>
        <w:tc>
          <w:tcPr>
            <w:tcW w:w="378" w:type="pct"/>
            <w:vAlign w:val="center"/>
          </w:tcPr>
          <w:p w14:paraId="22A8CC2E">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592DD4C6">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供应商提供相关专业的ISO9001证书、</w:t>
            </w:r>
            <w:r>
              <w:rPr>
                <w:rFonts w:ascii="仿宋" w:hAnsi="仿宋" w:eastAsia="仿宋" w:cs="仿宋_GB2312"/>
                <w:color w:val="000000"/>
                <w:sz w:val="24"/>
              </w:rPr>
              <w:t>高新技术企业证书</w:t>
            </w:r>
            <w:r>
              <w:rPr>
                <w:rFonts w:hint="eastAsia" w:ascii="仿宋" w:hAnsi="仿宋" w:eastAsia="仿宋" w:cs="仿宋_GB2312"/>
                <w:color w:val="000000"/>
                <w:sz w:val="24"/>
              </w:rPr>
              <w:t>、科技型企业证书的，每提供1个加2分，最高加6分；每提供一个供应商自己作品著作权的加1分，最高加4分。</w:t>
            </w:r>
          </w:p>
          <w:p w14:paraId="5E927E8F">
            <w:pPr>
              <w:pStyle w:val="2"/>
              <w:rPr>
                <w:rFonts w:hint="eastAsia" w:ascii="仿宋" w:hAnsi="仿宋" w:eastAsia="仿宋" w:cs="仿宋_GB2312"/>
                <w:color w:val="000000"/>
                <w:sz w:val="24"/>
              </w:rPr>
            </w:pPr>
            <w:r>
              <w:rPr>
                <w:rFonts w:hint="eastAsia" w:ascii="仿宋" w:hAnsi="仿宋" w:eastAsia="仿宋" w:cs="宋体"/>
                <w:b/>
                <w:bCs/>
                <w:sz w:val="24"/>
                <w:szCs w:val="24"/>
              </w:rPr>
              <w:t>本项满分10分。</w:t>
            </w:r>
          </w:p>
        </w:tc>
      </w:tr>
      <w:tr w14:paraId="723A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3F5FD5B1">
            <w:pPr>
              <w:adjustRightInd w:val="0"/>
              <w:snapToGrid w:val="0"/>
              <w:spacing w:line="300" w:lineRule="exact"/>
              <w:rPr>
                <w:rFonts w:hint="eastAsia" w:ascii="仿宋" w:hAnsi="仿宋" w:eastAsia="仿宋"/>
              </w:rPr>
            </w:pPr>
          </w:p>
        </w:tc>
        <w:tc>
          <w:tcPr>
            <w:tcW w:w="455" w:type="pct"/>
            <w:vAlign w:val="center"/>
          </w:tcPr>
          <w:p w14:paraId="3A0965EA">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获奖情况</w:t>
            </w:r>
          </w:p>
        </w:tc>
        <w:tc>
          <w:tcPr>
            <w:tcW w:w="378" w:type="pct"/>
            <w:vAlign w:val="center"/>
          </w:tcPr>
          <w:p w14:paraId="2BBEE3C0">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10分</w:t>
            </w:r>
          </w:p>
        </w:tc>
        <w:tc>
          <w:tcPr>
            <w:tcW w:w="6192" w:type="dxa"/>
            <w:vAlign w:val="center"/>
          </w:tcPr>
          <w:p w14:paraId="29C265D4">
            <w:pPr>
              <w:adjustRightInd w:val="0"/>
              <w:snapToGrid w:val="0"/>
              <w:spacing w:line="300" w:lineRule="exact"/>
              <w:rPr>
                <w:rFonts w:hint="eastAsia" w:ascii="仿宋" w:hAnsi="仿宋" w:eastAsia="仿宋" w:cs="仿宋_GB2312"/>
                <w:color w:val="000000"/>
                <w:sz w:val="24"/>
              </w:rPr>
            </w:pPr>
            <w:r>
              <w:rPr>
                <w:rFonts w:hint="eastAsia" w:ascii="仿宋" w:hAnsi="仿宋" w:eastAsia="仿宋" w:cs="仿宋_GB2312"/>
                <w:color w:val="000000"/>
                <w:sz w:val="24"/>
              </w:rPr>
              <w:t>供应商</w:t>
            </w:r>
            <w:r>
              <w:rPr>
                <w:rFonts w:hint="eastAsia" w:ascii="仿宋" w:hAnsi="仿宋" w:eastAsia="仿宋" w:cs="宋体"/>
                <w:sz w:val="24"/>
                <w:szCs w:val="24"/>
              </w:rPr>
              <w:t>自2022年12月至本项目响应文件递交截止时间（以合同签订日期为准）</w:t>
            </w:r>
            <w:r>
              <w:rPr>
                <w:rFonts w:hint="eastAsia" w:ascii="仿宋" w:hAnsi="仿宋" w:eastAsia="仿宋" w:cs="仿宋_GB2312"/>
                <w:color w:val="000000"/>
                <w:sz w:val="24"/>
              </w:rPr>
              <w:t>1个</w:t>
            </w:r>
            <w:r>
              <w:rPr>
                <w:rFonts w:ascii="仿宋" w:hAnsi="仿宋" w:eastAsia="仿宋" w:cs="仿宋_GB2312"/>
                <w:color w:val="000000"/>
                <w:sz w:val="24"/>
              </w:rPr>
              <w:t>省部级及以上相关奖项</w:t>
            </w:r>
            <w:r>
              <w:rPr>
                <w:rFonts w:hint="eastAsia" w:ascii="仿宋" w:hAnsi="仿宋" w:eastAsia="仿宋" w:cs="仿宋_GB2312"/>
                <w:color w:val="000000"/>
                <w:sz w:val="24"/>
              </w:rPr>
              <w:t>获奖证明的，每提供一个加2分。</w:t>
            </w:r>
          </w:p>
          <w:p w14:paraId="3B065FC8">
            <w:pPr>
              <w:adjustRightInd w:val="0"/>
              <w:snapToGrid w:val="0"/>
              <w:spacing w:line="300" w:lineRule="exact"/>
              <w:rPr>
                <w:rFonts w:hint="eastAsia" w:ascii="仿宋" w:hAnsi="仿宋" w:eastAsia="仿宋" w:cs="仿宋_GB2312"/>
                <w:color w:val="000000"/>
                <w:sz w:val="24"/>
              </w:rPr>
            </w:pPr>
            <w:r>
              <w:rPr>
                <w:rFonts w:hint="eastAsia" w:ascii="仿宋" w:hAnsi="仿宋" w:eastAsia="仿宋" w:cs="宋体"/>
                <w:b/>
                <w:bCs/>
                <w:sz w:val="24"/>
                <w:szCs w:val="24"/>
              </w:rPr>
              <w:t>【评审依据】：响应文件中提供完整立项报告和结项证明，未提供不得分。</w:t>
            </w:r>
          </w:p>
        </w:tc>
      </w:tr>
      <w:tr w14:paraId="753D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664" w:type="pct"/>
            <w:vMerge w:val="continue"/>
            <w:vAlign w:val="center"/>
          </w:tcPr>
          <w:p w14:paraId="3BCBD3E8">
            <w:pPr>
              <w:adjustRightInd w:val="0"/>
              <w:snapToGrid w:val="0"/>
              <w:spacing w:line="300" w:lineRule="exact"/>
              <w:rPr>
                <w:rFonts w:hint="eastAsia" w:ascii="仿宋" w:hAnsi="仿宋" w:eastAsia="仿宋" w:cs="仿宋_GB2312"/>
                <w:color w:val="000000"/>
                <w:sz w:val="24"/>
              </w:rPr>
            </w:pPr>
          </w:p>
        </w:tc>
        <w:tc>
          <w:tcPr>
            <w:tcW w:w="455" w:type="pct"/>
            <w:vAlign w:val="center"/>
          </w:tcPr>
          <w:p w14:paraId="52C8E023">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类似业绩</w:t>
            </w:r>
          </w:p>
        </w:tc>
        <w:tc>
          <w:tcPr>
            <w:tcW w:w="378" w:type="pct"/>
            <w:vAlign w:val="center"/>
          </w:tcPr>
          <w:p w14:paraId="2ED4B74D">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15分</w:t>
            </w:r>
          </w:p>
        </w:tc>
        <w:tc>
          <w:tcPr>
            <w:tcW w:w="6192" w:type="dxa"/>
            <w:vAlign w:val="center"/>
          </w:tcPr>
          <w:p w14:paraId="3BBF28E6">
            <w:pPr>
              <w:jc w:val="left"/>
              <w:rPr>
                <w:rFonts w:hint="default" w:ascii="仿宋" w:hAnsi="仿宋" w:eastAsia="仿宋" w:cs="宋体"/>
                <w:sz w:val="24"/>
                <w:szCs w:val="24"/>
                <w:lang w:val="en-US" w:eastAsia="zh-CN"/>
              </w:rPr>
            </w:pPr>
            <w:r>
              <w:rPr>
                <w:rFonts w:hint="eastAsia" w:ascii="仿宋" w:hAnsi="仿宋" w:eastAsia="仿宋" w:cs="宋体"/>
                <w:sz w:val="24"/>
                <w:szCs w:val="24"/>
              </w:rPr>
              <w:t>供应商提供自2022年12月至本项目响应文件递交截止时间（以合同签订日期为准）具有轨道交通类、院校类的教学资源建设服务项目合同的,每提供一</w:t>
            </w:r>
            <w:r>
              <w:rPr>
                <w:rFonts w:hint="eastAsia" w:ascii="仿宋" w:hAnsi="仿宋" w:eastAsia="仿宋" w:cs="宋体"/>
                <w:sz w:val="24"/>
                <w:szCs w:val="24"/>
                <w:lang w:val="en-US" w:eastAsia="zh-CN"/>
              </w:rPr>
              <w:t>份合同计</w:t>
            </w:r>
            <w:r>
              <w:rPr>
                <w:rFonts w:hint="eastAsia" w:ascii="仿宋" w:hAnsi="仿宋" w:eastAsia="仿宋" w:cs="宋体"/>
                <w:sz w:val="24"/>
                <w:szCs w:val="24"/>
              </w:rPr>
              <w:t>3分</w:t>
            </w:r>
            <w:r>
              <w:rPr>
                <w:rFonts w:hint="eastAsia" w:ascii="仿宋" w:hAnsi="仿宋" w:eastAsia="仿宋" w:cs="宋体"/>
                <w:sz w:val="24"/>
                <w:szCs w:val="24"/>
                <w:lang w:val="en-US" w:eastAsia="zh-CN"/>
              </w:rPr>
              <w:t>。</w:t>
            </w:r>
            <w:r>
              <w:rPr>
                <w:rFonts w:hint="eastAsia" w:ascii="仿宋" w:hAnsi="仿宋" w:eastAsia="仿宋"/>
                <w:sz w:val="24"/>
                <w:szCs w:val="24"/>
              </w:rPr>
              <w:t>（提供佐证材料复印件加盖公章，未提供不计分）</w:t>
            </w:r>
          </w:p>
          <w:p w14:paraId="140BA122">
            <w:pPr>
              <w:jc w:val="left"/>
              <w:rPr>
                <w:rFonts w:hint="eastAsia" w:ascii="仿宋" w:hAnsi="仿宋" w:eastAsia="仿宋" w:cs="仿宋_GB2312"/>
                <w:color w:val="000000"/>
                <w:sz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2E22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499" w:type="pct"/>
            <w:gridSpan w:val="3"/>
            <w:vAlign w:val="center"/>
          </w:tcPr>
          <w:p w14:paraId="2F928708">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合计</w:t>
            </w:r>
          </w:p>
        </w:tc>
        <w:tc>
          <w:tcPr>
            <w:tcW w:w="3500" w:type="pct"/>
            <w:vAlign w:val="center"/>
          </w:tcPr>
          <w:p w14:paraId="090701AE">
            <w:pPr>
              <w:adjustRightInd w:val="0"/>
              <w:snapToGrid w:val="0"/>
              <w:spacing w:line="300" w:lineRule="exact"/>
              <w:jc w:val="center"/>
              <w:rPr>
                <w:rFonts w:hint="eastAsia" w:ascii="仿宋" w:hAnsi="仿宋" w:eastAsia="仿宋" w:cs="仿宋_GB2312"/>
                <w:color w:val="000000"/>
                <w:sz w:val="24"/>
              </w:rPr>
            </w:pPr>
            <w:r>
              <w:rPr>
                <w:rFonts w:hint="eastAsia" w:ascii="仿宋" w:hAnsi="仿宋" w:eastAsia="仿宋" w:cs="仿宋_GB2312"/>
                <w:color w:val="000000"/>
                <w:sz w:val="24"/>
              </w:rPr>
              <w:t>100</w:t>
            </w:r>
          </w:p>
        </w:tc>
      </w:tr>
    </w:tbl>
    <w:p w14:paraId="785C3F3C">
      <w:pPr>
        <w:tabs>
          <w:tab w:val="left" w:pos="420"/>
          <w:tab w:val="left" w:pos="7560"/>
          <w:tab w:val="left" w:pos="7740"/>
          <w:tab w:val="left" w:pos="7920"/>
        </w:tabs>
        <w:adjustRightInd w:val="0"/>
        <w:snapToGrid w:val="0"/>
        <w:spacing w:line="336" w:lineRule="auto"/>
        <w:rPr>
          <w:rFonts w:hint="eastAsia" w:ascii="仿宋" w:hAnsi="仿宋" w:eastAsia="仿宋" w:cs="仿宋_GB2312"/>
          <w:b/>
          <w:sz w:val="32"/>
          <w:szCs w:val="32"/>
        </w:rPr>
      </w:pPr>
      <w:r>
        <w:rPr>
          <w:rFonts w:ascii="仿宋" w:hAnsi="仿宋" w:eastAsia="仿宋" w:cs="仿宋_GB2312"/>
          <w:b/>
          <w:sz w:val="32"/>
          <w:szCs w:val="32"/>
        </w:rPr>
        <w:br w:type="page"/>
      </w:r>
    </w:p>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1AB0E8">
      <w:pPr>
        <w:pStyle w:val="16"/>
        <w:spacing w:before="0" w:beforeAutospacing="0" w:after="0" w:line="360" w:lineRule="auto"/>
        <w:ind w:left="0" w:leftChars="0" w:firstLine="482" w:firstLineChars="200"/>
        <w:jc w:val="left"/>
        <w:rPr>
          <w:rFonts w:hint="eastAsia" w:ascii="仿宋" w:hAnsi="仿宋" w:eastAsia="仿宋"/>
          <w:bCs/>
          <w:sz w:val="24"/>
          <w:szCs w:val="24"/>
        </w:rPr>
      </w:pPr>
      <w:r>
        <w:rPr>
          <w:rFonts w:hint="eastAsia" w:ascii="仿宋" w:hAnsi="仿宋" w:eastAsia="仿宋"/>
          <w:b/>
          <w:sz w:val="24"/>
          <w:szCs w:val="24"/>
        </w:rPr>
        <w:t>四、保密承诺书：</w:t>
      </w:r>
      <w:r>
        <w:rPr>
          <w:rFonts w:hint="eastAsia" w:ascii="仿宋" w:hAnsi="仿宋" w:eastAsia="仿宋"/>
          <w:bCs/>
          <w:sz w:val="24"/>
          <w:szCs w:val="24"/>
        </w:rPr>
        <w:t>格式自拟，并加盖公章</w:t>
      </w:r>
    </w:p>
    <w:p w14:paraId="083C3535"/>
    <w:p w14:paraId="70132A2E">
      <w:pPr>
        <w:pStyle w:val="16"/>
        <w:ind w:left="0" w:leftChars="0" w:firstLine="0"/>
        <w:jc w:val="center"/>
        <w:rPr>
          <w:rFonts w:hint="eastAsia" w:ascii="宋体" w:hAnsi="宋体" w:eastAsia="仿宋" w:cs="宋体"/>
          <w:b/>
          <w:color w:val="333333"/>
          <w:kern w:val="0"/>
          <w:sz w:val="36"/>
          <w:szCs w:val="36"/>
        </w:rPr>
      </w:pPr>
    </w:p>
    <w:p w14:paraId="4DFEE8F5">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hint="eastAsia" w:ascii="仿宋_GB2312" w:hAnsi="宋体" w:eastAsia="仿宋_GB2312"/>
          <w:b/>
        </w:rPr>
      </w:pPr>
    </w:p>
    <w:p w14:paraId="495F3925">
      <w:pPr>
        <w:pStyle w:val="11"/>
        <w:adjustRightInd w:val="0"/>
        <w:snapToGrid w:val="0"/>
        <w:spacing w:line="360" w:lineRule="auto"/>
        <w:rPr>
          <w:rFonts w:hint="eastAsia" w:ascii="仿宋_GB2312" w:hAnsi="宋体" w:eastAsia="仿宋_GB2312"/>
          <w:b/>
        </w:rPr>
      </w:pPr>
    </w:p>
    <w:p w14:paraId="002BFB56">
      <w:pPr>
        <w:pStyle w:val="11"/>
        <w:adjustRightInd w:val="0"/>
        <w:snapToGrid w:val="0"/>
        <w:spacing w:line="360" w:lineRule="auto"/>
        <w:rPr>
          <w:rFonts w:hint="eastAsia" w:ascii="仿宋_GB2312" w:hAnsi="宋体" w:eastAsia="仿宋_GB2312"/>
          <w:b/>
        </w:rPr>
      </w:pPr>
    </w:p>
    <w:p w14:paraId="3BA2FD4C">
      <w:pPr>
        <w:pStyle w:val="11"/>
        <w:adjustRightInd w:val="0"/>
        <w:snapToGrid w:val="0"/>
        <w:spacing w:line="360" w:lineRule="auto"/>
        <w:rPr>
          <w:rFonts w:hint="eastAsia" w:ascii="仿宋_GB2312" w:hAnsi="宋体" w:eastAsia="仿宋_GB2312"/>
          <w:b/>
        </w:rPr>
      </w:pPr>
    </w:p>
    <w:p w14:paraId="5C02B142">
      <w:pPr>
        <w:pStyle w:val="11"/>
        <w:adjustRightInd w:val="0"/>
        <w:snapToGrid w:val="0"/>
        <w:spacing w:line="360" w:lineRule="auto"/>
        <w:rPr>
          <w:rFonts w:hint="eastAsia" w:ascii="仿宋_GB2312" w:hAnsi="宋体" w:eastAsia="仿宋_GB2312"/>
          <w:b/>
        </w:rPr>
      </w:pPr>
    </w:p>
    <w:p w14:paraId="625771E2">
      <w:pPr>
        <w:pStyle w:val="11"/>
        <w:adjustRightInd w:val="0"/>
        <w:snapToGrid w:val="0"/>
        <w:spacing w:line="360" w:lineRule="auto"/>
        <w:rPr>
          <w:rFonts w:hint="eastAsia" w:ascii="仿宋_GB2312" w:hAnsi="宋体" w:eastAsia="仿宋_GB2312"/>
          <w:b/>
        </w:rPr>
      </w:pPr>
    </w:p>
    <w:p w14:paraId="4396E67A">
      <w:pPr>
        <w:pStyle w:val="11"/>
        <w:adjustRightInd w:val="0"/>
        <w:snapToGrid w:val="0"/>
        <w:spacing w:line="360" w:lineRule="auto"/>
        <w:rPr>
          <w:rFonts w:hint="eastAsia" w:ascii="仿宋_GB2312" w:hAnsi="宋体" w:eastAsia="仿宋_GB2312"/>
          <w:b/>
        </w:rPr>
      </w:pPr>
    </w:p>
    <w:p w14:paraId="33EE1F5B">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p>
    <w:p w14:paraId="02AFAA5F">
      <w:pPr>
        <w:rPr>
          <w:rFonts w:ascii="仿宋" w:hAnsi="仿宋" w:eastAsia="仿宋"/>
          <w:b/>
          <w:sz w:val="24"/>
          <w:szCs w:val="24"/>
        </w:rPr>
      </w:pPr>
      <w:r>
        <w:rPr>
          <w:rFonts w:ascii="仿宋" w:hAnsi="仿宋" w:eastAsia="仿宋"/>
          <w:b/>
          <w:sz w:val="24"/>
          <w:szCs w:val="24"/>
        </w:rPr>
        <w:br w:type="page"/>
      </w: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hint="eastAsia" w:ascii="仿宋" w:hAnsi="仿宋" w:eastAsia="仿宋"/>
          <w:sz w:val="24"/>
          <w:szCs w:val="24"/>
        </w:rPr>
      </w:pP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1060001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0"/>
      </w:rPr>
    </w:pPr>
    <w:r>
      <w:fldChar w:fldCharType="begin"/>
    </w:r>
    <w:r>
      <w:rPr>
        <w:rStyle w:val="20"/>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F8104"/>
    <w:multiLevelType w:val="singleLevel"/>
    <w:tmpl w:val="A5EF8104"/>
    <w:lvl w:ilvl="0" w:tentative="0">
      <w:start w:val="1"/>
      <w:numFmt w:val="decimal"/>
      <w:suff w:val="nothing"/>
      <w:lvlText w:val="%1、"/>
      <w:lvlJc w:val="left"/>
      <w:pPr>
        <w:ind w:left="-60"/>
      </w:pPr>
    </w:lvl>
  </w:abstractNum>
  <w:abstractNum w:abstractNumId="1">
    <w:nsid w:val="33AC014C"/>
    <w:multiLevelType w:val="singleLevel"/>
    <w:tmpl w:val="33AC014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721B1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275DDA"/>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B88745B"/>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3547D7"/>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9628"/>
      </w:tabs>
      <w:spacing w:line="480" w:lineRule="auto"/>
    </w:pPr>
    <w:rPr>
      <w:rFonts w:ascii="仿宋_GB2312" w:hAnsi="宋体" w:eastAsia="仿宋_GB2312"/>
      <w:b/>
      <w:sz w:val="24"/>
      <w:szCs w:val="20"/>
    </w:r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3"/>
    <w:semiHidden/>
    <w:unhideWhenUsed/>
    <w:qFormat/>
    <w:uiPriority w:val="99"/>
    <w:rPr>
      <w:rFonts w:ascii="宋体"/>
      <w:sz w:val="18"/>
      <w:szCs w:val="18"/>
    </w:rPr>
  </w:style>
  <w:style w:type="paragraph" w:styleId="8">
    <w:name w:val="Body Text"/>
    <w:basedOn w:val="1"/>
    <w:next w:val="1"/>
    <w:link w:val="35"/>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39"/>
    <w:qFormat/>
    <w:uiPriority w:val="99"/>
    <w:pPr>
      <w:spacing w:after="120" w:line="480" w:lineRule="auto"/>
      <w:ind w:left="420" w:leftChars="200"/>
    </w:pPr>
    <w:rPr>
      <w:kern w:val="0"/>
      <w:sz w:val="24"/>
    </w:rPr>
  </w:style>
  <w:style w:type="paragraph" w:styleId="11">
    <w:name w:val="Plain Text"/>
    <w:basedOn w:val="1"/>
    <w:link w:val="28"/>
    <w:qFormat/>
    <w:uiPriority w:val="0"/>
    <w:rPr>
      <w:rFonts w:ascii="宋体" w:hAnsi="Courier New"/>
      <w:kern w:val="0"/>
      <w:szCs w:val="20"/>
    </w:rPr>
  </w:style>
  <w:style w:type="paragraph" w:styleId="12">
    <w:name w:val="Date"/>
    <w:basedOn w:val="1"/>
    <w:next w:val="1"/>
    <w:link w:val="25"/>
    <w:semiHidden/>
    <w:unhideWhenUsed/>
    <w:qFormat/>
    <w:uiPriority w:val="99"/>
    <w:pPr>
      <w:ind w:left="100" w:leftChars="2500"/>
    </w:pPr>
  </w:style>
  <w:style w:type="paragraph" w:styleId="13">
    <w:name w:val="footer"/>
    <w:basedOn w:val="1"/>
    <w:link w:val="22"/>
    <w:unhideWhenUsed/>
    <w:qFormat/>
    <w:uiPriority w:val="99"/>
    <w:pPr>
      <w:tabs>
        <w:tab w:val="center" w:pos="4153"/>
        <w:tab w:val="right" w:pos="8306"/>
      </w:tabs>
      <w:snapToGrid w:val="0"/>
      <w:jc w:val="left"/>
    </w:pPr>
    <w:rPr>
      <w:sz w:val="18"/>
      <w:szCs w:val="18"/>
    </w:rPr>
  </w:style>
  <w:style w:type="paragraph" w:styleId="14">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9"/>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4"/>
    <w:qFormat/>
    <w:uiPriority w:val="0"/>
    <w:rPr>
      <w:rFonts w:ascii="Calibri" w:hAnsi="Calibri" w:eastAsia="宋体" w:cs="Times New Roman"/>
      <w:sz w:val="18"/>
      <w:szCs w:val="18"/>
    </w:rPr>
  </w:style>
  <w:style w:type="character" w:customStyle="1" w:styleId="22">
    <w:name w:val="页脚 字符"/>
    <w:basedOn w:val="19"/>
    <w:link w:val="13"/>
    <w:qFormat/>
    <w:uiPriority w:val="99"/>
    <w:rPr>
      <w:rFonts w:ascii="Calibri" w:hAnsi="Calibri" w:eastAsia="宋体" w:cs="Times New Roman"/>
      <w:sz w:val="18"/>
      <w:szCs w:val="18"/>
    </w:rPr>
  </w:style>
  <w:style w:type="character" w:customStyle="1" w:styleId="23">
    <w:name w:val="文档结构图 字符"/>
    <w:basedOn w:val="19"/>
    <w:link w:val="7"/>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2"/>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3"/>
    <w:qFormat/>
    <w:uiPriority w:val="0"/>
    <w:rPr>
      <w:rFonts w:ascii="Cambria" w:hAnsi="Cambria" w:eastAsia="华文中宋" w:cs="Times New Roman"/>
      <w:b/>
      <w:bCs/>
      <w:sz w:val="44"/>
      <w:szCs w:val="28"/>
    </w:rPr>
  </w:style>
  <w:style w:type="character" w:customStyle="1" w:styleId="28">
    <w:name w:val="纯文本 字符"/>
    <w:link w:val="11"/>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4"/>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5"/>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8"/>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10"/>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4"/>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5010</Words>
  <Characters>5238</Characters>
  <Lines>31</Lines>
  <Paragraphs>9</Paragraphs>
  <TotalTime>0</TotalTime>
  <ScaleCrop>false</ScaleCrop>
  <LinksUpToDate>false</LinksUpToDate>
  <CharactersWithSpaces>5850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2025-06-25T02:37:19Z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ED244EFDED7348DEB5465C70ED9D8158_13</vt:lpwstr>
  </property>
  <property fmtid="{D5CDD505-2E9C-101B-9397-08002B2CF9AE}" pid="4" name="KSOTemplateDocerSaveRecord">
    <vt:lpwstr>eyJoZGlkIjoiNjExNjA1MzY4NDcxNDhlNGIwYWUzMzQ5YTk5ZTk5ZTUiLCJ1c2VySWQiOiI0OTQ3NjU2MzMifQ==</vt:lpwstr>
  </property>
</Properties>
</file>