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before="156" w:beforeLines="50" w:after="156" w:afterLines="50" w:line="360" w:lineRule="auto"/>
        <w:rPr>
          <w:rFonts w:hint="eastAsia" w:ascii="黑体" w:hAnsi="黑体" w:eastAsia="黑体"/>
          <w:sz w:val="32"/>
          <w:szCs w:val="32"/>
        </w:rPr>
      </w:pPr>
    </w:p>
    <w:p w14:paraId="6ED0131D">
      <w:pPr>
        <w:pStyle w:val="11"/>
        <w:adjustRightInd w:val="0"/>
        <w:snapToGrid w:val="0"/>
        <w:spacing w:before="156" w:beforeLines="50" w:after="156" w:afterLines="50" w:line="360" w:lineRule="auto"/>
        <w:rPr>
          <w:rFonts w:hint="eastAsia" w:ascii="黑体" w:hAnsi="黑体" w:eastAsia="黑体"/>
          <w:sz w:val="32"/>
          <w:szCs w:val="32"/>
        </w:rPr>
      </w:pPr>
      <w:r>
        <w:rPr>
          <w:rFonts w:hint="eastAsia" w:ascii="黑体" w:hAnsi="黑体" w:eastAsia="黑体"/>
          <w:sz w:val="32"/>
          <w:szCs w:val="32"/>
        </w:rPr>
        <w:t>采购项目名称：全民数字素养与技能提升平台</w:t>
      </w:r>
      <w:r>
        <w:rPr>
          <w:rFonts w:hint="eastAsia" w:ascii="黑体" w:hAnsi="黑体" w:eastAsia="黑体"/>
          <w:sz w:val="32"/>
          <w:szCs w:val="32"/>
          <w:lang w:val="en-US" w:eastAsia="zh-CN"/>
        </w:rPr>
        <w:t>项目</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三</w:t>
      </w:r>
      <w:r>
        <w:rPr>
          <w:rFonts w:ascii="黑体" w:hAnsi="黑体" w:eastAsia="黑体"/>
          <w:sz w:val="32"/>
          <w:szCs w:val="32"/>
        </w:rPr>
        <w:t>月</w:t>
      </w:r>
    </w:p>
    <w:p w14:paraId="3FD890A2">
      <w:pPr>
        <w:pStyle w:val="17"/>
      </w:pPr>
    </w:p>
    <w:p w14:paraId="74C80E6E">
      <w:pPr>
        <w:jc w:val="both"/>
        <w:outlineLvl w:val="0"/>
        <w:rPr>
          <w:rFonts w:hint="eastAsia" w:ascii="黑体" w:hAnsi="黑体" w:eastAsia="黑体"/>
          <w:b/>
          <w:sz w:val="36"/>
          <w:szCs w:val="36"/>
        </w:rPr>
      </w:pPr>
    </w:p>
    <w:p w14:paraId="6EAB8857">
      <w:pPr>
        <w:pStyle w:val="11"/>
        <w:adjustRightInd w:val="0"/>
        <w:snapToGrid w:val="0"/>
        <w:spacing w:before="156" w:beforeLines="50" w:after="156" w:afterLines="50" w:line="360" w:lineRule="auto"/>
        <w:jc w:val="center"/>
        <w:rPr>
          <w:rFonts w:hint="eastAsia" w:ascii="黑体" w:hAnsi="黑体" w:eastAsia="黑体" w:cs="宋体"/>
          <w:b/>
          <w:bCs/>
          <w:color w:val="000000"/>
          <w:spacing w:val="-20"/>
          <w:kern w:val="36"/>
          <w:sz w:val="36"/>
          <w:szCs w:val="36"/>
          <w:u w:val="none"/>
        </w:rPr>
      </w:pPr>
      <w:r>
        <w:rPr>
          <w:rFonts w:hint="eastAsia" w:ascii="黑体" w:hAnsi="黑体" w:eastAsia="黑体"/>
          <w:b/>
          <w:sz w:val="36"/>
          <w:szCs w:val="36"/>
        </w:rPr>
        <w:t>湖南铁道职业技术学院全民数字素养与技能提升平台</w:t>
      </w:r>
      <w:r>
        <w:rPr>
          <w:rFonts w:hint="eastAsia" w:ascii="黑体" w:hAnsi="黑体" w:eastAsia="黑体"/>
          <w:b/>
          <w:sz w:val="36"/>
          <w:szCs w:val="36"/>
          <w:lang w:val="en-US" w:eastAsia="zh-CN"/>
        </w:rPr>
        <w:t>项目</w:t>
      </w:r>
      <w:r>
        <w:rPr>
          <w:rFonts w:hint="eastAsia" w:ascii="黑体" w:hAnsi="黑体" w:eastAsia="黑体"/>
          <w:b/>
          <w:sz w:val="36"/>
          <w:szCs w:val="36"/>
          <w:u w:val="none"/>
        </w:rPr>
        <w:t>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11"/>
        <w:adjustRightInd w:val="0"/>
        <w:snapToGrid w:val="0"/>
        <w:spacing w:before="156" w:beforeLines="50" w:after="156" w:afterLines="50" w:line="360" w:lineRule="auto"/>
        <w:ind w:firstLine="480" w:firstLineChars="200"/>
        <w:rPr>
          <w:rFonts w:hint="eastAsia" w:ascii="仿宋" w:hAnsi="仿宋" w:eastAsia="仿宋"/>
          <w:sz w:val="24"/>
          <w:szCs w:val="24"/>
        </w:rPr>
      </w:pPr>
      <w:r>
        <w:rPr>
          <w:rFonts w:ascii="仿宋" w:hAnsi="仿宋" w:eastAsia="仿宋"/>
          <w:sz w:val="24"/>
          <w:szCs w:val="24"/>
          <w:u w:val="none"/>
        </w:rPr>
        <w:t>湖南铁道职业技术学院</w:t>
      </w:r>
      <w:r>
        <w:rPr>
          <w:rFonts w:hint="eastAsia" w:ascii="仿宋" w:hAnsi="仿宋" w:eastAsia="仿宋"/>
          <w:sz w:val="24"/>
          <w:szCs w:val="24"/>
          <w:u w:val="none"/>
        </w:rPr>
        <w:t>全民数字素养与技能提升平台</w:t>
      </w:r>
      <w:r>
        <w:rPr>
          <w:rFonts w:hint="eastAsia" w:ascii="仿宋" w:hAnsi="仿宋" w:eastAsia="仿宋"/>
          <w:sz w:val="24"/>
          <w:szCs w:val="24"/>
          <w:u w:val="none"/>
          <w:lang w:val="en-US" w:eastAsia="zh-CN"/>
        </w:rPr>
        <w:t>项目</w:t>
      </w:r>
      <w:r>
        <w:rPr>
          <w:rFonts w:hint="eastAsia" w:ascii="仿宋" w:hAnsi="仿宋" w:eastAsia="仿宋"/>
          <w:sz w:val="24"/>
          <w:szCs w:val="24"/>
          <w:u w:val="none"/>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4659"/>
      <w:bookmarkStart w:id="1" w:name="_Toc3564"/>
      <w:bookmarkStart w:id="2" w:name="_Toc17794_WPSOffice_Level2"/>
      <w:bookmarkStart w:id="3" w:name="_Toc26475"/>
      <w:bookmarkStart w:id="4" w:name="_Toc31662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lang w:eastAsia="zh-CN"/>
        </w:rPr>
        <w:t>（</w:t>
      </w:r>
      <w:r>
        <w:rPr>
          <w:rFonts w:hint="eastAsia" w:ascii="仿宋" w:hAnsi="仿宋" w:eastAsia="仿宋"/>
          <w:sz w:val="24"/>
          <w:szCs w:val="24"/>
          <w:lang w:val="en-US" w:eastAsia="zh-CN"/>
        </w:rPr>
        <w:t>一</w:t>
      </w:r>
      <w:r>
        <w:rPr>
          <w:rFonts w:hint="eastAsia" w:ascii="仿宋" w:hAnsi="仿宋" w:eastAsia="仿宋"/>
          <w:sz w:val="24"/>
          <w:szCs w:val="24"/>
          <w:lang w:eastAsia="zh-CN"/>
        </w:rPr>
        <w:t>）</w:t>
      </w:r>
      <w:r>
        <w:rPr>
          <w:rFonts w:hint="eastAsia" w:ascii="仿宋" w:hAnsi="仿宋" w:eastAsia="仿宋"/>
          <w:sz w:val="24"/>
          <w:szCs w:val="24"/>
        </w:rPr>
        <w:t>项目名称：</w:t>
      </w:r>
      <w:r>
        <w:rPr>
          <w:rFonts w:hint="eastAsia" w:ascii="仿宋" w:hAnsi="仿宋" w:eastAsia="仿宋"/>
          <w:sz w:val="24"/>
          <w:szCs w:val="24"/>
          <w:lang w:val="en-US" w:eastAsia="zh-CN"/>
        </w:rPr>
        <w:t>全</w:t>
      </w:r>
      <w:r>
        <w:rPr>
          <w:rFonts w:hint="eastAsia" w:ascii="仿宋" w:hAnsi="仿宋" w:eastAsia="仿宋"/>
          <w:sz w:val="24"/>
          <w:szCs w:val="24"/>
          <w:u w:val="none"/>
        </w:rPr>
        <w:t>民数字素养与技能提升平台</w:t>
      </w:r>
      <w:r>
        <w:rPr>
          <w:rFonts w:hint="eastAsia" w:ascii="仿宋" w:hAnsi="仿宋" w:eastAsia="仿宋"/>
          <w:sz w:val="24"/>
          <w:szCs w:val="24"/>
          <w:u w:val="none"/>
          <w:lang w:val="en-US" w:eastAsia="zh-CN"/>
        </w:rPr>
        <w:t>项目</w:t>
      </w:r>
    </w:p>
    <w:p w14:paraId="1DA561ED">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二</w:t>
      </w:r>
      <w:r>
        <w:rPr>
          <w:rFonts w:hint="eastAsia" w:ascii="仿宋" w:hAnsi="仿宋" w:eastAsia="仿宋"/>
          <w:sz w:val="24"/>
          <w:szCs w:val="24"/>
          <w:u w:val="none"/>
          <w:lang w:eastAsia="zh-CN"/>
        </w:rPr>
        <w:t>）</w:t>
      </w:r>
      <w:r>
        <w:rPr>
          <w:rFonts w:hint="eastAsia" w:ascii="仿宋" w:hAnsi="仿宋" w:eastAsia="仿宋"/>
          <w:sz w:val="24"/>
          <w:szCs w:val="24"/>
          <w:u w:val="none"/>
        </w:rPr>
        <w:t xml:space="preserve">项目概况: </w:t>
      </w:r>
      <w:r>
        <w:rPr>
          <w:rFonts w:hint="eastAsia" w:ascii="仿宋" w:hAnsi="仿宋" w:eastAsia="仿宋" w:cs="Times New Roman"/>
          <w:kern w:val="0"/>
          <w:sz w:val="24"/>
          <w:szCs w:val="24"/>
          <w:u w:val="none"/>
          <w:lang w:val="en-US" w:eastAsia="zh-CN" w:bidi="ar-SA"/>
        </w:rPr>
        <w:t>本项目旨在通过微服务数字基座构建，实现平台间数据的互通与融合，支持从学员从注册报名到证书发放的全流程管理，整合自需求调研、项目立项、开设班级、管理班级、项目结项的全部环节，从而达成我院对社会人员继续教育培训业务的有机整合及高效、规范、流程化管理，实现在资源、学习支持服务、质量标准方面相统一的目的。</w:t>
      </w:r>
    </w:p>
    <w:p w14:paraId="4BBF8320">
      <w:pPr>
        <w:snapToGrid w:val="0"/>
        <w:spacing w:before="156" w:beforeLines="50" w:line="360" w:lineRule="auto"/>
        <w:ind w:firstLine="480" w:firstLineChars="200"/>
        <w:jc w:val="left"/>
        <w:rPr>
          <w:rFonts w:hint="eastAsia" w:ascii="仿宋" w:hAnsi="仿宋" w:eastAsia="仿宋" w:cs="Times New Roman"/>
          <w:color w:val="auto"/>
          <w:kern w:val="2"/>
          <w:sz w:val="24"/>
          <w:szCs w:val="24"/>
          <w:lang w:val="en-US" w:eastAsia="zh-CN" w:bidi="ar-SA"/>
        </w:rPr>
      </w:pPr>
      <w:r>
        <w:rPr>
          <w:rFonts w:hint="eastAsia" w:ascii="仿宋" w:hAnsi="仿宋" w:eastAsia="仿宋"/>
          <w:color w:val="auto"/>
          <w:sz w:val="24"/>
          <w:szCs w:val="24"/>
          <w:lang w:eastAsia="zh-CN"/>
        </w:rPr>
        <w:t>（</w:t>
      </w:r>
      <w:r>
        <w:rPr>
          <w:rFonts w:hint="eastAsia" w:ascii="仿宋" w:hAnsi="仿宋" w:eastAsia="仿宋"/>
          <w:color w:val="auto"/>
          <w:sz w:val="24"/>
          <w:szCs w:val="24"/>
          <w:lang w:val="en-US" w:eastAsia="zh-CN"/>
        </w:rPr>
        <w:t>三</w:t>
      </w:r>
      <w:r>
        <w:rPr>
          <w:rFonts w:hint="eastAsia" w:ascii="仿宋" w:hAnsi="仿宋" w:eastAsia="仿宋"/>
          <w:color w:val="auto"/>
          <w:sz w:val="24"/>
          <w:szCs w:val="24"/>
          <w:lang w:eastAsia="zh-CN"/>
        </w:rPr>
        <w:t>）</w:t>
      </w:r>
      <w:r>
        <w:rPr>
          <w:rFonts w:hint="eastAsia" w:ascii="仿宋" w:hAnsi="仿宋" w:eastAsia="仿宋"/>
          <w:color w:val="auto"/>
          <w:sz w:val="24"/>
          <w:szCs w:val="24"/>
        </w:rPr>
        <w:t>服务内容：</w:t>
      </w:r>
    </w:p>
    <w:p w14:paraId="71947C1A">
      <w:pPr>
        <w:pStyle w:val="17"/>
        <w:snapToGrid w:val="0"/>
        <w:spacing w:before="0" w:beforeAutospacing="0" w:after="0" w:line="360" w:lineRule="auto"/>
        <w:ind w:left="0" w:leftChars="0" w:firstLine="480" w:firstLineChars="200"/>
        <w:jc w:val="left"/>
        <w:rPr>
          <w:rFonts w:ascii="仿宋" w:hAnsi="仿宋" w:eastAsia="仿宋"/>
          <w:color w:val="auto"/>
          <w:sz w:val="24"/>
          <w:szCs w:val="24"/>
        </w:rPr>
      </w:pPr>
      <w:r>
        <w:rPr>
          <w:rFonts w:hint="eastAsia" w:ascii="仿宋" w:hAnsi="仿宋" w:eastAsia="仿宋"/>
          <w:color w:val="auto"/>
          <w:sz w:val="24"/>
          <w:szCs w:val="24"/>
          <w:u w:val="none"/>
          <w:lang w:eastAsia="zh-CN"/>
        </w:rPr>
        <w:t>（</w:t>
      </w:r>
      <w:r>
        <w:rPr>
          <w:rFonts w:hint="eastAsia" w:ascii="仿宋" w:hAnsi="仿宋" w:eastAsia="仿宋"/>
          <w:color w:val="auto"/>
          <w:sz w:val="24"/>
          <w:szCs w:val="24"/>
          <w:u w:val="none"/>
          <w:lang w:val="en-US" w:eastAsia="zh-CN"/>
        </w:rPr>
        <w:t>四</w:t>
      </w:r>
      <w:r>
        <w:rPr>
          <w:rFonts w:hint="eastAsia" w:ascii="仿宋" w:hAnsi="仿宋" w:eastAsia="仿宋"/>
          <w:color w:val="auto"/>
          <w:sz w:val="24"/>
          <w:szCs w:val="24"/>
          <w:u w:val="none"/>
          <w:lang w:eastAsia="zh-CN"/>
        </w:rPr>
        <w:t>）</w:t>
      </w:r>
      <w:r>
        <w:rPr>
          <w:rFonts w:hint="eastAsia" w:ascii="仿宋" w:hAnsi="仿宋" w:eastAsia="仿宋"/>
          <w:color w:val="auto"/>
          <w:sz w:val="24"/>
          <w:szCs w:val="24"/>
          <w:u w:val="none"/>
        </w:rPr>
        <w:t>.</w:t>
      </w:r>
      <w:r>
        <w:rPr>
          <w:rFonts w:hint="eastAsia" w:ascii="仿宋" w:hAnsi="仿宋" w:eastAsia="仿宋"/>
          <w:color w:val="auto"/>
          <w:sz w:val="24"/>
          <w:szCs w:val="24"/>
        </w:rPr>
        <w:t>采购预算：</w:t>
      </w:r>
      <w:r>
        <w:rPr>
          <w:rFonts w:hint="eastAsia" w:ascii="仿宋" w:hAnsi="仿宋" w:eastAsia="仿宋"/>
          <w:color w:val="auto"/>
          <w:sz w:val="24"/>
          <w:szCs w:val="24"/>
          <w:lang w:val="en-US" w:eastAsia="zh-CN"/>
        </w:rPr>
        <w:t>13</w:t>
      </w:r>
      <w:r>
        <w:rPr>
          <w:rFonts w:ascii="仿宋" w:hAnsi="仿宋" w:eastAsia="仿宋"/>
          <w:color w:val="auto"/>
          <w:sz w:val="24"/>
          <w:szCs w:val="24"/>
        </w:rPr>
        <w:t>万元</w:t>
      </w:r>
    </w:p>
    <w:p w14:paraId="232D698E">
      <w:pPr>
        <w:pStyle w:val="17"/>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u w:val="none"/>
          <w:lang w:eastAsia="zh-CN"/>
        </w:rPr>
        <w:t>（</w:t>
      </w:r>
      <w:r>
        <w:rPr>
          <w:rFonts w:hint="eastAsia" w:ascii="仿宋" w:hAnsi="仿宋" w:eastAsia="仿宋"/>
          <w:color w:val="auto"/>
          <w:sz w:val="24"/>
          <w:szCs w:val="24"/>
          <w:u w:val="none"/>
          <w:lang w:val="en-US" w:eastAsia="zh-CN"/>
        </w:rPr>
        <w:t>五</w:t>
      </w:r>
      <w:r>
        <w:rPr>
          <w:rFonts w:hint="eastAsia" w:ascii="仿宋" w:hAnsi="仿宋" w:eastAsia="仿宋"/>
          <w:color w:val="auto"/>
          <w:sz w:val="24"/>
          <w:szCs w:val="24"/>
          <w:u w:val="none"/>
          <w:lang w:eastAsia="zh-CN"/>
        </w:rPr>
        <w:t>）</w:t>
      </w:r>
      <w:r>
        <w:rPr>
          <w:rFonts w:hint="eastAsia" w:ascii="仿宋" w:hAnsi="仿宋" w:eastAsia="仿宋"/>
          <w:color w:val="auto"/>
          <w:sz w:val="24"/>
          <w:szCs w:val="24"/>
          <w:u w:val="none"/>
        </w:rPr>
        <w:t>.</w:t>
      </w:r>
      <w:r>
        <w:rPr>
          <w:rFonts w:hint="eastAsia" w:ascii="仿宋" w:hAnsi="仿宋" w:eastAsia="仿宋"/>
          <w:color w:val="auto"/>
          <w:sz w:val="24"/>
          <w:szCs w:val="24"/>
          <w:u w:val="none"/>
          <w:lang w:val="en-US" w:eastAsia="zh-CN"/>
        </w:rPr>
        <w:t>中标单位</w:t>
      </w:r>
      <w:r>
        <w:rPr>
          <w:rFonts w:hint="eastAsia" w:ascii="仿宋" w:hAnsi="仿宋" w:eastAsia="仿宋"/>
          <w:color w:val="auto"/>
          <w:sz w:val="24"/>
          <w:szCs w:val="24"/>
          <w:lang w:val="en-US" w:eastAsia="zh-CN"/>
        </w:rPr>
        <w:t>数量：1家</w:t>
      </w:r>
    </w:p>
    <w:p w14:paraId="453272DD">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2、特定资格条件：无</w:t>
      </w:r>
    </w:p>
    <w:p w14:paraId="773A98C1">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7"/>
        <w:snapToGrid w:val="0"/>
        <w:spacing w:before="0" w:beforeAutospacing="0" w:after="0" w:line="360" w:lineRule="auto"/>
        <w:ind w:left="0" w:leftChars="0" w:firstLine="480" w:firstLineChars="200"/>
        <w:jc w:val="left"/>
        <w:rPr>
          <w:rFonts w:hint="default" w:ascii="仿宋" w:hAnsi="仿宋" w:eastAsia="仿宋"/>
          <w:color w:val="auto"/>
          <w:sz w:val="24"/>
          <w:szCs w:val="24"/>
          <w:lang w:val="en-US" w:eastAsia="zh-CN"/>
        </w:rPr>
      </w:pPr>
      <w:r>
        <w:rPr>
          <w:rFonts w:hint="eastAsia" w:ascii="仿宋" w:hAnsi="仿宋" w:eastAsia="仿宋"/>
          <w:color w:val="auto"/>
          <w:sz w:val="24"/>
          <w:szCs w:val="24"/>
        </w:rPr>
        <w:t>1．首次响应文件的提交截止时间：202</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年</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月</w:t>
      </w:r>
      <w:r>
        <w:rPr>
          <w:rFonts w:hint="eastAsia" w:ascii="仿宋" w:hAnsi="仿宋" w:eastAsia="仿宋"/>
          <w:color w:val="auto"/>
          <w:sz w:val="24"/>
          <w:szCs w:val="24"/>
          <w:lang w:val="en-US" w:eastAsia="zh-CN"/>
        </w:rPr>
        <w:t>3</w:t>
      </w:r>
      <w:r>
        <w:rPr>
          <w:rFonts w:hint="eastAsia" w:ascii="仿宋" w:hAnsi="仿宋" w:eastAsia="仿宋"/>
          <w:color w:val="auto"/>
          <w:sz w:val="24"/>
          <w:szCs w:val="24"/>
        </w:rPr>
        <w:t>日</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时</w:t>
      </w:r>
      <w:r>
        <w:rPr>
          <w:rFonts w:hint="eastAsia" w:ascii="仿宋" w:hAnsi="仿宋" w:eastAsia="仿宋"/>
          <w:color w:val="auto"/>
          <w:sz w:val="24"/>
          <w:szCs w:val="24"/>
          <w:lang w:val="en-US" w:eastAsia="zh-CN"/>
        </w:rPr>
        <w:t>00分</w:t>
      </w:r>
    </w:p>
    <w:p w14:paraId="5FCFB0A5">
      <w:pPr>
        <w:pStyle w:val="17"/>
        <w:snapToGrid w:val="0"/>
        <w:spacing w:before="0" w:beforeAutospacing="0" w:after="0" w:line="360" w:lineRule="auto"/>
        <w:ind w:left="0" w:leftChars="0" w:firstLine="480" w:firstLineChars="200"/>
        <w:jc w:val="left"/>
        <w:rPr>
          <w:rFonts w:hint="default" w:ascii="仿宋" w:hAnsi="仿宋" w:eastAsia="仿宋"/>
          <w:color w:val="auto"/>
          <w:sz w:val="24"/>
          <w:szCs w:val="24"/>
          <w:lang w:val="en-US" w:eastAsia="zh-CN"/>
        </w:rPr>
      </w:pPr>
      <w:r>
        <w:rPr>
          <w:rFonts w:hint="eastAsia" w:ascii="仿宋" w:hAnsi="仿宋" w:eastAsia="仿宋"/>
          <w:color w:val="auto"/>
          <w:sz w:val="24"/>
          <w:szCs w:val="24"/>
        </w:rPr>
        <w:t>2．首次响应文件的开启时间：202</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年</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月</w:t>
      </w:r>
      <w:r>
        <w:rPr>
          <w:rFonts w:hint="eastAsia" w:ascii="仿宋" w:hAnsi="仿宋" w:eastAsia="仿宋"/>
          <w:color w:val="auto"/>
          <w:sz w:val="24"/>
          <w:szCs w:val="24"/>
          <w:lang w:val="en-US" w:eastAsia="zh-CN"/>
        </w:rPr>
        <w:t>3</w:t>
      </w:r>
      <w:r>
        <w:rPr>
          <w:rFonts w:hint="eastAsia" w:ascii="仿宋" w:hAnsi="仿宋" w:eastAsia="仿宋"/>
          <w:color w:val="auto"/>
          <w:sz w:val="24"/>
          <w:szCs w:val="24"/>
          <w:u w:val="none"/>
        </w:rPr>
        <w:t>日</w:t>
      </w:r>
      <w:r>
        <w:rPr>
          <w:rFonts w:hint="eastAsia" w:ascii="仿宋" w:hAnsi="仿宋" w:eastAsia="仿宋"/>
          <w:color w:val="auto"/>
          <w:sz w:val="24"/>
          <w:szCs w:val="24"/>
          <w:u w:val="none"/>
          <w:lang w:val="en-US" w:eastAsia="zh-CN"/>
        </w:rPr>
        <w:t>10</w:t>
      </w:r>
      <w:r>
        <w:rPr>
          <w:rFonts w:hint="eastAsia" w:ascii="仿宋" w:hAnsi="仿宋" w:eastAsia="仿宋"/>
          <w:color w:val="auto"/>
          <w:sz w:val="24"/>
          <w:szCs w:val="24"/>
          <w:u w:val="none"/>
        </w:rPr>
        <w:t>时</w:t>
      </w:r>
      <w:r>
        <w:rPr>
          <w:rFonts w:hint="eastAsia" w:ascii="仿宋" w:hAnsi="仿宋" w:eastAsia="仿宋"/>
          <w:color w:val="auto"/>
          <w:sz w:val="24"/>
          <w:szCs w:val="24"/>
          <w:u w:val="none"/>
          <w:lang w:val="en-US" w:eastAsia="zh-CN"/>
        </w:rPr>
        <w:t>00分</w:t>
      </w:r>
    </w:p>
    <w:p w14:paraId="63DB6ACB">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熊冰</w:t>
      </w:r>
      <w:r>
        <w:rPr>
          <w:rFonts w:hint="eastAsia" w:ascii="仿宋" w:hAnsi="仿宋" w:eastAsia="仿宋" w:cstheme="minorEastAsia"/>
          <w:sz w:val="24"/>
          <w:szCs w:val="24"/>
        </w:rPr>
        <w:t xml:space="preserve">          </w:t>
      </w:r>
    </w:p>
    <w:p w14:paraId="3B375338">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电 话：</w:t>
      </w:r>
      <w:r>
        <w:rPr>
          <w:rFonts w:hint="eastAsia" w:ascii="宋体" w:hAnsi="宋体" w:cs="宋体"/>
          <w:color w:val="auto"/>
          <w:kern w:val="0"/>
          <w:sz w:val="24"/>
          <w:lang w:val="en-US" w:eastAsia="zh-CN"/>
        </w:rPr>
        <w:t>18573358448</w:t>
      </w:r>
      <w:r>
        <w:rPr>
          <w:rFonts w:hint="eastAsia" w:ascii="宋体" w:hAnsi="宋体" w:eastAsia="宋体" w:cs="宋体"/>
          <w:color w:val="auto"/>
          <w:kern w:val="0"/>
          <w:sz w:val="24"/>
        </w:rPr>
        <w:t xml:space="preserve"> </w:t>
      </w:r>
      <w:r>
        <w:rPr>
          <w:rFonts w:hint="eastAsia" w:ascii="仿宋" w:hAnsi="仿宋" w:eastAsia="仿宋" w:cstheme="minorEastAsia"/>
          <w:color w:val="auto"/>
          <w:sz w:val="24"/>
          <w:szCs w:val="24"/>
        </w:rPr>
        <w:t xml:space="preserve">  </w:t>
      </w:r>
      <w:r>
        <w:rPr>
          <w:rFonts w:hint="eastAsia" w:ascii="仿宋" w:hAnsi="仿宋" w:eastAsia="仿宋" w:cstheme="minorEastAsia"/>
          <w:sz w:val="24"/>
          <w:szCs w:val="24"/>
        </w:rPr>
        <w:t xml:space="preserve">  </w:t>
      </w:r>
      <w:r>
        <w:rPr>
          <w:rFonts w:hint="eastAsia" w:ascii="仿宋" w:hAnsi="仿宋" w:eastAsia="仿宋" w:cstheme="minorEastAsia"/>
          <w:sz w:val="24"/>
          <w:szCs w:val="24"/>
          <w:lang w:val="en-US" w:eastAsia="zh-CN"/>
        </w:rPr>
        <w:t>22780185</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19A7FB3D">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w:t>
      </w:r>
      <w:r>
        <w:rPr>
          <w:rFonts w:hint="eastAsia" w:ascii="仿宋" w:hAnsi="仿宋" w:eastAsia="仿宋" w:cstheme="minorEastAsia"/>
          <w:sz w:val="24"/>
          <w:szCs w:val="24"/>
          <w:lang w:eastAsia="zh-CN"/>
        </w:rPr>
        <w:t>智慧路</w:t>
      </w:r>
      <w:r>
        <w:rPr>
          <w:rFonts w:hint="eastAsia" w:ascii="仿宋" w:hAnsi="仿宋" w:eastAsia="仿宋" w:cstheme="minorEastAsia"/>
          <w:sz w:val="24"/>
          <w:szCs w:val="24"/>
          <w:lang w:val="en-US" w:eastAsia="zh-CN"/>
        </w:rPr>
        <w:t>1</w:t>
      </w:r>
      <w:r>
        <w:rPr>
          <w:rFonts w:hint="eastAsia" w:ascii="仿宋" w:hAnsi="仿宋" w:eastAsia="仿宋" w:cstheme="minorEastAsia"/>
          <w:sz w:val="24"/>
          <w:szCs w:val="24"/>
        </w:rPr>
        <w:t>号</w:t>
      </w:r>
    </w:p>
    <w:p w14:paraId="22636C0B">
      <w:pPr>
        <w:pStyle w:val="2"/>
        <w:spacing w:before="0" w:after="0" w:line="240" w:lineRule="auto"/>
        <w:jc w:val="both"/>
        <w:rPr>
          <w:rFonts w:ascii="仿宋" w:hAnsi="仿宋" w:eastAsia="仿宋"/>
          <w:b/>
          <w:sz w:val="36"/>
          <w:szCs w:val="36"/>
        </w:rPr>
      </w:pPr>
    </w:p>
    <w:p w14:paraId="781FB24D">
      <w:pPr>
        <w:rPr>
          <w:rFonts w:ascii="仿宋" w:hAnsi="仿宋" w:eastAsia="仿宋"/>
          <w:b/>
          <w:sz w:val="36"/>
          <w:szCs w:val="36"/>
        </w:rPr>
      </w:pPr>
    </w:p>
    <w:p w14:paraId="070FCBB6">
      <w:pPr>
        <w:pStyle w:val="2"/>
      </w:pPr>
    </w:p>
    <w:p w14:paraId="13E5B5CB">
      <w:pPr>
        <w:bidi w:val="0"/>
      </w:pPr>
    </w:p>
    <w:p w14:paraId="0D726953">
      <w:pPr>
        <w:pStyle w:val="2"/>
        <w:rPr>
          <w:sz w:val="10"/>
          <w:szCs w:val="10"/>
        </w:rPr>
      </w:pPr>
    </w:p>
    <w:p w14:paraId="611302C1">
      <w:pPr>
        <w:ind w:firstLine="3253" w:firstLineChars="900"/>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Times New Roman"/>
          <w:sz w:val="24"/>
          <w:szCs w:val="24"/>
          <w:u w:val="none"/>
        </w:rPr>
        <w:t>202</w:t>
      </w:r>
      <w:r>
        <w:rPr>
          <w:rFonts w:hint="eastAsia" w:ascii="仿宋" w:hAnsi="仿宋" w:eastAsia="仿宋" w:cs="Times New Roman"/>
          <w:sz w:val="24"/>
          <w:szCs w:val="24"/>
          <w:u w:val="none"/>
          <w:lang w:val="en-US" w:eastAsia="zh-CN"/>
        </w:rPr>
        <w:t>5</w:t>
      </w:r>
      <w:r>
        <w:rPr>
          <w:rFonts w:hint="eastAsia" w:ascii="仿宋" w:hAnsi="仿宋" w:eastAsia="仿宋" w:cs="Times New Roman"/>
          <w:sz w:val="24"/>
          <w:szCs w:val="24"/>
          <w:u w:val="none"/>
        </w:rPr>
        <w:t>年竞赛视频与精品在线课程视频制作</w:t>
      </w:r>
      <w:r>
        <w:rPr>
          <w:rFonts w:hint="eastAsia" w:ascii="仿宋" w:hAnsi="仿宋" w:eastAsia="仿宋" w:cs="仿宋"/>
          <w:color w:val="333333"/>
          <w:kern w:val="0"/>
          <w:sz w:val="24"/>
          <w:szCs w:val="24"/>
          <w:u w:val="none"/>
        </w:rPr>
        <w:t>项目</w:t>
      </w:r>
    </w:p>
    <w:p w14:paraId="5A3630E4">
      <w:pPr>
        <w:pStyle w:val="43"/>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rPr>
        <w:t xml:space="preserve"> </w:t>
      </w:r>
      <w:r>
        <w:rPr>
          <w:rFonts w:hint="eastAsia" w:ascii="仿宋" w:hAnsi="仿宋" w:eastAsia="仿宋" w:cs="仿宋"/>
          <w:color w:val="333333"/>
          <w:kern w:val="0"/>
          <w:sz w:val="24"/>
          <w:szCs w:val="24"/>
          <w:u w:val="none"/>
          <w:lang w:val="en-US" w:eastAsia="zh-CN"/>
        </w:rPr>
        <w:t>2025年10月1日至2026年9月30日</w:t>
      </w:r>
      <w:r>
        <w:rPr>
          <w:rFonts w:hint="eastAsia" w:ascii="仿宋" w:hAnsi="仿宋" w:eastAsia="仿宋" w:cs="仿宋"/>
          <w:color w:val="333333"/>
          <w:kern w:val="0"/>
          <w:sz w:val="24"/>
          <w:szCs w:val="24"/>
          <w:u w:val="none"/>
        </w:rPr>
        <w:t>。</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37AC5858">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0"/>
          <w:sz w:val="24"/>
          <w:szCs w:val="24"/>
          <w:u w:val="none"/>
          <w:lang w:val="en-US" w:eastAsia="zh-CN" w:bidi="ar-SA"/>
        </w:rPr>
      </w:pPr>
      <w:r>
        <w:rPr>
          <w:rFonts w:hint="eastAsia" w:ascii="仿宋" w:hAnsi="仿宋" w:eastAsia="仿宋" w:cs="Times New Roman"/>
          <w:kern w:val="0"/>
          <w:sz w:val="24"/>
          <w:szCs w:val="24"/>
          <w:u w:val="none"/>
          <w:lang w:val="en-US" w:eastAsia="zh-CN" w:bidi="ar-SA"/>
        </w:rPr>
        <w:t>1.平台底座</w:t>
      </w:r>
    </w:p>
    <w:p w14:paraId="7DDA3110">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0"/>
          <w:sz w:val="24"/>
          <w:szCs w:val="24"/>
          <w:u w:val="none"/>
          <w:lang w:val="en-US" w:eastAsia="zh-CN" w:bidi="ar-SA"/>
        </w:rPr>
      </w:pPr>
      <w:bookmarkStart w:id="9" w:name="_Toc192397830"/>
      <w:bookmarkStart w:id="10" w:name="_Toc112712441"/>
      <w:r>
        <w:rPr>
          <w:rFonts w:hint="eastAsia" w:ascii="仿宋" w:hAnsi="仿宋" w:eastAsia="仿宋" w:cs="Times New Roman"/>
          <w:kern w:val="0"/>
          <w:sz w:val="24"/>
          <w:szCs w:val="24"/>
          <w:u w:val="none"/>
          <w:lang w:val="en-US" w:eastAsia="zh-CN" w:bidi="ar-SA"/>
        </w:rPr>
        <w:t>1.1应用管理</w:t>
      </w:r>
      <w:bookmarkEnd w:id="9"/>
      <w:bookmarkEnd w:id="10"/>
    </w:p>
    <w:p w14:paraId="28A5DE85">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0"/>
          <w:sz w:val="24"/>
          <w:szCs w:val="24"/>
          <w:u w:val="none"/>
          <w:lang w:val="en-US" w:eastAsia="zh-CN" w:bidi="ar-SA"/>
        </w:rPr>
      </w:pPr>
      <w:r>
        <w:rPr>
          <w:rFonts w:hint="eastAsia" w:ascii="仿宋" w:hAnsi="仿宋" w:eastAsia="仿宋" w:cs="Times New Roman"/>
          <w:kern w:val="0"/>
          <w:sz w:val="24"/>
          <w:szCs w:val="24"/>
          <w:u w:val="none"/>
          <w:lang w:val="en-US" w:eastAsia="zh-CN" w:bidi="ar-SA"/>
        </w:rPr>
        <w:t>基于微服务架构的系统配置服务系统需可以对PC端、移动端的前端应用以及部分后台管理功能进行统一的管理。</w:t>
      </w:r>
    </w:p>
    <w:p w14:paraId="39C0D31B">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0"/>
          <w:sz w:val="24"/>
          <w:szCs w:val="24"/>
          <w:u w:val="none"/>
          <w:lang w:val="en-US" w:eastAsia="zh-CN" w:bidi="ar-SA"/>
        </w:rPr>
      </w:pPr>
      <w:bookmarkStart w:id="11" w:name="_Toc277419233"/>
      <w:bookmarkStart w:id="12" w:name="_Toc1667440075"/>
      <w:r>
        <w:rPr>
          <w:rFonts w:hint="eastAsia" w:ascii="仿宋" w:hAnsi="仿宋" w:eastAsia="仿宋" w:cs="Times New Roman"/>
          <w:kern w:val="0"/>
          <w:sz w:val="24"/>
          <w:szCs w:val="24"/>
          <w:u w:val="none"/>
          <w:lang w:val="en-US" w:eastAsia="zh-CN" w:bidi="ar-SA"/>
        </w:rPr>
        <w:t>1.2终端管理</w:t>
      </w:r>
      <w:bookmarkEnd w:id="11"/>
      <w:bookmarkEnd w:id="12"/>
    </w:p>
    <w:p w14:paraId="238B9BE7">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0"/>
          <w:sz w:val="24"/>
          <w:szCs w:val="24"/>
          <w:u w:val="none"/>
          <w:lang w:val="en-US" w:eastAsia="zh-CN" w:bidi="ar-SA"/>
        </w:rPr>
      </w:pPr>
      <w:r>
        <w:rPr>
          <w:rFonts w:hint="eastAsia" w:ascii="仿宋" w:hAnsi="仿宋" w:eastAsia="仿宋" w:cs="Times New Roman"/>
          <w:kern w:val="0"/>
          <w:sz w:val="24"/>
          <w:szCs w:val="24"/>
          <w:u w:val="none"/>
          <w:lang w:val="en-US" w:eastAsia="zh-CN" w:bidi="ar-SA"/>
        </w:rPr>
        <w:t>提供多终端服务管理界面，实现基于同一平台轻松管理PC端个人空间、移动端、微信端、门户、大数据屏等多个设备终端界面设计和信息展示，最大限度地方便管理员自主管理和个性化配置应用栏目，为用户提供友善的界面，便捷、智慧的服务，使服务内容、使用数据趋向统一。</w:t>
      </w:r>
    </w:p>
    <w:p w14:paraId="00C370D9">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0"/>
          <w:sz w:val="24"/>
          <w:szCs w:val="24"/>
          <w:u w:val="none"/>
          <w:lang w:val="en-US" w:eastAsia="zh-CN" w:bidi="ar-SA"/>
        </w:rPr>
      </w:pPr>
      <w:bookmarkStart w:id="13" w:name="_Toc1429460688"/>
      <w:bookmarkStart w:id="14" w:name="_Toc398051394"/>
      <w:bookmarkStart w:id="15" w:name="_Toc1860707791"/>
      <w:bookmarkStart w:id="16" w:name="_Toc1526605066"/>
      <w:bookmarkStart w:id="17" w:name="_Toc1524224127"/>
      <w:bookmarkStart w:id="18" w:name="_Toc932806819"/>
      <w:bookmarkStart w:id="19" w:name="_Toc3747175"/>
      <w:bookmarkStart w:id="20" w:name="_Toc172852228"/>
      <w:r>
        <w:rPr>
          <w:rFonts w:hint="eastAsia" w:ascii="仿宋" w:hAnsi="仿宋" w:eastAsia="仿宋" w:cs="Times New Roman"/>
          <w:kern w:val="0"/>
          <w:sz w:val="24"/>
          <w:szCs w:val="24"/>
          <w:u w:val="none"/>
          <w:lang w:val="en-US" w:eastAsia="zh-CN" w:bidi="ar-SA"/>
        </w:rPr>
        <w:t>1.3拓展服务</w:t>
      </w:r>
      <w:bookmarkEnd w:id="13"/>
      <w:bookmarkEnd w:id="14"/>
      <w:bookmarkEnd w:id="15"/>
      <w:bookmarkEnd w:id="16"/>
      <w:bookmarkEnd w:id="17"/>
      <w:bookmarkEnd w:id="18"/>
      <w:bookmarkEnd w:id="19"/>
      <w:bookmarkEnd w:id="20"/>
    </w:p>
    <w:p w14:paraId="7766167A">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0"/>
          <w:sz w:val="24"/>
          <w:szCs w:val="24"/>
          <w:u w:val="none"/>
          <w:lang w:val="en-US" w:eastAsia="zh-CN" w:bidi="ar-SA"/>
        </w:rPr>
      </w:pPr>
      <w:r>
        <w:rPr>
          <w:rFonts w:hint="eastAsia" w:ascii="仿宋" w:hAnsi="仿宋" w:eastAsia="仿宋" w:cs="Times New Roman"/>
          <w:kern w:val="0"/>
          <w:sz w:val="24"/>
          <w:szCs w:val="24"/>
          <w:u w:val="none"/>
          <w:lang w:val="en-US" w:eastAsia="zh-CN" w:bidi="ar-SA"/>
        </w:rPr>
        <w:t>平台需具备去耦合特点，减少模块之间的关联以提供系统稳定性的同时能够实现业务的拓展建设。</w:t>
      </w:r>
    </w:p>
    <w:p w14:paraId="13C274F7">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1.3.1</w:t>
      </w:r>
      <w:r>
        <w:rPr>
          <w:rFonts w:hint="eastAsia" w:ascii="仿宋" w:hAnsi="仿宋" w:eastAsia="仿宋" w:cs="仿宋"/>
          <w:sz w:val="24"/>
        </w:rPr>
        <w:t>表单引擎</w:t>
      </w:r>
    </w:p>
    <w:p w14:paraId="6F14531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支持自定义表单的搭建，支持自定义表单名称、表单字段、字段属性、表单前端应用展示和表单数据后台展示等内容。并且提供自建表单应用引擎、丰富的字段库和丰富的字段属性设置功能</w:t>
      </w:r>
      <w:r>
        <w:rPr>
          <w:rFonts w:hint="eastAsia" w:ascii="仿宋" w:hAnsi="仿宋" w:eastAsia="仿宋" w:cs="仿宋"/>
          <w:sz w:val="24"/>
          <w:lang w:eastAsia="zh-CN"/>
        </w:rPr>
        <w:t>。</w:t>
      </w:r>
    </w:p>
    <w:p w14:paraId="53E60B14">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1.3.2审批引擎</w:t>
      </w:r>
    </w:p>
    <w:p w14:paraId="5D1FE17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继续教育业务管理中存在大量审批类业务，且不同的业务审批流程不尽相同，可提供一套可实现自定义流程的审批流服务，以满足不同业务的审核以及将来审批流程的变化。</w:t>
      </w:r>
    </w:p>
    <w:p w14:paraId="79DE6ABD">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1.3.3图表引擎</w:t>
      </w:r>
    </w:p>
    <w:p w14:paraId="094EE9D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支持自建图表应用引擎，提供多种样式图表、多种形式的数据源选择。创建完成的图表应用支持在PC端和</w:t>
      </w:r>
      <w:r>
        <w:rPr>
          <w:rFonts w:hint="eastAsia" w:ascii="仿宋" w:hAnsi="仿宋" w:eastAsia="仿宋" w:cs="仿宋"/>
          <w:sz w:val="24"/>
          <w:lang w:eastAsia="zh-Hans"/>
        </w:rPr>
        <w:t>移动app</w:t>
      </w:r>
      <w:r>
        <w:rPr>
          <w:rFonts w:hint="eastAsia" w:ascii="仿宋" w:hAnsi="仿宋" w:eastAsia="仿宋" w:cs="仿宋"/>
          <w:sz w:val="24"/>
        </w:rPr>
        <w:t>、微信、QQ等移动端查看。</w:t>
      </w:r>
    </w:p>
    <w:p w14:paraId="393143D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1.3.4大屏引擎</w:t>
      </w:r>
    </w:p>
    <w:p w14:paraId="7C942FDA">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大屏编辑</w:t>
      </w:r>
    </w:p>
    <w:p w14:paraId="0C1DDF5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rPr>
      </w:pPr>
      <w:r>
        <w:rPr>
          <w:rFonts w:hint="eastAsia" w:ascii="仿宋" w:hAnsi="仿宋" w:eastAsia="仿宋" w:cs="仿宋"/>
          <w:sz w:val="24"/>
        </w:rPr>
        <w:t>可视化编辑流程，拖拽式页面布局，提供多种</w:t>
      </w:r>
      <w:r>
        <w:rPr>
          <w:rFonts w:hint="eastAsia" w:ascii="仿宋" w:hAnsi="仿宋" w:eastAsia="仿宋" w:cs="仿宋"/>
          <w:sz w:val="24"/>
          <w:lang w:eastAsia="zh-Hans"/>
        </w:rPr>
        <w:t>大屏</w:t>
      </w:r>
      <w:r>
        <w:rPr>
          <w:rFonts w:hint="eastAsia" w:ascii="仿宋" w:hAnsi="仿宋" w:eastAsia="仿宋" w:cs="仿宋"/>
          <w:sz w:val="24"/>
        </w:rPr>
        <w:t>模板，选择模板后可快速生新大屏。可添加和设置应用基础模块，包含图文列表、轮播图、多图列表、表格、文本、图片、按钮、视频、天气、日期、内嵌网页、地图、柱状图、饼图、折线图、雷达图等多种基础模块用满足绝大部分大屏内容的展现形式。</w:t>
      </w:r>
    </w:p>
    <w:p w14:paraId="1611E7C8">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大屏内容管理</w:t>
      </w:r>
    </w:p>
    <w:p w14:paraId="22A9CEF7">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提供数据中心用于图文列表、表格、轮播图。根据相关产品使用情况可直接选择数据源生成诸如数据库导航、期刊导航、热词词云、词云排行榜、阅读喜好、阅读测评趋势、活动管理、读者荐购、阅读推荐等应用模块.</w:t>
      </w:r>
    </w:p>
    <w:p w14:paraId="53DB92A0">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同时支持后台数据对接表单、图表引擎，支持对接数据中台。</w:t>
      </w:r>
    </w:p>
    <w:p w14:paraId="6E3017BA">
      <w:pPr>
        <w:keepNext w:val="0"/>
        <w:keepLines w:val="0"/>
        <w:pageBreakBefore w:val="0"/>
        <w:widowControl w:val="0"/>
        <w:numPr>
          <w:ilvl w:val="0"/>
          <w:numId w:val="0"/>
        </w:numPr>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Times New Roman"/>
          <w:kern w:val="0"/>
          <w:sz w:val="24"/>
          <w:szCs w:val="24"/>
          <w:u w:val="none"/>
          <w:lang w:val="en-US" w:eastAsia="zh-CN" w:bidi="ar-SA"/>
        </w:rPr>
      </w:pPr>
      <w:bookmarkStart w:id="21" w:name="_Toc1053583833"/>
      <w:bookmarkStart w:id="22" w:name="_Toc1258975723"/>
      <w:bookmarkStart w:id="23" w:name="_Toc1664213553"/>
      <w:bookmarkStart w:id="24" w:name="_Toc638218553"/>
      <w:bookmarkStart w:id="25" w:name="_Toc701744462"/>
      <w:bookmarkStart w:id="26" w:name="_Toc302477426"/>
      <w:bookmarkStart w:id="27" w:name="_Toc1046224227"/>
      <w:r>
        <w:rPr>
          <w:rFonts w:hint="eastAsia" w:ascii="仿宋" w:hAnsi="仿宋" w:eastAsia="仿宋" w:cs="Times New Roman"/>
          <w:kern w:val="0"/>
          <w:sz w:val="24"/>
          <w:szCs w:val="24"/>
          <w:u w:val="none"/>
          <w:lang w:val="en-US" w:eastAsia="zh-CN" w:bidi="ar-SA"/>
        </w:rPr>
        <w:t>2.智慧门户</w:t>
      </w:r>
      <w:bookmarkEnd w:id="21"/>
      <w:bookmarkEnd w:id="22"/>
      <w:bookmarkEnd w:id="23"/>
      <w:bookmarkEnd w:id="24"/>
      <w:bookmarkEnd w:id="25"/>
      <w:bookmarkEnd w:id="26"/>
      <w:bookmarkEnd w:id="27"/>
    </w:p>
    <w:p w14:paraId="6E80C5DD">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rPr>
      </w:pPr>
      <w:r>
        <w:rPr>
          <w:rFonts w:hint="eastAsia" w:ascii="仿宋" w:hAnsi="仿宋" w:eastAsia="仿宋" w:cs="仿宋"/>
          <w:sz w:val="24"/>
        </w:rPr>
        <w:t>★提供自主管理和展示学校办学特色的门户网站，具备友善的界面、便捷的服务、智慧的功能，实现门户自主化管理，实现非学历</w:t>
      </w:r>
      <w:r>
        <w:rPr>
          <w:rFonts w:hint="eastAsia" w:ascii="仿宋" w:hAnsi="仿宋" w:eastAsia="仿宋" w:cs="仿宋"/>
          <w:sz w:val="24"/>
          <w:lang w:eastAsia="zh-Hans"/>
        </w:rPr>
        <w:t>培训</w:t>
      </w:r>
      <w:r>
        <w:rPr>
          <w:rFonts w:hint="eastAsia" w:ascii="仿宋" w:hAnsi="仿宋" w:eastAsia="仿宋" w:cs="仿宋"/>
          <w:sz w:val="24"/>
        </w:rPr>
        <w:t>相关信息展示。提供多种网页模板，选择模板后可快速生新网站，通过拖拉拽等方式便可快速调整门户页面，极大提高效率。</w:t>
      </w:r>
    </w:p>
    <w:p w14:paraId="558B1E3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28" w:name="_Toc897522455"/>
      <w:bookmarkStart w:id="29" w:name="_Toc1522609970"/>
      <w:bookmarkStart w:id="30" w:name="_Toc780194199"/>
      <w:bookmarkStart w:id="31" w:name="_Toc1663459069"/>
      <w:bookmarkStart w:id="32" w:name="_Toc955064074"/>
      <w:bookmarkStart w:id="33" w:name="_Toc2005887153"/>
      <w:bookmarkStart w:id="34" w:name="_Toc1788971996"/>
      <w:r>
        <w:rPr>
          <w:rFonts w:hint="eastAsia" w:ascii="仿宋" w:hAnsi="仿宋" w:eastAsia="仿宋" w:cs="仿宋"/>
          <w:sz w:val="24"/>
          <w:lang w:val="en-US" w:eastAsia="zh-CN"/>
        </w:rPr>
        <w:t>3.培训管理系统</w:t>
      </w:r>
      <w:bookmarkEnd w:id="28"/>
      <w:bookmarkEnd w:id="29"/>
      <w:bookmarkEnd w:id="30"/>
      <w:bookmarkEnd w:id="31"/>
      <w:bookmarkEnd w:id="32"/>
      <w:bookmarkEnd w:id="33"/>
      <w:bookmarkEnd w:id="34"/>
    </w:p>
    <w:p w14:paraId="37EB9433">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培训管理平台是为管理员设计的全面管理系统，它支持多级多角色的组织架构，集成了包括培训班管理、财务管理、评价管理、证书管理在内的多项功能。该平台能够实现从项目启动到结班的全流程自动化管理，提供学员管理、课程安排、评价跟踪、费用处理以及证书发放等一站式服务，旨在提高培训流程的效率和便捷性。</w:t>
      </w:r>
    </w:p>
    <w:p w14:paraId="2CB03ACF">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35" w:name="_Toc1469114040"/>
      <w:bookmarkStart w:id="36" w:name="_Toc734764657"/>
      <w:bookmarkStart w:id="37" w:name="_Toc188754011"/>
      <w:bookmarkStart w:id="38" w:name="_Toc1747089865"/>
      <w:bookmarkStart w:id="39" w:name="_Toc1090628138"/>
      <w:bookmarkStart w:id="40" w:name="_Toc1814456037"/>
      <w:bookmarkStart w:id="41" w:name="_Toc333795125"/>
      <w:r>
        <w:rPr>
          <w:rFonts w:hint="eastAsia" w:ascii="仿宋" w:hAnsi="仿宋" w:eastAsia="仿宋" w:cs="仿宋"/>
          <w:sz w:val="24"/>
          <w:lang w:val="en-US" w:eastAsia="zh-CN"/>
        </w:rPr>
        <w:t>3.1</w:t>
      </w:r>
      <w:r>
        <w:rPr>
          <w:rFonts w:hint="eastAsia" w:ascii="仿宋" w:hAnsi="仿宋" w:eastAsia="仿宋" w:cs="仿宋"/>
          <w:sz w:val="24"/>
        </w:rPr>
        <w:t>系统管理</w:t>
      </w:r>
      <w:bookmarkEnd w:id="35"/>
      <w:bookmarkEnd w:id="36"/>
      <w:bookmarkEnd w:id="37"/>
      <w:bookmarkEnd w:id="38"/>
      <w:bookmarkEnd w:id="39"/>
      <w:bookmarkEnd w:id="40"/>
      <w:bookmarkEnd w:id="41"/>
    </w:p>
    <w:p w14:paraId="5D0ED0A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支持自主添加管理账号并设立多种角色，可灵活控制角色的功能权限和数据管理范围。可通过系统设置调整功能配置、字段管理和系统日志查看。</w:t>
      </w:r>
    </w:p>
    <w:p w14:paraId="4BF4E5D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42" w:name="_Toc1294826459"/>
      <w:bookmarkStart w:id="43" w:name="_Toc1158619949"/>
      <w:bookmarkStart w:id="44" w:name="_Toc1780180721"/>
      <w:bookmarkStart w:id="45" w:name="_Toc795455624"/>
      <w:bookmarkStart w:id="46" w:name="_Toc555316258"/>
      <w:bookmarkStart w:id="47" w:name="_Toc1414188221"/>
      <w:bookmarkStart w:id="48" w:name="_Toc867379911"/>
      <w:r>
        <w:rPr>
          <w:rFonts w:hint="eastAsia" w:ascii="仿宋" w:hAnsi="仿宋" w:eastAsia="仿宋" w:cs="仿宋"/>
          <w:sz w:val="24"/>
          <w:lang w:val="en-US" w:eastAsia="zh-CN"/>
        </w:rPr>
        <w:t>3.2</w:t>
      </w:r>
      <w:r>
        <w:rPr>
          <w:rFonts w:hint="eastAsia" w:ascii="仿宋" w:hAnsi="仿宋" w:eastAsia="仿宋" w:cs="仿宋"/>
          <w:sz w:val="24"/>
        </w:rPr>
        <w:t>基础数据管理</w:t>
      </w:r>
      <w:bookmarkEnd w:id="42"/>
      <w:bookmarkEnd w:id="43"/>
      <w:bookmarkEnd w:id="44"/>
      <w:bookmarkEnd w:id="45"/>
      <w:bookmarkEnd w:id="46"/>
      <w:bookmarkEnd w:id="47"/>
      <w:bookmarkEnd w:id="48"/>
    </w:p>
    <w:p w14:paraId="0AB6A1F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color w:val="000000"/>
        </w:rPr>
      </w:pPr>
      <w:r>
        <w:rPr>
          <w:rFonts w:hint="eastAsia" w:ascii="仿宋" w:hAnsi="仿宋" w:eastAsia="仿宋" w:cs="仿宋"/>
          <w:sz w:val="24"/>
        </w:rPr>
        <w:t>一站式人员管理，包括学员管理、教师管理、专家管理和其他人员等，可单条录入和批量导入。同时可统一管理培训课程、项目类型、课程分类等基础信息。</w:t>
      </w:r>
    </w:p>
    <w:p w14:paraId="7603614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49" w:name="_Toc935168341"/>
      <w:bookmarkStart w:id="50" w:name="_Toc1136969993"/>
      <w:bookmarkStart w:id="51" w:name="_Toc1691255494"/>
      <w:bookmarkStart w:id="52" w:name="_Toc2059908998"/>
      <w:bookmarkStart w:id="53" w:name="_Toc755207843"/>
      <w:bookmarkStart w:id="54" w:name="_Toc236418344"/>
      <w:bookmarkStart w:id="55" w:name="_Toc1696501362"/>
      <w:r>
        <w:rPr>
          <w:rFonts w:hint="eastAsia" w:ascii="仿宋" w:hAnsi="仿宋" w:eastAsia="仿宋" w:cs="仿宋"/>
          <w:sz w:val="24"/>
          <w:lang w:val="en-US" w:eastAsia="zh-CN"/>
        </w:rPr>
        <w:t>3.3</w:t>
      </w:r>
      <w:r>
        <w:rPr>
          <w:rFonts w:hint="eastAsia" w:ascii="仿宋" w:hAnsi="仿宋" w:eastAsia="仿宋" w:cs="仿宋"/>
          <w:sz w:val="24"/>
        </w:rPr>
        <w:t>需求调研</w:t>
      </w:r>
      <w:bookmarkEnd w:id="49"/>
      <w:bookmarkEnd w:id="50"/>
      <w:bookmarkEnd w:id="51"/>
      <w:bookmarkEnd w:id="52"/>
      <w:bookmarkEnd w:id="53"/>
      <w:bookmarkEnd w:id="54"/>
      <w:bookmarkEnd w:id="55"/>
    </w:p>
    <w:p w14:paraId="70F7E28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支持发布项目调研和班级调研，查看调研的预报名情况，将调研项目或班级发布为正式项目或班级</w:t>
      </w:r>
      <w:r>
        <w:rPr>
          <w:rFonts w:hint="eastAsia" w:ascii="仿宋" w:hAnsi="仿宋" w:eastAsia="仿宋" w:cs="仿宋"/>
          <w:sz w:val="24"/>
        </w:rPr>
        <w:t>。同时</w:t>
      </w:r>
      <w:r>
        <w:rPr>
          <w:rFonts w:hint="eastAsia" w:ascii="仿宋" w:hAnsi="仿宋" w:eastAsia="仿宋" w:cs="仿宋"/>
          <w:sz w:val="24"/>
          <w:lang w:eastAsia="zh-Hans"/>
        </w:rPr>
        <w:t>支持给预报名学员发布开班短信。</w:t>
      </w:r>
    </w:p>
    <w:p w14:paraId="77DD542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56" w:name="_Toc958009915"/>
      <w:bookmarkStart w:id="57" w:name="_Toc2088978441"/>
      <w:bookmarkStart w:id="58" w:name="_Toc745181345"/>
      <w:bookmarkStart w:id="59" w:name="_Toc1149863531"/>
      <w:bookmarkStart w:id="60" w:name="_Toc638360658"/>
      <w:bookmarkStart w:id="61" w:name="_Toc837535966"/>
      <w:bookmarkStart w:id="62" w:name="_Toc1306656099"/>
      <w:r>
        <w:rPr>
          <w:rFonts w:hint="eastAsia" w:ascii="仿宋" w:hAnsi="仿宋" w:eastAsia="仿宋" w:cs="仿宋"/>
          <w:sz w:val="24"/>
          <w:lang w:val="en-US" w:eastAsia="zh-CN"/>
        </w:rPr>
        <w:t>3.4</w:t>
      </w:r>
      <w:r>
        <w:rPr>
          <w:rFonts w:hint="eastAsia" w:ascii="仿宋" w:hAnsi="仿宋" w:eastAsia="仿宋" w:cs="仿宋"/>
          <w:sz w:val="24"/>
        </w:rPr>
        <w:t>合同管理</w:t>
      </w:r>
      <w:bookmarkEnd w:id="56"/>
      <w:bookmarkEnd w:id="57"/>
      <w:bookmarkEnd w:id="58"/>
      <w:bookmarkEnd w:id="59"/>
      <w:bookmarkEnd w:id="60"/>
      <w:bookmarkEnd w:id="61"/>
      <w:bookmarkEnd w:id="62"/>
    </w:p>
    <w:p w14:paraId="661E3BF5">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支持自定义合同模版，</w:t>
      </w:r>
      <w:r>
        <w:rPr>
          <w:rFonts w:hint="eastAsia" w:ascii="仿宋" w:hAnsi="仿宋" w:eastAsia="仿宋" w:cs="仿宋"/>
          <w:sz w:val="24"/>
          <w:lang w:eastAsia="zh-Hans"/>
        </w:rPr>
        <w:t>对于信息填写完整的合同，</w:t>
      </w:r>
      <w:r>
        <w:rPr>
          <w:rFonts w:hint="eastAsia" w:ascii="仿宋" w:hAnsi="仿宋" w:eastAsia="仿宋" w:cs="仿宋"/>
          <w:sz w:val="24"/>
        </w:rPr>
        <w:t>可</w:t>
      </w:r>
      <w:r>
        <w:rPr>
          <w:rFonts w:hint="eastAsia" w:ascii="仿宋" w:hAnsi="仿宋" w:eastAsia="仿宋" w:cs="仿宋"/>
          <w:sz w:val="24"/>
          <w:lang w:eastAsia="zh-Hans"/>
        </w:rPr>
        <w:t>进行合同</w:t>
      </w:r>
      <w:r>
        <w:rPr>
          <w:rFonts w:hint="eastAsia" w:ascii="仿宋" w:hAnsi="仿宋" w:eastAsia="仿宋" w:cs="仿宋"/>
          <w:sz w:val="24"/>
        </w:rPr>
        <w:t>存档。多种合同模版引用于项目，</w:t>
      </w:r>
      <w:r>
        <w:rPr>
          <w:rFonts w:hint="eastAsia" w:ascii="仿宋" w:hAnsi="仿宋" w:eastAsia="仿宋" w:cs="仿宋"/>
          <w:sz w:val="24"/>
          <w:lang w:eastAsia="zh-Hans"/>
        </w:rPr>
        <w:t>合同</w:t>
      </w:r>
      <w:r>
        <w:rPr>
          <w:rFonts w:hint="eastAsia" w:ascii="仿宋" w:hAnsi="仿宋" w:eastAsia="仿宋" w:cs="仿宋"/>
          <w:sz w:val="24"/>
        </w:rPr>
        <w:t>也可</w:t>
      </w:r>
      <w:r>
        <w:rPr>
          <w:rFonts w:hint="eastAsia" w:ascii="仿宋" w:hAnsi="仿宋" w:eastAsia="仿宋" w:cs="仿宋"/>
          <w:sz w:val="24"/>
          <w:lang w:eastAsia="zh-Hans"/>
        </w:rPr>
        <w:t>关联独立的审批流程，</w:t>
      </w:r>
      <w:r>
        <w:rPr>
          <w:rFonts w:hint="eastAsia" w:ascii="仿宋" w:hAnsi="仿宋" w:eastAsia="仿宋" w:cs="仿宋"/>
          <w:sz w:val="24"/>
        </w:rPr>
        <w:t>可查看</w:t>
      </w:r>
      <w:r>
        <w:rPr>
          <w:rFonts w:hint="eastAsia" w:ascii="仿宋" w:hAnsi="仿宋" w:eastAsia="仿宋" w:cs="仿宋"/>
          <w:sz w:val="24"/>
          <w:lang w:eastAsia="zh-Hans"/>
        </w:rPr>
        <w:t>合同审批</w:t>
      </w:r>
      <w:r>
        <w:rPr>
          <w:rFonts w:hint="eastAsia" w:ascii="仿宋" w:hAnsi="仿宋" w:eastAsia="仿宋" w:cs="仿宋"/>
          <w:sz w:val="24"/>
        </w:rPr>
        <w:t>的</w:t>
      </w:r>
      <w:r>
        <w:rPr>
          <w:rFonts w:hint="eastAsia" w:ascii="仿宋" w:hAnsi="仿宋" w:eastAsia="仿宋" w:cs="仿宋"/>
          <w:sz w:val="24"/>
          <w:lang w:eastAsia="zh-Hans"/>
        </w:rPr>
        <w:t>列表与详情。</w:t>
      </w:r>
    </w:p>
    <w:p w14:paraId="750A2555">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63" w:name="_Toc801281671"/>
      <w:bookmarkStart w:id="64" w:name="_Toc551026164"/>
      <w:bookmarkStart w:id="65" w:name="_Toc1859158124"/>
      <w:bookmarkStart w:id="66" w:name="_Toc99278594"/>
      <w:bookmarkStart w:id="67" w:name="_Toc138236111"/>
      <w:bookmarkStart w:id="68" w:name="_Toc250513084"/>
      <w:bookmarkStart w:id="69" w:name="_Toc1587739846"/>
      <w:r>
        <w:rPr>
          <w:rFonts w:hint="eastAsia" w:ascii="仿宋" w:hAnsi="仿宋" w:eastAsia="仿宋" w:cs="仿宋"/>
          <w:sz w:val="24"/>
          <w:lang w:val="en-US" w:eastAsia="zh-CN"/>
        </w:rPr>
        <w:t>3.5</w:t>
      </w:r>
      <w:r>
        <w:rPr>
          <w:rFonts w:hint="eastAsia" w:ascii="仿宋" w:hAnsi="仿宋" w:eastAsia="仿宋" w:cs="仿宋"/>
          <w:sz w:val="24"/>
        </w:rPr>
        <w:t>审批管理</w:t>
      </w:r>
      <w:bookmarkEnd w:id="63"/>
      <w:bookmarkEnd w:id="64"/>
      <w:bookmarkEnd w:id="65"/>
      <w:bookmarkEnd w:id="66"/>
      <w:bookmarkEnd w:id="67"/>
      <w:bookmarkEnd w:id="68"/>
      <w:bookmarkEnd w:id="69"/>
    </w:p>
    <w:p w14:paraId="2E8B9026">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可视化自定义审批流程，实现多层级审核，同时审批流程关联审批业务。常见的项目立项审核、培训计划审核、开班审核等流程均可自定义。</w:t>
      </w:r>
    </w:p>
    <w:p w14:paraId="05034B58">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70" w:name="_Toc983526218"/>
      <w:bookmarkStart w:id="71" w:name="_Toc511794100"/>
      <w:bookmarkStart w:id="72" w:name="_Toc271094160"/>
      <w:bookmarkStart w:id="73" w:name="_Toc1147252484"/>
      <w:bookmarkStart w:id="74" w:name="_Toc1904495170"/>
      <w:bookmarkStart w:id="75" w:name="_Toc2128019286"/>
      <w:bookmarkStart w:id="76" w:name="_Toc1305454668"/>
      <w:r>
        <w:rPr>
          <w:rFonts w:hint="eastAsia" w:ascii="仿宋" w:hAnsi="仿宋" w:eastAsia="仿宋" w:cs="仿宋"/>
          <w:sz w:val="24"/>
          <w:lang w:val="en-US" w:eastAsia="zh-CN"/>
        </w:rPr>
        <w:t>3.6</w:t>
      </w:r>
      <w:r>
        <w:rPr>
          <w:rFonts w:hint="eastAsia" w:ascii="仿宋" w:hAnsi="仿宋" w:eastAsia="仿宋" w:cs="仿宋"/>
          <w:sz w:val="24"/>
        </w:rPr>
        <w:t>项目管理</w:t>
      </w:r>
      <w:bookmarkEnd w:id="70"/>
      <w:bookmarkEnd w:id="71"/>
      <w:bookmarkEnd w:id="72"/>
      <w:bookmarkEnd w:id="73"/>
      <w:bookmarkEnd w:id="74"/>
      <w:bookmarkEnd w:id="75"/>
      <w:bookmarkEnd w:id="76"/>
    </w:p>
    <w:p w14:paraId="3954516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项目立项：支持在指定项目类型下申报多个新项目；不同类型项目支持自定义配置开班步骤；支持引导式项目申请，设置班级基本信息、经费预算、培训计划；支持社会培训项目以及委托培训项目的申报。委托项目申报支持提交保存相关合同协议资料。</w:t>
      </w:r>
    </w:p>
    <w:p w14:paraId="28CCE38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管理项目：</w:t>
      </w:r>
      <w:r>
        <w:rPr>
          <w:rFonts w:hint="eastAsia" w:ascii="仿宋" w:hAnsi="仿宋" w:eastAsia="仿宋" w:cs="仿宋"/>
          <w:sz w:val="24"/>
        </w:rPr>
        <w:t>可</w:t>
      </w:r>
      <w:r>
        <w:rPr>
          <w:rFonts w:hint="eastAsia" w:ascii="仿宋" w:hAnsi="仿宋" w:eastAsia="仿宋" w:cs="仿宋"/>
          <w:sz w:val="24"/>
          <w:lang w:eastAsia="zh-Hans"/>
        </w:rPr>
        <w:t>查看和编辑项目基本信息、经费预算以及培训计划情况等；</w:t>
      </w:r>
      <w:r>
        <w:rPr>
          <w:rFonts w:hint="eastAsia" w:ascii="仿宋" w:hAnsi="仿宋" w:eastAsia="仿宋" w:cs="仿宋"/>
          <w:sz w:val="24"/>
        </w:rPr>
        <w:t>并且</w:t>
      </w:r>
      <w:r>
        <w:rPr>
          <w:rFonts w:hint="eastAsia" w:ascii="仿宋" w:hAnsi="仿宋" w:eastAsia="仿宋" w:cs="仿宋"/>
          <w:sz w:val="24"/>
          <w:lang w:eastAsia="zh-Hans"/>
        </w:rPr>
        <w:t>支持</w:t>
      </w:r>
      <w:r>
        <w:rPr>
          <w:rFonts w:hint="eastAsia" w:ascii="仿宋" w:hAnsi="仿宋" w:eastAsia="仿宋" w:cs="仿宋"/>
          <w:sz w:val="24"/>
        </w:rPr>
        <w:t>管理项目下所有培训班学员管理以及评价管理等</w:t>
      </w:r>
      <w:r>
        <w:rPr>
          <w:rFonts w:hint="eastAsia" w:ascii="仿宋" w:hAnsi="仿宋" w:eastAsia="仿宋" w:cs="仿宋"/>
          <w:sz w:val="24"/>
          <w:lang w:eastAsia="zh-Hans"/>
        </w:rPr>
        <w:t>。</w:t>
      </w:r>
    </w:p>
    <w:p w14:paraId="40D57FEE">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lang w:eastAsia="zh-Hans"/>
        </w:rPr>
      </w:pPr>
      <w:r>
        <w:rPr>
          <w:rFonts w:hint="eastAsia" w:ascii="仿宋" w:hAnsi="仿宋" w:eastAsia="仿宋" w:cs="仿宋"/>
          <w:sz w:val="24"/>
          <w:lang w:eastAsia="zh-Hans"/>
        </w:rPr>
        <w:t>项目公示：支持建立项目属性栏目，并将已立项审核通过的项目推送到指定栏目中；支持将项目属性栏目推送到智慧门户。</w:t>
      </w:r>
    </w:p>
    <w:p w14:paraId="75869EE7">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77" w:name="_Toc1427482664"/>
      <w:bookmarkStart w:id="78" w:name="_Toc943514967"/>
      <w:bookmarkStart w:id="79" w:name="_Toc606563655"/>
      <w:bookmarkStart w:id="80" w:name="_Toc1051432465"/>
      <w:bookmarkStart w:id="81" w:name="_Toc1466731833"/>
      <w:bookmarkStart w:id="82" w:name="_Toc1764315822"/>
      <w:bookmarkStart w:id="83" w:name="_Toc2083667324"/>
      <w:r>
        <w:rPr>
          <w:rFonts w:hint="eastAsia" w:ascii="仿宋" w:hAnsi="仿宋" w:eastAsia="仿宋" w:cs="仿宋"/>
          <w:sz w:val="24"/>
          <w:lang w:val="en-US" w:eastAsia="zh-CN"/>
        </w:rPr>
        <w:t>3.7</w:t>
      </w:r>
      <w:r>
        <w:rPr>
          <w:rFonts w:hint="eastAsia" w:ascii="仿宋" w:hAnsi="仿宋" w:eastAsia="仿宋" w:cs="仿宋"/>
          <w:sz w:val="24"/>
        </w:rPr>
        <w:t>培训班管理</w:t>
      </w:r>
      <w:bookmarkEnd w:id="77"/>
      <w:bookmarkEnd w:id="78"/>
      <w:bookmarkEnd w:id="79"/>
      <w:bookmarkEnd w:id="80"/>
      <w:bookmarkEnd w:id="81"/>
      <w:bookmarkEnd w:id="82"/>
      <w:bookmarkEnd w:id="83"/>
    </w:p>
    <w:p w14:paraId="3A68773F">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rPr>
        <w:t>项目</w:t>
      </w:r>
      <w:r>
        <w:rPr>
          <w:rFonts w:hint="eastAsia" w:ascii="仿宋" w:hAnsi="仿宋" w:eastAsia="仿宋" w:cs="仿宋"/>
          <w:sz w:val="24"/>
          <w:lang w:eastAsia="zh-Hans"/>
        </w:rPr>
        <w:t>开班：支持一站式开班申请及分步式开班申请</w:t>
      </w:r>
      <w:r>
        <w:rPr>
          <w:rFonts w:hint="eastAsia" w:ascii="仿宋" w:hAnsi="仿宋" w:eastAsia="仿宋" w:cs="仿宋"/>
          <w:sz w:val="24"/>
        </w:rPr>
        <w:t>；</w:t>
      </w:r>
      <w:r>
        <w:rPr>
          <w:rFonts w:hint="eastAsia" w:ascii="仿宋" w:hAnsi="仿宋" w:eastAsia="仿宋" w:cs="仿宋"/>
          <w:sz w:val="24"/>
          <w:lang w:eastAsia="zh-Hans"/>
        </w:rPr>
        <w:t>不同类型项目支持自定义配置开班步骤</w:t>
      </w:r>
      <w:r>
        <w:rPr>
          <w:rFonts w:hint="eastAsia" w:ascii="仿宋" w:hAnsi="仿宋" w:eastAsia="仿宋" w:cs="仿宋"/>
          <w:sz w:val="24"/>
        </w:rPr>
        <w:t>；</w:t>
      </w:r>
      <w:r>
        <w:rPr>
          <w:rFonts w:hint="eastAsia" w:ascii="仿宋" w:hAnsi="仿宋" w:eastAsia="仿宋" w:cs="仿宋"/>
          <w:sz w:val="24"/>
          <w:lang w:eastAsia="zh-Hans"/>
        </w:rPr>
        <w:t>设置班级基本信息、经费预算、培训计划、合格标准内容</w:t>
      </w:r>
      <w:r>
        <w:rPr>
          <w:rFonts w:hint="eastAsia" w:ascii="仿宋" w:hAnsi="仿宋" w:eastAsia="仿宋" w:cs="仿宋"/>
          <w:sz w:val="24"/>
        </w:rPr>
        <w:t>；</w:t>
      </w:r>
      <w:r>
        <w:rPr>
          <w:rFonts w:hint="eastAsia" w:ascii="仿宋" w:hAnsi="仿宋" w:eastAsia="仿宋" w:cs="仿宋"/>
          <w:sz w:val="24"/>
          <w:lang w:eastAsia="zh-Hans"/>
        </w:rPr>
        <w:t>支持在指定项目类型-项目名称下开设多个新班级；支持批量开班，</w:t>
      </w:r>
      <w:r>
        <w:rPr>
          <w:rFonts w:hint="eastAsia" w:ascii="仿宋" w:hAnsi="仿宋" w:eastAsia="仿宋" w:cs="仿宋"/>
          <w:sz w:val="24"/>
        </w:rPr>
        <w:t>批量导入</w:t>
      </w:r>
      <w:r>
        <w:rPr>
          <w:rFonts w:hint="eastAsia" w:ascii="仿宋" w:hAnsi="仿宋" w:eastAsia="仿宋" w:cs="仿宋"/>
          <w:sz w:val="24"/>
          <w:lang w:eastAsia="zh-Hans"/>
        </w:rPr>
        <w:t>班级信息进行</w:t>
      </w:r>
      <w:r>
        <w:rPr>
          <w:rFonts w:hint="eastAsia" w:ascii="仿宋" w:hAnsi="仿宋" w:eastAsia="仿宋" w:cs="仿宋"/>
          <w:sz w:val="24"/>
        </w:rPr>
        <w:t>开班，针对每个班级下的推荐到门户展示的信息、学员端展示逻辑、班主任所对应的菜单等进行灵活配置</w:t>
      </w:r>
      <w:r>
        <w:rPr>
          <w:rFonts w:hint="eastAsia" w:ascii="仿宋" w:hAnsi="仿宋" w:eastAsia="仿宋" w:cs="仿宋"/>
          <w:sz w:val="24"/>
          <w:lang w:eastAsia="zh-Hans"/>
        </w:rPr>
        <w:t>。</w:t>
      </w:r>
    </w:p>
    <w:p w14:paraId="0262EC1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rPr>
        <w:t>基础管理</w:t>
      </w:r>
      <w:r>
        <w:rPr>
          <w:rFonts w:hint="eastAsia" w:ascii="仿宋" w:hAnsi="仿宋" w:eastAsia="仿宋" w:cs="仿宋"/>
          <w:sz w:val="24"/>
          <w:lang w:eastAsia="zh-Hans"/>
        </w:rPr>
        <w:t>：支持查看班级综合信息；支持查看培训班所有学员信息，查询报到、合格、发证和缴费等状态；支持设置证书模板，手动或自动发放证书；</w:t>
      </w:r>
    </w:p>
    <w:p w14:paraId="3AE8032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rPr>
        <w:t>教务管理：</w:t>
      </w:r>
      <w:r>
        <w:rPr>
          <w:rFonts w:hint="eastAsia" w:ascii="仿宋" w:hAnsi="仿宋" w:eastAsia="仿宋" w:cs="仿宋"/>
          <w:sz w:val="24"/>
          <w:lang w:eastAsia="zh-Hans"/>
        </w:rPr>
        <w:t>支持签到请假、班级活动、班级督学成绩、培训计划、班级课表、问卷管理和题库自测等教务管理；</w:t>
      </w:r>
    </w:p>
    <w:p w14:paraId="0861D82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rPr>
        <w:t>班务管理：</w:t>
      </w:r>
      <w:r>
        <w:rPr>
          <w:rFonts w:hint="eastAsia" w:ascii="仿宋" w:hAnsi="仿宋" w:eastAsia="仿宋" w:cs="仿宋"/>
          <w:sz w:val="24"/>
          <w:lang w:eastAsia="zh-Hans"/>
        </w:rPr>
        <w:t>支持班级资料、班级收支、评价管理、学员评价、人员管理、</w:t>
      </w:r>
      <w:r>
        <w:rPr>
          <w:rFonts w:hint="eastAsia" w:ascii="仿宋" w:hAnsi="仿宋" w:eastAsia="仿宋" w:cs="仿宋"/>
          <w:sz w:val="24"/>
        </w:rPr>
        <w:t>工作安排、物料管理、后勤管理、班级承诺书、模板管理、通知管理、和审核详情</w:t>
      </w:r>
      <w:r>
        <w:rPr>
          <w:rFonts w:hint="eastAsia" w:ascii="仿宋" w:hAnsi="仿宋" w:eastAsia="仿宋" w:cs="仿宋"/>
          <w:sz w:val="24"/>
          <w:lang w:eastAsia="zh-Hans"/>
        </w:rPr>
        <w:t>等班务管理。</w:t>
      </w:r>
    </w:p>
    <w:p w14:paraId="270B55D6">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证书管理：支持线上证书发放和线下证书打印，</w:t>
      </w:r>
      <w:r>
        <w:rPr>
          <w:rFonts w:hint="eastAsia" w:ascii="仿宋" w:hAnsi="仿宋" w:eastAsia="仿宋" w:cs="仿宋"/>
          <w:sz w:val="24"/>
        </w:rPr>
        <w:t>支持设置班级证书模板、发证条件、发证时间、流水号规则以及流水号生成范围、发证单位等字段；支持管理员申请发放班级证书，并审核相应操作。</w:t>
      </w:r>
    </w:p>
    <w:p w14:paraId="74C0458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84" w:name="_Toc410477276"/>
      <w:bookmarkStart w:id="85" w:name="_Toc636800921"/>
      <w:r>
        <w:rPr>
          <w:rFonts w:hint="eastAsia" w:ascii="仿宋" w:hAnsi="仿宋" w:eastAsia="仿宋" w:cs="仿宋"/>
          <w:sz w:val="24"/>
          <w:lang w:val="en-US" w:eastAsia="zh-CN"/>
        </w:rPr>
        <w:t>3.8</w:t>
      </w:r>
      <w:r>
        <w:rPr>
          <w:rFonts w:hint="eastAsia" w:ascii="仿宋" w:hAnsi="仿宋" w:eastAsia="仿宋" w:cs="仿宋"/>
          <w:sz w:val="24"/>
        </w:rPr>
        <w:t>单课培训管理</w:t>
      </w:r>
      <w:bookmarkEnd w:id="84"/>
      <w:bookmarkEnd w:id="85"/>
    </w:p>
    <w:p w14:paraId="65FAB75F">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单课培训管理</w:t>
      </w:r>
      <w:r>
        <w:rPr>
          <w:rFonts w:hint="eastAsia" w:ascii="仿宋" w:hAnsi="仿宋" w:eastAsia="仿宋" w:cs="仿宋"/>
          <w:sz w:val="24"/>
        </w:rPr>
        <w:t>：</w:t>
      </w:r>
      <w:r>
        <w:rPr>
          <w:rFonts w:hint="eastAsia" w:ascii="仿宋" w:hAnsi="仿宋" w:eastAsia="仿宋" w:cs="仿宋"/>
          <w:sz w:val="24"/>
          <w:lang w:eastAsia="zh-Hans"/>
        </w:rPr>
        <w:t>支持单条/批量开单课班</w:t>
      </w:r>
      <w:r>
        <w:rPr>
          <w:rFonts w:hint="eastAsia" w:ascii="仿宋" w:hAnsi="仿宋" w:eastAsia="仿宋" w:cs="仿宋"/>
          <w:sz w:val="24"/>
        </w:rPr>
        <w:t>，</w:t>
      </w:r>
      <w:r>
        <w:rPr>
          <w:rFonts w:hint="eastAsia" w:ascii="仿宋" w:hAnsi="仿宋" w:eastAsia="仿宋" w:cs="仿宋"/>
          <w:sz w:val="24"/>
          <w:lang w:eastAsia="zh-Hans"/>
        </w:rPr>
        <w:t>单课班级的学员管理与班级归档</w:t>
      </w:r>
      <w:r>
        <w:rPr>
          <w:rFonts w:hint="eastAsia" w:ascii="仿宋" w:hAnsi="仿宋" w:eastAsia="仿宋" w:cs="仿宋"/>
          <w:sz w:val="24"/>
        </w:rPr>
        <w:t>，</w:t>
      </w:r>
      <w:r>
        <w:rPr>
          <w:rFonts w:hint="eastAsia" w:ascii="仿宋" w:hAnsi="仿宋" w:eastAsia="仿宋" w:cs="仿宋"/>
          <w:sz w:val="24"/>
          <w:lang w:eastAsia="zh-Hans"/>
        </w:rPr>
        <w:t>可根据设置发放证书。</w:t>
      </w:r>
    </w:p>
    <w:p w14:paraId="1BE24A57">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课程</w:t>
      </w:r>
      <w:r>
        <w:rPr>
          <w:rFonts w:hint="eastAsia" w:ascii="仿宋" w:hAnsi="仿宋" w:eastAsia="仿宋" w:cs="仿宋"/>
          <w:sz w:val="24"/>
          <w:lang w:eastAsia="zh-Hans"/>
        </w:rPr>
        <w:t>批量设置</w:t>
      </w:r>
      <w:r>
        <w:rPr>
          <w:rFonts w:hint="eastAsia" w:ascii="仿宋" w:hAnsi="仿宋" w:eastAsia="仿宋" w:cs="仿宋"/>
          <w:sz w:val="24"/>
        </w:rPr>
        <w:t>：</w:t>
      </w:r>
      <w:r>
        <w:rPr>
          <w:rFonts w:hint="eastAsia" w:ascii="仿宋" w:hAnsi="仿宋" w:eastAsia="仿宋" w:cs="仿宋"/>
          <w:sz w:val="24"/>
          <w:lang w:eastAsia="zh-Hans"/>
        </w:rPr>
        <w:t>支持单条/批量设置单课班级的考核权重</w:t>
      </w:r>
      <w:r>
        <w:rPr>
          <w:rFonts w:hint="eastAsia" w:ascii="仿宋" w:hAnsi="仿宋" w:eastAsia="仿宋" w:cs="仿宋"/>
          <w:sz w:val="24"/>
        </w:rPr>
        <w:t>和批量设置课程考核权重，</w:t>
      </w:r>
    </w:p>
    <w:p w14:paraId="696B915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单课推荐到门户</w:t>
      </w:r>
      <w:r>
        <w:rPr>
          <w:rFonts w:hint="eastAsia" w:ascii="仿宋" w:hAnsi="仿宋" w:eastAsia="仿宋" w:cs="仿宋"/>
          <w:sz w:val="24"/>
        </w:rPr>
        <w:t>：</w:t>
      </w:r>
      <w:r>
        <w:rPr>
          <w:rFonts w:hint="eastAsia" w:ascii="仿宋" w:hAnsi="仿宋" w:eastAsia="仿宋" w:cs="仿宋"/>
          <w:sz w:val="24"/>
          <w:lang w:eastAsia="zh-Hans"/>
        </w:rPr>
        <w:t>学员可报名选课，产生订单、缴费、进行学习等。</w:t>
      </w:r>
    </w:p>
    <w:p w14:paraId="1A92C75A">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86" w:name="_Toc1802066246"/>
      <w:bookmarkStart w:id="87" w:name="_Toc1174103568"/>
      <w:r>
        <w:rPr>
          <w:rFonts w:hint="eastAsia" w:ascii="仿宋" w:hAnsi="仿宋" w:eastAsia="仿宋" w:cs="仿宋"/>
          <w:sz w:val="24"/>
          <w:lang w:val="en-US" w:eastAsia="zh-CN"/>
        </w:rPr>
        <w:t>3.9</w:t>
      </w:r>
      <w:r>
        <w:rPr>
          <w:rFonts w:hint="eastAsia" w:ascii="仿宋" w:hAnsi="仿宋" w:eastAsia="仿宋" w:cs="仿宋"/>
          <w:sz w:val="24"/>
        </w:rPr>
        <w:t>课程包培训管理</w:t>
      </w:r>
      <w:bookmarkEnd w:id="86"/>
      <w:bookmarkEnd w:id="87"/>
    </w:p>
    <w:p w14:paraId="0C10B286">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lang w:eastAsia="zh-Hans"/>
        </w:rPr>
      </w:pPr>
      <w:r>
        <w:rPr>
          <w:rFonts w:hint="eastAsia" w:ascii="仿宋" w:hAnsi="仿宋" w:eastAsia="仿宋" w:cs="仿宋"/>
          <w:sz w:val="24"/>
          <w:lang w:eastAsia="zh-Hans"/>
        </w:rPr>
        <w:t>支持添加课程包，为课程包添加添加课程，设置课程包闯关模式，闯关模式下，学员需要完成上一课程的学习才能解锁下一课程；支持查看课程包学员，添加/删除学员，付费课程包支持查看未缴费学员名单；支持成绩查看查看已选学员的成绩及设置合格标准。</w:t>
      </w:r>
    </w:p>
    <w:p w14:paraId="6835990A">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bookmarkStart w:id="88" w:name="_Toc1365522881"/>
      <w:bookmarkStart w:id="89" w:name="_Toc2078918740"/>
      <w:r>
        <w:rPr>
          <w:rFonts w:hint="eastAsia" w:ascii="仿宋" w:hAnsi="仿宋" w:eastAsia="仿宋" w:cs="仿宋"/>
          <w:sz w:val="24"/>
          <w:lang w:val="en-US" w:eastAsia="zh-CN"/>
        </w:rPr>
        <w:t>3.10</w:t>
      </w:r>
      <w:r>
        <w:rPr>
          <w:rFonts w:hint="eastAsia" w:ascii="仿宋" w:hAnsi="仿宋" w:eastAsia="仿宋" w:cs="仿宋"/>
          <w:sz w:val="24"/>
          <w:lang w:eastAsia="zh-Hans"/>
        </w:rPr>
        <w:t>直播培训</w:t>
      </w:r>
      <w:bookmarkEnd w:id="88"/>
      <w:bookmarkEnd w:id="89"/>
    </w:p>
    <w:p w14:paraId="38D34C54">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lang w:eastAsia="zh-Hans"/>
        </w:rPr>
      </w:pPr>
      <w:r>
        <w:rPr>
          <w:rFonts w:hint="eastAsia" w:ascii="仿宋" w:hAnsi="仿宋" w:eastAsia="仿宋" w:cs="仿宋"/>
          <w:sz w:val="24"/>
          <w:lang w:eastAsia="zh-Hans"/>
        </w:rPr>
        <w:t>支持添加直播，直播形式支持推流软件/直播盒子以及直播PC客户端直播；支持查看和管理学员的直播评价；支持查看与统计学员观看直播的直播观看时长、回看观看时长以及签到次数；支持将直播推荐到平台门户或者插入到班级中。</w:t>
      </w:r>
    </w:p>
    <w:p w14:paraId="4F3A7B9B">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bookmarkStart w:id="90" w:name="_Toc185325478"/>
      <w:bookmarkStart w:id="91" w:name="_Toc828326490"/>
      <w:bookmarkStart w:id="92" w:name="_Toc1180882839"/>
      <w:bookmarkStart w:id="93" w:name="_Toc1929991739"/>
      <w:bookmarkStart w:id="94" w:name="_Toc13829564"/>
      <w:bookmarkStart w:id="95" w:name="_Toc401822578"/>
      <w:bookmarkStart w:id="96" w:name="_Toc397133318"/>
      <w:r>
        <w:rPr>
          <w:rFonts w:hint="eastAsia" w:ascii="仿宋" w:hAnsi="仿宋" w:eastAsia="仿宋" w:cs="仿宋"/>
          <w:sz w:val="24"/>
          <w:lang w:val="en-US" w:eastAsia="zh-CN"/>
        </w:rPr>
        <w:t>3.11</w:t>
      </w:r>
      <w:r>
        <w:rPr>
          <w:rFonts w:hint="eastAsia" w:ascii="仿宋" w:hAnsi="仿宋" w:eastAsia="仿宋" w:cs="仿宋"/>
          <w:sz w:val="24"/>
          <w:lang w:eastAsia="zh-Hans"/>
        </w:rPr>
        <w:t>结业管理</w:t>
      </w:r>
      <w:bookmarkEnd w:id="90"/>
      <w:bookmarkEnd w:id="91"/>
      <w:bookmarkEnd w:id="92"/>
      <w:bookmarkEnd w:id="93"/>
      <w:bookmarkEnd w:id="94"/>
      <w:bookmarkEnd w:id="95"/>
      <w:bookmarkEnd w:id="96"/>
    </w:p>
    <w:p w14:paraId="7F138E7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rPr>
      </w:pPr>
      <w:r>
        <w:rPr>
          <w:rFonts w:hint="eastAsia" w:ascii="仿宋" w:hAnsi="仿宋" w:eastAsia="仿宋" w:cs="仿宋"/>
          <w:sz w:val="24"/>
        </w:rPr>
        <w:t>结业管理可对班级进行归档，也可设置结业审批流程，结业资料主要包含项目/班级/个人资料等。</w:t>
      </w:r>
    </w:p>
    <w:p w14:paraId="6F679034">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bookmarkStart w:id="97" w:name="_Toc1778153085"/>
      <w:bookmarkStart w:id="98" w:name="_Toc1694317576"/>
      <w:bookmarkStart w:id="99" w:name="_Toc1743482278"/>
      <w:bookmarkStart w:id="100" w:name="_Toc54009499"/>
      <w:bookmarkStart w:id="101" w:name="_Toc505248272"/>
      <w:bookmarkStart w:id="102" w:name="_Toc914020596"/>
      <w:bookmarkStart w:id="103" w:name="_Toc240500750"/>
      <w:r>
        <w:rPr>
          <w:rFonts w:hint="eastAsia" w:ascii="仿宋" w:hAnsi="仿宋" w:eastAsia="仿宋" w:cs="仿宋"/>
          <w:sz w:val="24"/>
          <w:lang w:val="en-US" w:eastAsia="zh-CN"/>
        </w:rPr>
        <w:t>3.12</w:t>
      </w:r>
      <w:r>
        <w:rPr>
          <w:rFonts w:hint="eastAsia" w:ascii="仿宋" w:hAnsi="仿宋" w:eastAsia="仿宋" w:cs="仿宋"/>
          <w:sz w:val="24"/>
          <w:lang w:eastAsia="zh-Hans"/>
        </w:rPr>
        <w:t>证书管理</w:t>
      </w:r>
      <w:bookmarkEnd w:id="97"/>
      <w:bookmarkEnd w:id="98"/>
      <w:bookmarkEnd w:id="99"/>
      <w:bookmarkEnd w:id="100"/>
      <w:bookmarkEnd w:id="101"/>
      <w:bookmarkEnd w:id="102"/>
      <w:bookmarkEnd w:id="103"/>
    </w:p>
    <w:p w14:paraId="589133B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支持统一管理项目和培训班证书，可根据不同项目和培训班配置多种类型模版，证书模版支持在线编辑和导入模版，证书字段可自定义设置。可在平台统一管理证书和查询证书。</w:t>
      </w:r>
    </w:p>
    <w:p w14:paraId="02F0BE77">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bookmarkStart w:id="104" w:name="_Toc292283031"/>
      <w:bookmarkStart w:id="105" w:name="_Toc531881596"/>
      <w:bookmarkStart w:id="106" w:name="_Toc557367266"/>
      <w:bookmarkStart w:id="107" w:name="_Toc1499550659"/>
      <w:bookmarkStart w:id="108" w:name="_Toc762340612"/>
      <w:bookmarkStart w:id="109" w:name="_Toc993629981"/>
      <w:bookmarkStart w:id="110" w:name="_Toc1036467943"/>
      <w:r>
        <w:rPr>
          <w:rFonts w:hint="eastAsia" w:ascii="仿宋" w:hAnsi="仿宋" w:eastAsia="仿宋" w:cs="仿宋"/>
          <w:sz w:val="24"/>
          <w:lang w:val="en-US" w:eastAsia="zh-CN"/>
        </w:rPr>
        <w:t>3.13</w:t>
      </w:r>
      <w:r>
        <w:rPr>
          <w:rFonts w:hint="eastAsia" w:ascii="仿宋" w:hAnsi="仿宋" w:eastAsia="仿宋" w:cs="仿宋"/>
          <w:sz w:val="24"/>
          <w:lang w:eastAsia="zh-Hans"/>
        </w:rPr>
        <w:t>后勤管理</w:t>
      </w:r>
      <w:bookmarkEnd w:id="104"/>
      <w:bookmarkEnd w:id="105"/>
      <w:bookmarkEnd w:id="106"/>
      <w:bookmarkEnd w:id="107"/>
      <w:bookmarkEnd w:id="108"/>
      <w:bookmarkEnd w:id="109"/>
      <w:bookmarkEnd w:id="110"/>
    </w:p>
    <w:p w14:paraId="5282703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支持物流管理、用餐管理、酒店管理、住宿管理、场地管理、合作单位、饭卡信息、合照管理等后勤业务管理模块。</w:t>
      </w:r>
    </w:p>
    <w:p w14:paraId="779DEFCD">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111" w:name="_Toc1507045158"/>
      <w:bookmarkStart w:id="112" w:name="_Toc1105801328"/>
      <w:bookmarkStart w:id="113" w:name="_Toc79844621"/>
      <w:bookmarkStart w:id="114" w:name="_Toc771227882"/>
      <w:bookmarkStart w:id="115" w:name="_Toc347971448"/>
      <w:bookmarkStart w:id="116" w:name="_Toc1676857184"/>
      <w:bookmarkStart w:id="117" w:name="_Toc1106251595"/>
      <w:r>
        <w:rPr>
          <w:rFonts w:hint="eastAsia" w:ascii="仿宋" w:hAnsi="仿宋" w:eastAsia="仿宋" w:cs="仿宋"/>
          <w:sz w:val="24"/>
          <w:lang w:val="en-US" w:eastAsia="zh-CN"/>
        </w:rPr>
        <w:t>3.14财务管理</w:t>
      </w:r>
      <w:bookmarkEnd w:id="111"/>
      <w:bookmarkEnd w:id="112"/>
      <w:bookmarkEnd w:id="113"/>
      <w:bookmarkEnd w:id="114"/>
      <w:bookmarkEnd w:id="115"/>
      <w:bookmarkEnd w:id="116"/>
      <w:bookmarkEnd w:id="117"/>
    </w:p>
    <w:p w14:paraId="53340927">
      <w:pPr>
        <w:ind w:firstLine="480" w:firstLineChars="200"/>
        <w:rPr>
          <w:rFonts w:hint="eastAsia" w:ascii="仿宋" w:hAnsi="仿宋" w:eastAsia="仿宋" w:cs="仿宋"/>
          <w:sz w:val="24"/>
        </w:rPr>
      </w:pPr>
      <w:r>
        <w:rPr>
          <w:rFonts w:hint="eastAsia" w:ascii="仿宋" w:hAnsi="仿宋" w:eastAsia="仿宋" w:cs="仿宋"/>
          <w:sz w:val="24"/>
        </w:rPr>
        <w:t>支持对接各种财务系统，实现线上付款、现场缴费、线下汇款等支付方式，也可在平台实现退款管理。同时也可与发票系统对接，开具电子发票。</w:t>
      </w:r>
    </w:p>
    <w:p w14:paraId="229DDCB5">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118" w:name="_Toc1963203129"/>
      <w:bookmarkStart w:id="119" w:name="_Toc1485837788"/>
      <w:bookmarkStart w:id="120" w:name="_Toc758155755"/>
      <w:bookmarkStart w:id="121" w:name="_Toc879438558"/>
      <w:bookmarkStart w:id="122" w:name="_Toc1918749419"/>
      <w:bookmarkStart w:id="123" w:name="_Toc2004625086"/>
      <w:bookmarkStart w:id="124" w:name="_Toc1510791907"/>
      <w:r>
        <w:rPr>
          <w:rFonts w:hint="eastAsia" w:ascii="仿宋" w:hAnsi="仿宋" w:eastAsia="仿宋" w:cs="仿宋"/>
          <w:sz w:val="24"/>
          <w:lang w:val="en-US" w:eastAsia="zh-CN"/>
        </w:rPr>
        <w:t>3.15统计分析</w:t>
      </w:r>
      <w:bookmarkEnd w:id="118"/>
      <w:bookmarkEnd w:id="119"/>
      <w:bookmarkEnd w:id="120"/>
      <w:bookmarkEnd w:id="121"/>
      <w:bookmarkEnd w:id="122"/>
      <w:bookmarkEnd w:id="123"/>
      <w:bookmarkEnd w:id="124"/>
    </w:p>
    <w:p w14:paraId="0AD7023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bookmarkStart w:id="125" w:name="_Toc1535855600"/>
      <w:bookmarkStart w:id="126" w:name="_Toc32938821"/>
      <w:bookmarkStart w:id="127" w:name="_Toc1741385652"/>
      <w:bookmarkStart w:id="128" w:name="_Toc1303296634"/>
      <w:bookmarkStart w:id="129" w:name="_Toc1807041781"/>
      <w:r>
        <w:rPr>
          <w:rFonts w:hint="eastAsia" w:ascii="仿宋" w:hAnsi="仿宋" w:eastAsia="仿宋" w:cs="仿宋"/>
          <w:sz w:val="24"/>
        </w:rPr>
        <w:t>支持班级报名统计、培训班成绩统计和资源统计。同时可自定义统计，通过选择统计维度和统计内容生成统计数据，数据以图表或数据列表形式展示，可以保存或下载统计数据。</w:t>
      </w:r>
    </w:p>
    <w:bookmarkEnd w:id="125"/>
    <w:bookmarkEnd w:id="126"/>
    <w:bookmarkEnd w:id="127"/>
    <w:bookmarkEnd w:id="128"/>
    <w:bookmarkEnd w:id="129"/>
    <w:p w14:paraId="6BE7BC1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130" w:name="_Toc1699467268"/>
      <w:bookmarkStart w:id="131" w:name="_Toc2010366266"/>
      <w:bookmarkStart w:id="132" w:name="_Toc1561511848"/>
      <w:bookmarkStart w:id="133" w:name="_Toc1237477393"/>
      <w:bookmarkStart w:id="134" w:name="_Toc371632260"/>
      <w:bookmarkStart w:id="135" w:name="_Toc173328238"/>
      <w:bookmarkStart w:id="136" w:name="_Toc1616236595"/>
      <w:r>
        <w:rPr>
          <w:rFonts w:hint="eastAsia" w:ascii="仿宋" w:hAnsi="仿宋" w:eastAsia="仿宋" w:cs="仿宋"/>
          <w:sz w:val="24"/>
          <w:lang w:val="en-US" w:eastAsia="zh-CN"/>
        </w:rPr>
        <w:t>3.16问卷管理</w:t>
      </w:r>
      <w:bookmarkEnd w:id="130"/>
      <w:bookmarkEnd w:id="131"/>
      <w:bookmarkEnd w:id="132"/>
      <w:bookmarkEnd w:id="133"/>
      <w:bookmarkEnd w:id="134"/>
      <w:bookmarkEnd w:id="135"/>
      <w:bookmarkEnd w:id="136"/>
    </w:p>
    <w:p w14:paraId="521D0C6E">
      <w:pPr>
        <w:ind w:firstLine="480" w:firstLineChars="200"/>
        <w:rPr>
          <w:rFonts w:hint="eastAsia" w:ascii="仿宋" w:hAnsi="仿宋" w:eastAsia="仿宋" w:cs="仿宋"/>
        </w:rPr>
      </w:pPr>
      <w:r>
        <w:rPr>
          <w:rFonts w:hint="eastAsia" w:ascii="仿宋" w:hAnsi="仿宋" w:eastAsia="仿宋" w:cs="仿宋"/>
          <w:sz w:val="24"/>
        </w:rPr>
        <w:t>支持创建共七种问卷题型的问卷，从问卷题库中抽取或者新增题目形成问卷，可公开发放/定向发放以及是否允许匿名提交等设置。同时可查看已发布问卷列表与已发布问卷二维码，查看已发放问卷的作答详情和导出作答数据。</w:t>
      </w:r>
      <w:r>
        <w:rPr>
          <w:rFonts w:hint="eastAsia" w:ascii="仿宋" w:hAnsi="仿宋" w:eastAsia="仿宋" w:cs="仿宋"/>
        </w:rPr>
        <w:t xml:space="preserve"> </w:t>
      </w:r>
    </w:p>
    <w:p w14:paraId="66493AD0">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137" w:name="_Toc1139870734"/>
      <w:bookmarkStart w:id="138" w:name="_Toc1140948344"/>
      <w:bookmarkStart w:id="139" w:name="_Toc2079462996"/>
      <w:bookmarkStart w:id="140" w:name="_Toc1865614411"/>
      <w:bookmarkStart w:id="141" w:name="_Toc567801262"/>
      <w:bookmarkStart w:id="142" w:name="_Toc1413868176"/>
      <w:bookmarkStart w:id="143" w:name="_Toc2050906603"/>
      <w:r>
        <w:rPr>
          <w:rFonts w:hint="eastAsia" w:ascii="仿宋" w:hAnsi="仿宋" w:eastAsia="仿宋" w:cs="仿宋"/>
          <w:sz w:val="24"/>
          <w:lang w:val="en-US" w:eastAsia="zh-CN"/>
        </w:rPr>
        <w:t>3.17</w:t>
      </w:r>
      <w:r>
        <w:rPr>
          <w:rFonts w:hint="eastAsia" w:ascii="仿宋" w:hAnsi="仿宋" w:eastAsia="仿宋" w:cs="仿宋"/>
          <w:sz w:val="24"/>
          <w:lang w:val="en-US" w:eastAsia="zh-Hans"/>
        </w:rPr>
        <w:t>人脸识别管理</w:t>
      </w:r>
      <w:bookmarkEnd w:id="137"/>
      <w:bookmarkEnd w:id="138"/>
      <w:bookmarkEnd w:id="139"/>
      <w:bookmarkEnd w:id="140"/>
      <w:bookmarkEnd w:id="141"/>
      <w:bookmarkEnd w:id="142"/>
      <w:bookmarkEnd w:id="143"/>
    </w:p>
    <w:p w14:paraId="03A56B0E">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rPr>
      </w:pPr>
      <w:r>
        <w:rPr>
          <w:rFonts w:hint="eastAsia" w:ascii="仿宋" w:hAnsi="仿宋" w:eastAsia="仿宋" w:cs="仿宋"/>
          <w:sz w:val="24"/>
        </w:rPr>
        <w:t>支持人脸采集，向单位人员发送人脸采集通知，也可以批量为单位人员上传采集照片。采集照片作为人脸比对档案照片，可查看学生学习时的采集情况与学习异常情况。另外可上传学员身份证进行实名认证。</w:t>
      </w:r>
    </w:p>
    <w:p w14:paraId="76E6403E">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144" w:name="_Toc1765966813"/>
      <w:bookmarkStart w:id="145" w:name="_Toc327258624"/>
      <w:bookmarkStart w:id="146" w:name="_Toc2120159477"/>
      <w:bookmarkStart w:id="147" w:name="_Toc105811451"/>
      <w:bookmarkStart w:id="148" w:name="_Toc975879977"/>
      <w:bookmarkStart w:id="149" w:name="_Toc1037333545"/>
      <w:bookmarkStart w:id="150" w:name="_Toc1385702494"/>
      <w:r>
        <w:rPr>
          <w:rFonts w:hint="eastAsia" w:ascii="仿宋" w:hAnsi="仿宋" w:eastAsia="仿宋" w:cs="仿宋"/>
          <w:sz w:val="24"/>
          <w:lang w:val="en-US" w:eastAsia="zh-CN"/>
        </w:rPr>
        <w:t>3.18</w:t>
      </w:r>
      <w:r>
        <w:rPr>
          <w:rFonts w:hint="eastAsia" w:ascii="仿宋" w:hAnsi="仿宋" w:eastAsia="仿宋" w:cs="仿宋"/>
          <w:sz w:val="24"/>
          <w:lang w:val="en-US" w:eastAsia="zh-Hans"/>
        </w:rPr>
        <w:t>学时互认</w:t>
      </w:r>
      <w:bookmarkEnd w:id="144"/>
      <w:bookmarkEnd w:id="145"/>
      <w:bookmarkEnd w:id="146"/>
      <w:bookmarkEnd w:id="147"/>
      <w:bookmarkEnd w:id="148"/>
      <w:bookmarkEnd w:id="149"/>
      <w:bookmarkEnd w:id="150"/>
    </w:p>
    <w:p w14:paraId="303E123A">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rPr>
      </w:pPr>
      <w:r>
        <w:rPr>
          <w:rFonts w:hint="eastAsia" w:ascii="仿宋" w:hAnsi="仿宋" w:eastAsia="仿宋" w:cs="仿宋"/>
          <w:sz w:val="24"/>
        </w:rPr>
        <w:t>学员可自行按照培训班学时或单课学时申请学时认证，可设置认证上限和审核流程。填写内容包括认证年份、认证学时、认证理由、认证材料等。</w:t>
      </w:r>
    </w:p>
    <w:p w14:paraId="2D05DBCA">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151" w:name="_Toc2061931313"/>
      <w:bookmarkStart w:id="152" w:name="_Toc413396306"/>
      <w:bookmarkStart w:id="153" w:name="_Toc232740904"/>
      <w:bookmarkStart w:id="154" w:name="_Toc564507561"/>
      <w:bookmarkStart w:id="155" w:name="_Toc151798075"/>
      <w:bookmarkStart w:id="156" w:name="_Toc1459757795"/>
      <w:bookmarkStart w:id="157" w:name="_Toc1553571573"/>
      <w:r>
        <w:rPr>
          <w:rFonts w:hint="eastAsia" w:ascii="仿宋" w:hAnsi="仿宋" w:eastAsia="仿宋" w:cs="仿宋"/>
          <w:sz w:val="24"/>
          <w:lang w:val="en-US" w:eastAsia="zh-CN"/>
        </w:rPr>
        <w:t>3.19</w:t>
      </w:r>
      <w:r>
        <w:rPr>
          <w:rFonts w:hint="eastAsia" w:ascii="仿宋" w:hAnsi="仿宋" w:eastAsia="仿宋" w:cs="仿宋"/>
          <w:sz w:val="24"/>
          <w:lang w:val="en-US" w:eastAsia="zh-Hans"/>
        </w:rPr>
        <w:t>通知管理</w:t>
      </w:r>
      <w:bookmarkEnd w:id="151"/>
      <w:bookmarkEnd w:id="152"/>
      <w:bookmarkEnd w:id="153"/>
      <w:bookmarkEnd w:id="154"/>
      <w:bookmarkEnd w:id="155"/>
      <w:bookmarkEnd w:id="156"/>
      <w:bookmarkEnd w:id="157"/>
    </w:p>
    <w:p w14:paraId="3577B30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支持针对平台不同对象管理员、班主任、教师和学生等）发布通知，可设置定时发送或者直接发送。通知列表可查看已读和未读情况。</w:t>
      </w:r>
    </w:p>
    <w:p w14:paraId="5C76788D">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158" w:name="_Toc1450422282"/>
      <w:bookmarkStart w:id="159" w:name="_Toc300487934"/>
      <w:bookmarkStart w:id="160" w:name="_Toc34796350"/>
      <w:bookmarkStart w:id="161" w:name="_Toc455786277"/>
      <w:bookmarkStart w:id="162" w:name="_Toc1241487405"/>
      <w:bookmarkStart w:id="163" w:name="_Toc1108652341"/>
      <w:bookmarkStart w:id="164" w:name="_Toc431345875"/>
      <w:r>
        <w:rPr>
          <w:rFonts w:hint="eastAsia" w:ascii="仿宋" w:hAnsi="仿宋" w:eastAsia="仿宋" w:cs="仿宋"/>
          <w:sz w:val="24"/>
          <w:lang w:val="en-US" w:eastAsia="zh-CN"/>
        </w:rPr>
        <w:t>4.</w:t>
      </w:r>
      <w:r>
        <w:rPr>
          <w:rFonts w:hint="eastAsia" w:ascii="仿宋" w:hAnsi="仿宋" w:eastAsia="仿宋" w:cs="仿宋"/>
          <w:sz w:val="24"/>
          <w:lang w:val="en-US" w:eastAsia="zh-Hans"/>
        </w:rPr>
        <w:t>培训教学系统</w:t>
      </w:r>
      <w:bookmarkEnd w:id="158"/>
      <w:bookmarkEnd w:id="159"/>
      <w:bookmarkEnd w:id="160"/>
      <w:bookmarkEnd w:id="161"/>
      <w:bookmarkEnd w:id="162"/>
      <w:bookmarkEnd w:id="163"/>
      <w:bookmarkEnd w:id="164"/>
    </w:p>
    <w:p w14:paraId="2BC96C83">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为讲师提供一整套完善的网络课程建设工具。通过设置任务点、监控学习过程和收集教学数据，讲师可以实时掌握学员的学习进度。此外，为了丰富线下培训体验，平台还提供了签到、抢答、随机选人和主题讨论等多样化的课堂互动功能，有效提升课堂活跃度。通过讨论、作业和考试等环节，学员的学习效果将得到全面评估。最后，平台的统计分析工具为培训效果的评估和持续改进提供了强有力的数据支撑。</w:t>
      </w:r>
    </w:p>
    <w:p w14:paraId="7FFBE90D">
      <w:pPr>
        <w:rPr>
          <w:rFonts w:hint="eastAsia" w:ascii="仿宋" w:hAnsi="仿宋" w:eastAsia="仿宋" w:cs="仿宋"/>
        </w:rPr>
      </w:pPr>
    </w:p>
    <w:p w14:paraId="3B7B0450">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165" w:name="_Toc1551773815"/>
      <w:bookmarkStart w:id="166" w:name="_Toc1566652641"/>
      <w:bookmarkStart w:id="167" w:name="_Toc1160416477"/>
      <w:bookmarkStart w:id="168" w:name="_Toc706702466"/>
      <w:bookmarkStart w:id="169" w:name="_Toc727701583"/>
      <w:bookmarkStart w:id="170" w:name="_Toc325788690"/>
      <w:bookmarkStart w:id="171" w:name="_Toc1872812500"/>
      <w:r>
        <w:rPr>
          <w:rFonts w:hint="eastAsia" w:ascii="仿宋" w:hAnsi="仿宋" w:eastAsia="仿宋" w:cs="仿宋"/>
          <w:sz w:val="24"/>
          <w:lang w:val="en-US" w:eastAsia="zh-CN"/>
        </w:rPr>
        <w:t>4.1建课管理</w:t>
      </w:r>
      <w:bookmarkEnd w:id="165"/>
      <w:bookmarkEnd w:id="166"/>
      <w:bookmarkEnd w:id="167"/>
      <w:bookmarkEnd w:id="168"/>
      <w:bookmarkEnd w:id="169"/>
      <w:bookmarkEnd w:id="170"/>
      <w:bookmarkEnd w:id="171"/>
      <w:r>
        <w:rPr>
          <w:rFonts w:hint="eastAsia" w:ascii="仿宋" w:hAnsi="仿宋" w:eastAsia="仿宋" w:cs="仿宋"/>
          <w:sz w:val="24"/>
          <w:lang w:val="en-US" w:eastAsia="zh-CN"/>
        </w:rPr>
        <w:tab/>
      </w:r>
    </w:p>
    <w:p w14:paraId="05428E9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为教师提供高效、灵活且功能丰富的课程创建和管理工具：</w:t>
      </w:r>
    </w:p>
    <w:p w14:paraId="72C18460">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支持快速创建网络课程，允许用户输入课程名称、教师名称，并选择所属单位。它提供丰富的课程门户网站信息编辑功能，包括自定义课程封面、片花、基本信息、教学效果和参考教材等，同时支持富媒体内容的添加和编辑。 此外，该模块提供多种门户主题和灵活的章节目录管理，允许教师根据课程需求调整展示风格和内容结构。章节内容编辑功能强大，支持原位编辑和所见即所得，使教师能够轻松整合视频、测验、讨论、文档、图片、音频等多种富媒体教学资源。富媒体编辑器功能齐全，包括文字编辑、Word文档内容的复制粘贴、超大文件上传、视频编辑等，极大地丰富了课程内容的表现形式。该模块还支持将课程章节目录导出为Word或PDF格式，便于教师进行课程规划和资源共享。教师可以上传所需的图书、视频、参考资料等，利用平台提供的海量资源，一键插入课程介绍、章节和资料中，并支持原位播放。课程管理功能包括设置试读范围、学员导航栏目、克隆与映射课程等，为课程的发布和维护提供了便利。</w:t>
      </w:r>
    </w:p>
    <w:p w14:paraId="309D19D5">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172" w:name="_Toc1621099537"/>
      <w:bookmarkStart w:id="173" w:name="_Toc1840121889"/>
      <w:bookmarkStart w:id="174" w:name="_Toc543229921"/>
      <w:bookmarkStart w:id="175" w:name="_Toc1408965535"/>
      <w:bookmarkStart w:id="176" w:name="_Toc1470295429"/>
      <w:bookmarkStart w:id="177" w:name="_Toc398980728"/>
      <w:bookmarkStart w:id="178" w:name="_Toc1523565221"/>
      <w:r>
        <w:rPr>
          <w:rFonts w:hint="eastAsia" w:ascii="仿宋" w:hAnsi="仿宋" w:eastAsia="仿宋" w:cs="仿宋"/>
          <w:sz w:val="24"/>
          <w:lang w:val="en-US" w:eastAsia="zh-CN"/>
        </w:rPr>
        <w:t>4.2学习流程管理</w:t>
      </w:r>
      <w:bookmarkEnd w:id="172"/>
      <w:bookmarkEnd w:id="173"/>
      <w:bookmarkEnd w:id="174"/>
      <w:bookmarkEnd w:id="175"/>
      <w:bookmarkEnd w:id="176"/>
      <w:bookmarkEnd w:id="177"/>
      <w:bookmarkEnd w:id="178"/>
    </w:p>
    <w:p w14:paraId="6DB3EC38">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rPr>
        <w:t>支持教师管理和</w:t>
      </w:r>
      <w:r>
        <w:rPr>
          <w:rFonts w:hint="eastAsia" w:ascii="仿宋" w:hAnsi="仿宋" w:eastAsia="仿宋" w:cs="仿宋"/>
          <w:sz w:val="24"/>
          <w:lang w:eastAsia="zh-Hans"/>
        </w:rPr>
        <w:t>监督整个学习过程。教师</w:t>
      </w:r>
      <w:r>
        <w:rPr>
          <w:rFonts w:hint="eastAsia" w:ascii="仿宋" w:hAnsi="仿宋" w:eastAsia="仿宋" w:cs="仿宋"/>
          <w:sz w:val="24"/>
        </w:rPr>
        <w:t>可</w:t>
      </w:r>
      <w:r>
        <w:rPr>
          <w:rFonts w:hint="eastAsia" w:ascii="仿宋" w:hAnsi="仿宋" w:eastAsia="仿宋" w:cs="仿宋"/>
          <w:sz w:val="24"/>
          <w:lang w:eastAsia="zh-Hans"/>
        </w:rPr>
        <w:t>对章节内容进行精细的访问控制，如开放、定时开放和复习模式，以满足不同的教学需求。通过任务驱动学习，教师可以设置任务点来引导学员完成必要的学习活动，同时学员端会清晰地展示任务完成情况，提高学习目标的可视化。系统还能全面跟踪和统计学员的学习进度，包括登录次数、互动、成绩和在线时长等。视频播放安全功能采用先进技术防止拖拽和窗口切换，确保学员专注学习，并通过视频内测验来提高学习效率。此外，学习监控功能利用人脸识别技术确保学习过程的真实性，对异常行为进行记录和处理。整体而言，通过这些功能提高了学习效率，保障了学习过程的安全性，并为教师提供了深入的学习分析。</w:t>
      </w:r>
    </w:p>
    <w:p w14:paraId="189B1D93">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179" w:name="_Toc1016587976"/>
      <w:bookmarkStart w:id="180" w:name="_Toc1112298850"/>
      <w:bookmarkStart w:id="181" w:name="_Toc1225149562"/>
      <w:bookmarkStart w:id="182" w:name="_Toc694888870"/>
      <w:bookmarkStart w:id="183" w:name="_Toc160949174"/>
      <w:bookmarkStart w:id="184" w:name="_Toc2113146166"/>
      <w:bookmarkStart w:id="185" w:name="_Toc181571276"/>
      <w:r>
        <w:rPr>
          <w:rFonts w:hint="eastAsia" w:ascii="仿宋" w:hAnsi="仿宋" w:eastAsia="仿宋" w:cs="仿宋"/>
          <w:sz w:val="24"/>
          <w:lang w:val="en-US" w:eastAsia="zh-CN"/>
        </w:rPr>
        <w:t>4.3教学统计</w:t>
      </w:r>
      <w:bookmarkEnd w:id="179"/>
      <w:bookmarkEnd w:id="180"/>
      <w:bookmarkEnd w:id="181"/>
      <w:bookmarkEnd w:id="182"/>
      <w:bookmarkEnd w:id="183"/>
      <w:bookmarkEnd w:id="184"/>
      <w:bookmarkEnd w:id="185"/>
    </w:p>
    <w:p w14:paraId="76A8FDA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lang w:eastAsia="zh-Hans"/>
        </w:rPr>
      </w:pPr>
      <w:r>
        <w:rPr>
          <w:rFonts w:hint="eastAsia" w:ascii="仿宋" w:hAnsi="仿宋" w:eastAsia="仿宋" w:cs="仿宋"/>
          <w:sz w:val="24"/>
        </w:rPr>
        <w:t>可</w:t>
      </w:r>
      <w:r>
        <w:rPr>
          <w:rFonts w:hint="eastAsia" w:ascii="仿宋" w:hAnsi="仿宋" w:eastAsia="仿宋" w:cs="仿宋"/>
          <w:sz w:val="24"/>
          <w:lang w:eastAsia="zh-Hans"/>
        </w:rPr>
        <w:t>全面掌握教学活动和学生的学习进展。</w:t>
      </w:r>
      <w:r>
        <w:rPr>
          <w:rFonts w:hint="eastAsia" w:ascii="仿宋" w:hAnsi="仿宋" w:eastAsia="仿宋" w:cs="仿宋"/>
          <w:sz w:val="24"/>
        </w:rPr>
        <w:t>统计内容</w:t>
      </w:r>
      <w:r>
        <w:rPr>
          <w:rFonts w:hint="eastAsia" w:ascii="仿宋" w:hAnsi="仿宋" w:eastAsia="仿宋" w:cs="仿宋"/>
          <w:sz w:val="24"/>
          <w:lang w:eastAsia="zh-Hans"/>
        </w:rPr>
        <w:t>包括基础数据统计，如学生人数、班级数量、章节数等；课堂活动报告，记录并允许导出所有课堂活动详情；学情分析，涵盖学习次数、完成进度、成绩分布等；视频观看行为统计，追踪学员的视频观看习惯；学生成绩管理，展示成绩分布并提供预警机制；学习进度跟踪，为每个学员建立学习画像，监控任务完成情况和参与度；以及学习行为监控，记录并分析学员行为，设置监控条件，对异常行为进行提醒和处理。这些功能共同构成了一个强大的教学支持系统，帮助教师优化教学策略，提高教学质量，同时为学生提供个性化的学习支持。</w:t>
      </w:r>
    </w:p>
    <w:p w14:paraId="0083F1F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186" w:name="_Toc561624815"/>
      <w:bookmarkStart w:id="187" w:name="_Toc563057876"/>
      <w:bookmarkStart w:id="188" w:name="_Toc981165704"/>
      <w:bookmarkStart w:id="189" w:name="_Toc414217100"/>
      <w:bookmarkStart w:id="190" w:name="_Toc1015481098"/>
      <w:bookmarkStart w:id="191" w:name="_Toc94173345"/>
      <w:bookmarkStart w:id="192" w:name="_Toc1390855845"/>
      <w:r>
        <w:rPr>
          <w:rFonts w:hint="eastAsia" w:ascii="仿宋" w:hAnsi="仿宋" w:eastAsia="仿宋" w:cs="仿宋"/>
          <w:sz w:val="24"/>
          <w:lang w:val="en-US" w:eastAsia="zh-CN"/>
        </w:rPr>
        <w:t>4.4教学资源管理</w:t>
      </w:r>
      <w:bookmarkEnd w:id="186"/>
      <w:bookmarkEnd w:id="187"/>
      <w:bookmarkEnd w:id="188"/>
      <w:bookmarkEnd w:id="189"/>
      <w:bookmarkEnd w:id="190"/>
      <w:bookmarkEnd w:id="191"/>
      <w:bookmarkEnd w:id="192"/>
    </w:p>
    <w:p w14:paraId="186D726B">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教学资源管理模块是一个多功能的教育资源库，旨在为教师提供便捷的资源上传、管理、共享和推荐服务。它不仅支持多种格式和来源的教学资料的整合，而且提供了灵活的权限设置和回收站功能，确保教学资源的有效利用和安全存储。此外，通过教材教参和推荐视频的功能，教师可以丰富课程内容，促进学生的深入学习。整体而言，该模块通过高效的资源管理和便捷的资源共享，极大地提升了教学资源的利用效率和教学的互动性。</w:t>
      </w:r>
      <w:bookmarkStart w:id="193" w:name="_Toc1024982058"/>
      <w:bookmarkStart w:id="194" w:name="_Toc2000198340"/>
      <w:bookmarkStart w:id="195" w:name="_Toc1080921514"/>
      <w:bookmarkStart w:id="196" w:name="_Toc311549853"/>
      <w:bookmarkStart w:id="197" w:name="_Toc1142705763"/>
      <w:bookmarkStart w:id="198" w:name="_Toc1300578735"/>
    </w:p>
    <w:p w14:paraId="4A40C583">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199" w:name="_Toc2072545462"/>
      <w:r>
        <w:rPr>
          <w:rFonts w:hint="eastAsia" w:ascii="仿宋" w:hAnsi="仿宋" w:eastAsia="仿宋" w:cs="仿宋"/>
          <w:sz w:val="24"/>
          <w:lang w:val="en-US" w:eastAsia="zh-CN"/>
        </w:rPr>
        <w:t>4.5教学互动</w:t>
      </w:r>
      <w:bookmarkEnd w:id="193"/>
      <w:bookmarkEnd w:id="194"/>
      <w:bookmarkEnd w:id="195"/>
      <w:bookmarkEnd w:id="196"/>
      <w:bookmarkEnd w:id="197"/>
      <w:bookmarkEnd w:id="198"/>
      <w:bookmarkEnd w:id="199"/>
    </w:p>
    <w:p w14:paraId="4F6C81F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通过作业、测验与考试、讨论等功能旨在增强教学互动、提升学习成效。教师能够灵活创建和发布作业，实施个性化的批阅和反馈，并通过防作弊功能确保学术诚信。测验与考试功能支持随机组卷、安全监控和多种考试策略，同时提供详尽的统计分析帮助教师评估学生的学习情况。讨论区功能促进了师生间的交流与合作，为学生提供了一个自由讨论和思想碰撞的空间，同时教师可以有效地引导和管理讨论过程，确保讨论的质量和秩序。</w:t>
      </w:r>
    </w:p>
    <w:p w14:paraId="76F99A0E">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200" w:name="_Toc1515745072"/>
      <w:bookmarkStart w:id="201" w:name="_Toc1460473137"/>
      <w:bookmarkStart w:id="202" w:name="_Toc1252557770"/>
      <w:bookmarkStart w:id="203" w:name="_Toc1086825494"/>
      <w:bookmarkStart w:id="204" w:name="_Toc1052952900"/>
      <w:bookmarkStart w:id="205" w:name="_Toc770142954"/>
      <w:bookmarkStart w:id="206" w:name="_Toc2060369891"/>
      <w:r>
        <w:rPr>
          <w:rFonts w:hint="eastAsia" w:ascii="仿宋" w:hAnsi="仿宋" w:eastAsia="仿宋" w:cs="仿宋"/>
          <w:sz w:val="24"/>
          <w:lang w:val="en-US" w:eastAsia="zh-CN"/>
        </w:rPr>
        <w:t>5.直播系统</w:t>
      </w:r>
      <w:bookmarkEnd w:id="200"/>
      <w:bookmarkEnd w:id="201"/>
      <w:bookmarkEnd w:id="202"/>
      <w:bookmarkEnd w:id="203"/>
      <w:bookmarkEnd w:id="204"/>
      <w:bookmarkEnd w:id="205"/>
      <w:bookmarkEnd w:id="206"/>
    </w:p>
    <w:p w14:paraId="78D68863">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lang w:eastAsia="zh-Hans"/>
        </w:rPr>
      </w:pPr>
      <w:r>
        <w:rPr>
          <w:rFonts w:hint="eastAsia" w:ascii="仿宋" w:hAnsi="仿宋" w:eastAsia="仿宋" w:cs="仿宋"/>
          <w:sz w:val="24"/>
          <w:lang w:val="en-US" w:eastAsia="zh-Hans"/>
        </w:rPr>
        <w:t>直播系统</w:t>
      </w:r>
      <w:r>
        <w:rPr>
          <w:rFonts w:hint="eastAsia" w:ascii="仿宋" w:hAnsi="仿宋" w:eastAsia="仿宋" w:cs="仿宋"/>
          <w:sz w:val="24"/>
          <w:lang w:eastAsia="zh-Hans"/>
        </w:rPr>
        <w:t>包括功能丰富的直播后台，允许管理员新建或删除直播，查看直播链接和二维码，监控观看统计，设置回看开始时间，以及执行禁言和禁止转发等操作。系统支持多终端观看，包括网页、APP和微信，同时提供专属邀请码和二维码扫码登录，增强用户的观看便利性和直播的安全性。直播内容可以</w:t>
      </w:r>
      <w:r>
        <w:rPr>
          <w:rFonts w:hint="eastAsia" w:ascii="仿宋" w:hAnsi="仿宋" w:eastAsia="仿宋" w:cs="仿宋"/>
          <w:sz w:val="24"/>
        </w:rPr>
        <w:t>直接关联教学课程</w:t>
      </w:r>
      <w:r>
        <w:rPr>
          <w:rFonts w:hint="eastAsia" w:ascii="仿宋" w:hAnsi="仿宋" w:eastAsia="仿宋" w:cs="仿宋"/>
          <w:sz w:val="24"/>
          <w:lang w:eastAsia="zh-Hans"/>
        </w:rPr>
        <w:t>，方便用户通过课程章节直接进入直播，实现课程内容的无缝衔接。此外，直播视频支持不限次数的回看，可设置禁止回看，或导出为独立的mp4视频文件，同时支持实名账号登录和评论互动，满足直播、点播和边看边聊的需求。 在直播客户端，系统支持多种文件格式的教学课件，允许实时板书批注，查看用户列表和在线人数，以及进行踢出和禁言操作。答题模式支持判断题和多选题，实时统计答题数据。还支持摄像头、桌面共享和多媒体播放，提供丰富的参数配置。结束后可选择是否允许回看，同时支持查看和下载直播记录，为培训平台提供了一个互动性强、功能全面、管理便捷的直播教学环境。</w:t>
      </w:r>
    </w:p>
    <w:p w14:paraId="03D1873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207" w:name="_Toc1061240258"/>
      <w:bookmarkStart w:id="208" w:name="_Toc1918571884"/>
      <w:bookmarkStart w:id="209" w:name="_Toc971181118"/>
      <w:bookmarkStart w:id="210" w:name="_Toc1927659923"/>
      <w:bookmarkStart w:id="211" w:name="_Toc683442744"/>
      <w:bookmarkStart w:id="212" w:name="_Toc504912357"/>
      <w:bookmarkStart w:id="213" w:name="_Toc515559076"/>
      <w:r>
        <w:rPr>
          <w:rFonts w:hint="eastAsia" w:ascii="仿宋" w:hAnsi="仿宋" w:eastAsia="仿宋" w:cs="仿宋"/>
          <w:sz w:val="24"/>
          <w:lang w:val="en-US" w:eastAsia="zh-CN"/>
        </w:rPr>
        <w:t>6.在线课堂</w:t>
      </w:r>
      <w:bookmarkEnd w:id="207"/>
      <w:bookmarkEnd w:id="208"/>
      <w:bookmarkEnd w:id="209"/>
      <w:bookmarkEnd w:id="210"/>
      <w:bookmarkEnd w:id="211"/>
      <w:bookmarkEnd w:id="212"/>
      <w:bookmarkEnd w:id="213"/>
    </w:p>
    <w:p w14:paraId="5B3C0085">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bookmarkStart w:id="214" w:name="_Toc1188754326"/>
      <w:bookmarkStart w:id="215" w:name="_Toc789745213"/>
      <w:bookmarkStart w:id="216" w:name="_Toc490760015"/>
      <w:bookmarkStart w:id="217" w:name="_Toc342319679"/>
      <w:bookmarkStart w:id="218" w:name="_Toc1057957756"/>
      <w:r>
        <w:rPr>
          <w:rFonts w:hint="eastAsia" w:ascii="仿宋" w:hAnsi="仿宋" w:eastAsia="仿宋" w:cs="仿宋"/>
          <w:sz w:val="24"/>
        </w:rPr>
        <w:t>在线</w:t>
      </w:r>
      <w:r>
        <w:rPr>
          <w:rFonts w:hint="eastAsia" w:ascii="仿宋" w:hAnsi="仿宋" w:eastAsia="仿宋" w:cs="仿宋"/>
          <w:sz w:val="24"/>
          <w:lang w:eastAsia="zh-Hans"/>
        </w:rPr>
        <w:t>课堂是一款基于集团</w:t>
      </w:r>
      <w:r>
        <w:rPr>
          <w:rFonts w:hint="eastAsia" w:ascii="仿宋" w:hAnsi="仿宋" w:eastAsia="仿宋" w:cs="仿宋"/>
          <w:sz w:val="24"/>
        </w:rPr>
        <w:t>十</w:t>
      </w:r>
      <w:r>
        <w:rPr>
          <w:rFonts w:hint="eastAsia" w:ascii="仿宋" w:hAnsi="仿宋" w:eastAsia="仿宋" w:cs="仿宋"/>
          <w:sz w:val="24"/>
          <w:lang w:eastAsia="zh-Hans"/>
        </w:rPr>
        <w:t>余年网络教学经验积累打造的高清流畅、便捷易用、安全可靠的云视频线上课堂产品，整合了线上会议与堂课的各项互动应用。让师生可以随时随地开启线上课堂，全方位满足不同场景下的线上课堂直播需求，让教师和学生在线上就可以体验到实体课堂的授课场景。可以使用</w:t>
      </w:r>
      <w:r>
        <w:rPr>
          <w:rFonts w:hint="eastAsia" w:ascii="仿宋" w:hAnsi="仿宋" w:eastAsia="仿宋" w:cs="仿宋"/>
          <w:sz w:val="24"/>
        </w:rPr>
        <w:t>在线</w:t>
      </w:r>
      <w:r>
        <w:rPr>
          <w:rFonts w:hint="eastAsia" w:ascii="仿宋" w:hAnsi="仿宋" w:eastAsia="仿宋" w:cs="仿宋"/>
          <w:sz w:val="24"/>
          <w:lang w:eastAsia="zh-Hans"/>
        </w:rPr>
        <w:t>课堂进行远程音视频的课堂、会议、在线协作、课堂控制、课堂录制、制定助教、数据管理、回放控制等。</w:t>
      </w:r>
      <w:r>
        <w:rPr>
          <w:rFonts w:hint="eastAsia" w:ascii="仿宋" w:hAnsi="仿宋" w:eastAsia="仿宋" w:cs="仿宋"/>
          <w:sz w:val="24"/>
        </w:rPr>
        <w:t>在线</w:t>
      </w:r>
      <w:r>
        <w:rPr>
          <w:rFonts w:hint="eastAsia" w:ascii="仿宋" w:hAnsi="仿宋" w:eastAsia="仿宋" w:cs="仿宋"/>
          <w:sz w:val="24"/>
          <w:lang w:eastAsia="zh-Hans"/>
        </w:rPr>
        <w:t>课堂覆盖PC端、移动客户端，为学校的线上授课提供更先进更智能的解决方案。</w:t>
      </w:r>
    </w:p>
    <w:bookmarkEnd w:id="214"/>
    <w:bookmarkEnd w:id="215"/>
    <w:bookmarkEnd w:id="216"/>
    <w:bookmarkEnd w:id="217"/>
    <w:bookmarkEnd w:id="218"/>
    <w:p w14:paraId="4166AEB0">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219" w:name="_Toc1242027219"/>
      <w:r>
        <w:rPr>
          <w:rFonts w:hint="eastAsia" w:ascii="仿宋" w:hAnsi="仿宋" w:eastAsia="仿宋" w:cs="仿宋"/>
          <w:sz w:val="24"/>
          <w:lang w:val="en-US" w:eastAsia="zh-CN"/>
        </w:rPr>
        <w:t>7.教师和学</w:t>
      </w:r>
      <w:r>
        <w:rPr>
          <w:rFonts w:hint="eastAsia" w:ascii="仿宋" w:hAnsi="仿宋" w:eastAsia="仿宋" w:cs="仿宋"/>
          <w:sz w:val="24"/>
          <w:lang w:val="en-US" w:eastAsia="zh-Hans"/>
        </w:rPr>
        <w:t>员</w:t>
      </w:r>
      <w:r>
        <w:rPr>
          <w:rFonts w:hint="eastAsia" w:ascii="仿宋" w:hAnsi="仿宋" w:eastAsia="仿宋" w:cs="仿宋"/>
          <w:sz w:val="24"/>
          <w:lang w:val="en-US" w:eastAsia="zh-CN"/>
        </w:rPr>
        <w:t>空间</w:t>
      </w:r>
      <w:bookmarkEnd w:id="219"/>
    </w:p>
    <w:p w14:paraId="23CA2B0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为教师和学员提供个性化的空间配置、丰富的教学管理工具和便捷的通用功能。通过这些功能，教师可以高效地管理教学资源和班级，而学员则可以方便地进行课程学习和个人管理，同时平台的通用功能增强了用户之间的互动和协作。</w:t>
      </w:r>
    </w:p>
    <w:p w14:paraId="633C431A">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220" w:name="_Toc262915739"/>
      <w:bookmarkStart w:id="221" w:name="_Toc384711145"/>
      <w:bookmarkStart w:id="222" w:name="_Toc2374656"/>
      <w:bookmarkStart w:id="223" w:name="_Toc780748927"/>
      <w:bookmarkStart w:id="224" w:name="_Toc1210420893"/>
      <w:bookmarkStart w:id="225" w:name="_Toc1629089488"/>
      <w:bookmarkStart w:id="226" w:name="_Toc627238653"/>
      <w:r>
        <w:rPr>
          <w:rFonts w:hint="eastAsia" w:ascii="仿宋" w:hAnsi="仿宋" w:eastAsia="仿宋" w:cs="仿宋"/>
          <w:sz w:val="24"/>
          <w:lang w:val="en-US" w:eastAsia="zh-CN"/>
        </w:rPr>
        <w:t>7.1空间配置</w:t>
      </w:r>
      <w:bookmarkEnd w:id="220"/>
      <w:bookmarkEnd w:id="221"/>
      <w:bookmarkEnd w:id="222"/>
      <w:bookmarkEnd w:id="223"/>
      <w:bookmarkEnd w:id="224"/>
      <w:bookmarkEnd w:id="225"/>
      <w:bookmarkEnd w:id="226"/>
    </w:p>
    <w:p w14:paraId="2ED09C7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用户空间提供全面的自定义功能，允许自由设置界面样式、配色方案、导航栏属性，并支持个性化页面布局、菜单管理和角色特定配置。</w:t>
      </w:r>
    </w:p>
    <w:p w14:paraId="58672F00">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227" w:name="_Toc431360620"/>
      <w:r>
        <w:rPr>
          <w:rFonts w:hint="eastAsia" w:ascii="仿宋" w:hAnsi="仿宋" w:eastAsia="仿宋" w:cs="仿宋"/>
          <w:sz w:val="24"/>
          <w:lang w:val="en-US" w:eastAsia="zh-CN"/>
        </w:rPr>
        <w:t>7.2</w:t>
      </w:r>
      <w:r>
        <w:rPr>
          <w:rFonts w:hint="eastAsia" w:ascii="仿宋" w:hAnsi="仿宋" w:eastAsia="仿宋" w:cs="仿宋"/>
          <w:sz w:val="24"/>
          <w:lang w:val="en-US" w:eastAsia="zh-Hans"/>
        </w:rPr>
        <w:t>培训教师空间应用</w:t>
      </w:r>
      <w:bookmarkEnd w:id="227"/>
    </w:p>
    <w:p w14:paraId="1564454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提供“我教的课”、“建课审核”、“我的培训班”等模块，支持教师进行课程管理、班级管理、审核管理、个人资料管理、直播管理、问卷评价等。</w:t>
      </w:r>
    </w:p>
    <w:p w14:paraId="4CC2B9A0">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228" w:name="_Toc2120631715"/>
      <w:bookmarkStart w:id="229" w:name="_Toc114931102"/>
      <w:bookmarkStart w:id="230" w:name="_Toc2142847012"/>
      <w:bookmarkStart w:id="231" w:name="_Toc1666631973"/>
      <w:bookmarkStart w:id="232" w:name="_Toc2016064443"/>
      <w:bookmarkStart w:id="233" w:name="_Toc187528814"/>
      <w:bookmarkStart w:id="234" w:name="_Toc2045972881"/>
      <w:r>
        <w:rPr>
          <w:rFonts w:hint="eastAsia" w:ascii="仿宋" w:hAnsi="仿宋" w:eastAsia="仿宋" w:cs="仿宋"/>
          <w:sz w:val="24"/>
          <w:lang w:val="en-US" w:eastAsia="zh-CN"/>
        </w:rPr>
        <w:t>7.3</w:t>
      </w:r>
      <w:r>
        <w:rPr>
          <w:rFonts w:hint="eastAsia" w:ascii="仿宋" w:hAnsi="仿宋" w:eastAsia="仿宋" w:cs="仿宋"/>
          <w:sz w:val="24"/>
          <w:lang w:val="en-US" w:eastAsia="zh-Hans"/>
        </w:rPr>
        <w:t>培训学员空间应用</w:t>
      </w:r>
      <w:bookmarkEnd w:id="228"/>
    </w:p>
    <w:p w14:paraId="15628A2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包括“我的课程”、“我的培训班”、“我的信息”、“我的成绩”等模块，支持学员进行课程学习、成绩查询、个人信息管理、购物车结算、订单管理、证书获取等。</w:t>
      </w:r>
    </w:p>
    <w:bookmarkEnd w:id="229"/>
    <w:bookmarkEnd w:id="230"/>
    <w:bookmarkEnd w:id="231"/>
    <w:bookmarkEnd w:id="232"/>
    <w:bookmarkEnd w:id="233"/>
    <w:bookmarkEnd w:id="234"/>
    <w:p w14:paraId="5AE624BE">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235" w:name="_Toc1818628393"/>
      <w:bookmarkStart w:id="236" w:name="_Toc1059232661"/>
      <w:bookmarkStart w:id="237" w:name="_Toc1158055203"/>
      <w:bookmarkStart w:id="238" w:name="_Toc998111135"/>
      <w:bookmarkStart w:id="239" w:name="_Toc1438266749"/>
      <w:bookmarkStart w:id="240" w:name="_Toc1528970494"/>
      <w:bookmarkStart w:id="241" w:name="_Toc1454362390"/>
      <w:r>
        <w:rPr>
          <w:rFonts w:hint="eastAsia" w:ascii="仿宋" w:hAnsi="仿宋" w:eastAsia="仿宋" w:cs="仿宋"/>
          <w:sz w:val="24"/>
          <w:lang w:val="en-US" w:eastAsia="zh-CN"/>
        </w:rPr>
        <w:t>7.4</w:t>
      </w:r>
      <w:r>
        <w:rPr>
          <w:rFonts w:hint="eastAsia" w:ascii="仿宋" w:hAnsi="仿宋" w:eastAsia="仿宋" w:cs="仿宋"/>
          <w:sz w:val="24"/>
          <w:lang w:val="en-US" w:eastAsia="zh-Hans"/>
        </w:rPr>
        <w:t>通用功能</w:t>
      </w:r>
      <w:bookmarkEnd w:id="235"/>
      <w:bookmarkEnd w:id="236"/>
      <w:bookmarkEnd w:id="237"/>
      <w:bookmarkEnd w:id="238"/>
      <w:bookmarkEnd w:id="239"/>
      <w:bookmarkEnd w:id="240"/>
      <w:bookmarkEnd w:id="241"/>
    </w:p>
    <w:p w14:paraId="1CAEBDF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bookmarkStart w:id="242" w:name="_Toc617772656"/>
      <w:bookmarkStart w:id="243" w:name="_Toc789504060"/>
      <w:bookmarkStart w:id="244" w:name="_Toc1259079228"/>
      <w:bookmarkStart w:id="245" w:name="_Toc2031383444"/>
      <w:bookmarkStart w:id="246" w:name="_Toc809818576"/>
      <w:bookmarkStart w:id="247" w:name="_Toc873319811"/>
      <w:r>
        <w:rPr>
          <w:rFonts w:hint="eastAsia" w:ascii="仿宋" w:hAnsi="仿宋" w:eastAsia="仿宋" w:cs="仿宋"/>
          <w:sz w:val="24"/>
          <w:lang w:eastAsia="zh-Hans"/>
        </w:rPr>
        <w:t>提供收件箱、云盘、笔记、小组讨论等通用功能，支持通知发送、文件存储与共享、实时协作笔记、小组讨论和资料共享。</w:t>
      </w:r>
    </w:p>
    <w:p w14:paraId="4544D06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248" w:name="_Toc552653400"/>
      <w:r>
        <w:rPr>
          <w:rFonts w:hint="eastAsia" w:ascii="仿宋" w:hAnsi="仿宋" w:eastAsia="仿宋" w:cs="仿宋"/>
          <w:sz w:val="24"/>
          <w:lang w:val="en-US" w:eastAsia="zh-CN"/>
        </w:rPr>
        <w:t>8.</w:t>
      </w:r>
      <w:r>
        <w:rPr>
          <w:rFonts w:hint="eastAsia" w:ascii="仿宋" w:hAnsi="仿宋" w:eastAsia="仿宋" w:cs="仿宋"/>
          <w:sz w:val="24"/>
          <w:lang w:val="en-US" w:eastAsia="zh-Hans"/>
        </w:rPr>
        <w:t>移动</w:t>
      </w:r>
      <w:bookmarkEnd w:id="242"/>
      <w:bookmarkEnd w:id="243"/>
      <w:bookmarkEnd w:id="244"/>
      <w:bookmarkEnd w:id="245"/>
      <w:bookmarkEnd w:id="246"/>
      <w:bookmarkEnd w:id="247"/>
      <w:r>
        <w:rPr>
          <w:rFonts w:hint="eastAsia" w:ascii="仿宋" w:hAnsi="仿宋" w:eastAsia="仿宋" w:cs="仿宋"/>
          <w:sz w:val="24"/>
          <w:lang w:val="en-US" w:eastAsia="zh-Hans"/>
        </w:rPr>
        <w:t>端应用平台</w:t>
      </w:r>
      <w:bookmarkEnd w:id="248"/>
    </w:p>
    <w:p w14:paraId="1BA3057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具备移动客户端，支持iOS和Android操作系统，用于手机、Pad等智能移动终端，实现移动教学。PC端与移动端的学习进度保持同步，学员在任何终端上，都可以实现学习记录的持续性，系统也可对终端的学习行为进行监控。</w:t>
      </w:r>
    </w:p>
    <w:p w14:paraId="4C8E9F77">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支持对接微信公众号，提供一系列定制化</w:t>
      </w:r>
      <w:r>
        <w:rPr>
          <w:rFonts w:hint="eastAsia" w:ascii="仿宋" w:hAnsi="仿宋" w:eastAsia="仿宋" w:cs="仿宋"/>
          <w:sz w:val="24"/>
        </w:rPr>
        <w:t>功能</w:t>
      </w:r>
      <w:r>
        <w:rPr>
          <w:rFonts w:hint="eastAsia" w:ascii="仿宋" w:hAnsi="仿宋" w:eastAsia="仿宋" w:cs="仿宋"/>
          <w:sz w:val="24"/>
          <w:lang w:eastAsia="zh-Hans"/>
        </w:rPr>
        <w:t>和安全设置，允许用户自定义公众号H5站点的模块、栏目内容、轮播图、站点头部以及访问权限，并支持微信授权和公众号模板消息对接，以增强用户体验并保障平台的安全性和个性化需求。</w:t>
      </w:r>
    </w:p>
    <w:p w14:paraId="593A5EA4">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249" w:name="_Toc1982819879"/>
      <w:bookmarkStart w:id="250" w:name="_Toc578920525"/>
      <w:bookmarkStart w:id="251" w:name="_Toc2016935793"/>
      <w:bookmarkStart w:id="252" w:name="_Toc1969079794"/>
      <w:bookmarkStart w:id="253" w:name="_Toc40727458"/>
      <w:bookmarkStart w:id="254" w:name="_Toc2040765254"/>
      <w:bookmarkStart w:id="255" w:name="_Toc766523302"/>
      <w:r>
        <w:rPr>
          <w:rFonts w:hint="eastAsia" w:ascii="仿宋" w:hAnsi="仿宋" w:eastAsia="仿宋" w:cs="仿宋"/>
          <w:sz w:val="24"/>
          <w:lang w:val="en-US" w:eastAsia="zh-CN"/>
        </w:rPr>
        <w:t>8.1</w:t>
      </w:r>
      <w:r>
        <w:rPr>
          <w:rFonts w:hint="eastAsia" w:ascii="仿宋" w:hAnsi="仿宋" w:eastAsia="仿宋" w:cs="仿宋"/>
          <w:sz w:val="24"/>
          <w:lang w:val="en-US" w:eastAsia="zh-Hans"/>
        </w:rPr>
        <w:t>移动端首页配置</w:t>
      </w:r>
      <w:bookmarkEnd w:id="249"/>
      <w:bookmarkEnd w:id="250"/>
      <w:bookmarkEnd w:id="251"/>
      <w:bookmarkEnd w:id="252"/>
      <w:bookmarkEnd w:id="253"/>
      <w:bookmarkEnd w:id="254"/>
      <w:bookmarkEnd w:id="255"/>
    </w:p>
    <w:p w14:paraId="5721016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val="en-US" w:eastAsia="zh-Hans"/>
        </w:rPr>
        <w:t>支持自定义设置移动端首页名称，配置首页应用，首页应用支持通过微服务应用引擎生成，也支持配置</w:t>
      </w:r>
      <w:r>
        <w:rPr>
          <w:rFonts w:hint="eastAsia" w:ascii="仿宋" w:hAnsi="仿宋" w:eastAsia="仿宋" w:cs="仿宋"/>
          <w:sz w:val="24"/>
          <w:lang w:val="en-US" w:eastAsia="zh-CN"/>
        </w:rPr>
        <w:t>pc</w:t>
      </w:r>
      <w:r>
        <w:rPr>
          <w:rFonts w:hint="eastAsia" w:ascii="仿宋" w:hAnsi="仿宋" w:eastAsia="仿宋" w:cs="仿宋"/>
          <w:sz w:val="24"/>
          <w:lang w:val="en-US" w:eastAsia="zh-Hans"/>
        </w:rPr>
        <w:t>端对应应用；提供不少于3种首页面模板供其选择使用；支持自定义首页布局，提供九种布局样式。在布局中，支持添加管理和教学所需要的应用模块。还可以通过拖拽方式嵌入基础应用如：轮播图</w:t>
      </w:r>
      <w:r>
        <w:rPr>
          <w:rFonts w:hint="eastAsia" w:ascii="仿宋" w:hAnsi="仿宋" w:eastAsia="仿宋" w:cs="仿宋"/>
          <w:sz w:val="24"/>
          <w:lang w:eastAsia="zh-Hans"/>
        </w:rPr>
        <w:t>、搜索、多图列表等应用，对应用进行详细的设置，以实现我校个性化移动门户展示需要。</w:t>
      </w:r>
    </w:p>
    <w:p w14:paraId="2F4C999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bookmarkStart w:id="256" w:name="_Toc364987444"/>
      <w:bookmarkStart w:id="257" w:name="_Toc81610826"/>
      <w:bookmarkStart w:id="258" w:name="_Toc1593462289"/>
      <w:bookmarkStart w:id="259" w:name="_Toc1675383906"/>
      <w:bookmarkStart w:id="260" w:name="_Toc1354174937"/>
      <w:bookmarkStart w:id="261" w:name="_Toc1514569185"/>
      <w:bookmarkStart w:id="262" w:name="_Toc1816342765"/>
      <w:r>
        <w:rPr>
          <w:rFonts w:hint="eastAsia" w:ascii="仿宋" w:hAnsi="仿宋" w:eastAsia="仿宋" w:cs="仿宋"/>
          <w:sz w:val="24"/>
          <w:lang w:val="en-US" w:eastAsia="zh-CN"/>
        </w:rPr>
        <w:t>8.2</w:t>
      </w:r>
      <w:r>
        <w:rPr>
          <w:rFonts w:hint="eastAsia" w:ascii="仿宋" w:hAnsi="仿宋" w:eastAsia="仿宋" w:cs="仿宋"/>
          <w:sz w:val="24"/>
          <w:lang w:val="en-US" w:eastAsia="zh-Hans"/>
        </w:rPr>
        <w:t>培训移动端</w:t>
      </w:r>
      <w:bookmarkEnd w:id="256"/>
      <w:bookmarkEnd w:id="257"/>
      <w:bookmarkEnd w:id="258"/>
      <w:bookmarkEnd w:id="259"/>
      <w:bookmarkEnd w:id="260"/>
      <w:bookmarkEnd w:id="261"/>
      <w:bookmarkEnd w:id="262"/>
    </w:p>
    <w:p w14:paraId="37EDA66F">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r>
        <w:rPr>
          <w:rFonts w:hint="eastAsia" w:ascii="仿宋" w:hAnsi="仿宋" w:eastAsia="仿宋" w:cs="仿宋"/>
          <w:sz w:val="24"/>
          <w:lang w:val="en-US" w:eastAsia="zh-CN"/>
        </w:rPr>
        <w:t>8.2.1</w:t>
      </w:r>
      <w:r>
        <w:rPr>
          <w:rFonts w:hint="eastAsia" w:ascii="仿宋" w:hAnsi="仿宋" w:eastAsia="仿宋" w:cs="仿宋"/>
          <w:sz w:val="24"/>
          <w:lang w:val="en-US" w:eastAsia="zh-Hans"/>
        </w:rPr>
        <w:t>学员端</w:t>
      </w:r>
    </w:p>
    <w:p w14:paraId="439FD56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提供全面的个人学习管理功能，包括课程和培训班信息查看、直播学习、个人信息及证书管理、成绩查询与申诉、订单和购物车处理、问卷参与、签到、请假和审核跟踪，以及餐票使用等。支持直播和单课报名，提供人脸核验确保学习真实性。</w:t>
      </w:r>
    </w:p>
    <w:p w14:paraId="3B6C7778">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Hans"/>
        </w:rPr>
      </w:pPr>
      <w:r>
        <w:rPr>
          <w:rFonts w:hint="eastAsia" w:ascii="仿宋" w:hAnsi="仿宋" w:eastAsia="仿宋" w:cs="仿宋"/>
          <w:sz w:val="24"/>
          <w:lang w:val="en-US" w:eastAsia="zh-CN"/>
        </w:rPr>
        <w:t>8.2.2</w:t>
      </w:r>
      <w:r>
        <w:rPr>
          <w:rFonts w:hint="eastAsia" w:ascii="仿宋" w:hAnsi="仿宋" w:eastAsia="仿宋" w:cs="仿宋"/>
          <w:sz w:val="24"/>
          <w:lang w:val="en-US" w:eastAsia="zh-Hans"/>
        </w:rPr>
        <w:t>教师端</w:t>
      </w:r>
    </w:p>
    <w:p w14:paraId="2562C8D8">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允许教师管理教学活动，如查看人课关系、班级管理、问卷评价、课程建设与审核，以及编辑个人信息。教师可以进行</w:t>
      </w:r>
      <w:r>
        <w:rPr>
          <w:rFonts w:hint="eastAsia" w:ascii="仿宋" w:hAnsi="仿宋" w:eastAsia="仿宋" w:cs="仿宋"/>
          <w:sz w:val="24"/>
        </w:rPr>
        <w:t>移动教学，包括课程教学、发布作业与考试、讨论与互动</w:t>
      </w:r>
      <w:r>
        <w:rPr>
          <w:rFonts w:hint="eastAsia" w:ascii="仿宋" w:hAnsi="仿宋" w:eastAsia="仿宋" w:cs="仿宋"/>
          <w:sz w:val="24"/>
          <w:lang w:eastAsia="zh-Hans"/>
        </w:rPr>
        <w:t>、</w:t>
      </w:r>
      <w:r>
        <w:rPr>
          <w:rFonts w:hint="eastAsia" w:ascii="仿宋" w:hAnsi="仿宋" w:eastAsia="仿宋" w:cs="仿宋"/>
          <w:sz w:val="24"/>
        </w:rPr>
        <w:t>移动直播、移动课堂活动（签到、问答、抢答、投票等教学活动）、</w:t>
      </w:r>
      <w:r>
        <w:rPr>
          <w:rFonts w:hint="eastAsia" w:ascii="仿宋" w:hAnsi="仿宋" w:eastAsia="仿宋" w:cs="仿宋"/>
          <w:sz w:val="24"/>
          <w:lang w:eastAsia="zh-Hans"/>
        </w:rPr>
        <w:t>学员管理、请假管理、</w:t>
      </w:r>
      <w:r>
        <w:rPr>
          <w:rFonts w:hint="eastAsia" w:ascii="仿宋" w:hAnsi="仿宋" w:eastAsia="仿宋" w:cs="仿宋"/>
          <w:sz w:val="24"/>
        </w:rPr>
        <w:t>成绩统计、教学报告</w:t>
      </w:r>
      <w:r>
        <w:rPr>
          <w:rFonts w:hint="eastAsia" w:ascii="仿宋" w:hAnsi="仿宋" w:eastAsia="仿宋" w:cs="仿宋"/>
          <w:sz w:val="24"/>
          <w:lang w:eastAsia="zh-Hans"/>
        </w:rPr>
        <w:t>，以及教学检查。</w:t>
      </w:r>
    </w:p>
    <w:p w14:paraId="79B60CB9">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8.2.3管理端</w:t>
      </w:r>
    </w:p>
    <w:p w14:paraId="18652FE5">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eastAsia="zh-Hans"/>
        </w:rPr>
      </w:pPr>
      <w:r>
        <w:rPr>
          <w:rFonts w:hint="eastAsia" w:ascii="仿宋" w:hAnsi="仿宋" w:eastAsia="仿宋" w:cs="仿宋"/>
          <w:sz w:val="24"/>
          <w:lang w:eastAsia="zh-Hans"/>
        </w:rPr>
        <w:t>为管理员提供项目管理、班级开班与申报、审核列表处理、资料下载和物料管理等功能。支持班级信息的自定义配置，以及实时的班级情况概览。</w:t>
      </w:r>
      <w:bookmarkStart w:id="263" w:name="_Toc200796726"/>
      <w:bookmarkStart w:id="264" w:name="_Toc39930066"/>
      <w:bookmarkStart w:id="265" w:name="_Toc613063955"/>
      <w:bookmarkStart w:id="266" w:name="_Toc474082027"/>
      <w:bookmarkStart w:id="267" w:name="_Toc1246235918"/>
      <w:bookmarkStart w:id="268" w:name="_Toc1018621920"/>
    </w:p>
    <w:bookmarkEnd w:id="263"/>
    <w:bookmarkEnd w:id="264"/>
    <w:bookmarkEnd w:id="265"/>
    <w:bookmarkEnd w:id="266"/>
    <w:bookmarkEnd w:id="267"/>
    <w:bookmarkEnd w:id="268"/>
    <w:p w14:paraId="325EF9A5">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269" w:name="_Toc439008795"/>
      <w:bookmarkStart w:id="270" w:name="_Toc667749802"/>
      <w:bookmarkStart w:id="271" w:name="_Toc339921530"/>
      <w:bookmarkStart w:id="272" w:name="_Toc792809250"/>
      <w:bookmarkStart w:id="273" w:name="_Toc1206994570"/>
      <w:bookmarkStart w:id="274" w:name="_Toc493940176"/>
      <w:bookmarkStart w:id="275" w:name="_Toc1355065623"/>
      <w:r>
        <w:rPr>
          <w:rFonts w:hint="eastAsia" w:ascii="仿宋" w:hAnsi="仿宋" w:eastAsia="仿宋" w:cs="仿宋"/>
          <w:sz w:val="24"/>
          <w:lang w:val="en-US" w:eastAsia="zh-CN"/>
        </w:rPr>
        <w:t>8.2.4其他服务</w:t>
      </w:r>
      <w:bookmarkEnd w:id="269"/>
      <w:bookmarkEnd w:id="270"/>
      <w:bookmarkEnd w:id="271"/>
      <w:bookmarkEnd w:id="272"/>
      <w:bookmarkEnd w:id="273"/>
      <w:bookmarkEnd w:id="274"/>
      <w:bookmarkEnd w:id="275"/>
    </w:p>
    <w:p w14:paraId="759BA01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包括移动笔记、移动阅读、移动云盘、移动通知、移动群聊和移动小组讨论，这些功能支持在线笔记、电子资源阅读、资料共享、实时通讯和话题讨论。</w:t>
      </w:r>
    </w:p>
    <w:p w14:paraId="5FA6BDF5">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bookmarkStart w:id="276" w:name="_Toc2039300484"/>
      <w:bookmarkStart w:id="277" w:name="_Toc1756518762"/>
      <w:bookmarkStart w:id="278" w:name="_Toc500893754"/>
      <w:bookmarkStart w:id="279" w:name="_Toc68104739"/>
      <w:bookmarkStart w:id="280" w:name="_Toc1340458333"/>
      <w:bookmarkStart w:id="281" w:name="_Toc1168393064"/>
      <w:bookmarkStart w:id="282" w:name="_Toc680029553"/>
      <w:r>
        <w:rPr>
          <w:rFonts w:hint="eastAsia" w:ascii="仿宋" w:hAnsi="仿宋" w:eastAsia="仿宋" w:cs="仿宋"/>
          <w:sz w:val="24"/>
          <w:lang w:val="en-US" w:eastAsia="zh-CN"/>
        </w:rPr>
        <w:t>9.在线考试系统</w:t>
      </w:r>
      <w:bookmarkEnd w:id="276"/>
      <w:bookmarkEnd w:id="277"/>
    </w:p>
    <w:p w14:paraId="19E44B1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eastAsia="zh-Hans"/>
        </w:rPr>
        <w:t>在线考试系统是一个全面集成的考试管理平台</w:t>
      </w:r>
      <w:r>
        <w:rPr>
          <w:rFonts w:hint="eastAsia" w:ascii="仿宋" w:hAnsi="仿宋" w:eastAsia="仿宋" w:cs="仿宋"/>
          <w:sz w:val="24"/>
          <w:lang w:eastAsia="zh-CN"/>
        </w:rPr>
        <w:t>、</w:t>
      </w:r>
      <w:r>
        <w:rPr>
          <w:rFonts w:hint="eastAsia" w:ascii="仿宋" w:hAnsi="仿宋" w:eastAsia="仿宋" w:cs="仿宋"/>
          <w:sz w:val="24"/>
        </w:rPr>
        <w:t>支持移动端、客户端以及网页端</w:t>
      </w:r>
      <w:r>
        <w:rPr>
          <w:rFonts w:hint="eastAsia" w:ascii="仿宋" w:hAnsi="仿宋" w:eastAsia="仿宋" w:cs="仿宋"/>
          <w:sz w:val="24"/>
          <w:lang w:val="en-US" w:eastAsia="zh-CN"/>
        </w:rPr>
        <w:t>等多终端</w:t>
      </w:r>
      <w:r>
        <w:rPr>
          <w:rFonts w:hint="eastAsia" w:ascii="仿宋" w:hAnsi="仿宋" w:eastAsia="仿宋" w:cs="仿宋"/>
          <w:sz w:val="24"/>
        </w:rPr>
        <w:t>考试</w:t>
      </w:r>
      <w:r>
        <w:rPr>
          <w:rFonts w:hint="eastAsia" w:ascii="仿宋" w:hAnsi="仿宋" w:eastAsia="仿宋" w:cs="仿宋"/>
          <w:sz w:val="24"/>
          <w:lang w:eastAsia="zh-CN"/>
        </w:rPr>
        <w:t>。</w:t>
      </w:r>
      <w:r>
        <w:rPr>
          <w:rFonts w:hint="eastAsia" w:ascii="仿宋" w:hAnsi="仿宋" w:eastAsia="仿宋" w:cs="仿宋"/>
          <w:sz w:val="24"/>
          <w:lang w:eastAsia="zh-Hans"/>
        </w:rPr>
        <w:t>它提供从题库构建到考试实施、在线监控、智能阅卷以及详尽的统计分析等一系列工具</w:t>
      </w:r>
      <w:r>
        <w:rPr>
          <w:rFonts w:hint="eastAsia" w:ascii="仿宋" w:hAnsi="仿宋" w:eastAsia="仿宋" w:cs="仿宋"/>
          <w:sz w:val="24"/>
          <w:lang w:eastAsia="zh-CN"/>
        </w:rPr>
        <w:t>，</w:t>
      </w:r>
      <w:r>
        <w:rPr>
          <w:rFonts w:hint="eastAsia" w:ascii="仿宋" w:hAnsi="仿宋" w:eastAsia="仿宋" w:cs="仿宋"/>
          <w:sz w:val="24"/>
          <w:lang w:eastAsia="zh-Hans"/>
        </w:rPr>
        <w:t>该系统允许自定义题库分类，支持多种题型的智能识别，并具备题库加密和一键导出功能，确保了题库的安全性和便捷性。试卷管理功能包括智能和手动组卷，以及试卷的安全封存和审核流程。考试管理涵盖了考生管理、时间设置、防作弊措施如人脸识别和IP限制，以及监考教师的监控功能。在线监考系统能够实时监控考生状态，并提供移动端监考功能，增加了监考的灵活性。阅卷管理简化了评分过程，支持自动批阅和在线批注。此外，人脸识别技术用于提高身份验证的效率，而统计分析工具则提供了考试成绩和知识点掌握情况的深入分析。整体而言，在线考试系统致力于实现考试流程的安全、高效和自动化。</w:t>
      </w:r>
      <w:bookmarkEnd w:id="278"/>
      <w:bookmarkEnd w:id="279"/>
      <w:bookmarkEnd w:id="280"/>
      <w:bookmarkEnd w:id="281"/>
      <w:bookmarkEnd w:id="282"/>
    </w:p>
    <w:p w14:paraId="6069C56C">
      <w:pPr>
        <w:numPr>
          <w:ilvl w:val="0"/>
          <w:numId w:val="2"/>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319CDBFD">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系统稳定性与可靠性</w:t>
      </w:r>
    </w:p>
    <w:p w14:paraId="16460FBD">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平台应具备高可用性，全年系统故障时间不超过0.1%，关键业务模块（如培训管理、在线考试、直播教学等）需支持7×24小时稳定运行。系统应具备完善的容错机制与数据备份策略，确保数据不丢失、业务不中断。</w:t>
      </w:r>
    </w:p>
    <w:p w14:paraId="006C9B35">
      <w:pPr>
        <w:numPr>
          <w:ilvl w:val="0"/>
          <w:numId w:val="0"/>
        </w:numPr>
        <w:spacing w:before="156" w:beforeLines="50" w:line="360" w:lineRule="auto"/>
        <w:ind w:leftChars="0" w:firstLine="480" w:firstLineChars="200"/>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系统性能要求</w:t>
      </w:r>
    </w:p>
    <w:p w14:paraId="7B61EEF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平台应支持高并发访问，单模块并发用户数不低于500人，页面加载时间不超过3秒，视频播放、直播等多媒体服务应具备良好的带宽适配能力，保障流畅体验。</w:t>
      </w:r>
    </w:p>
    <w:p w14:paraId="14BEC510">
      <w:pPr>
        <w:numPr>
          <w:ilvl w:val="0"/>
          <w:numId w:val="0"/>
        </w:numPr>
        <w:spacing w:before="156" w:beforeLines="50" w:line="360" w:lineRule="auto"/>
        <w:ind w:leftChars="0" w:firstLine="480" w:firstLineChars="200"/>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数据安全与隐私保护</w:t>
      </w:r>
    </w:p>
    <w:p w14:paraId="64EE2AC3">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平台应严格遵循国家网络安全法、个人信息保护法等相关法律法规，对用户信息、培训数据、证书信息等进行加密存储与传输。具备完善的权限控制机制，确保不同角色用户仅可访问授权范围内的数据与功能。</w:t>
      </w:r>
    </w:p>
    <w:p w14:paraId="52D16096">
      <w:pPr>
        <w:numPr>
          <w:ilvl w:val="0"/>
          <w:numId w:val="0"/>
        </w:numPr>
        <w:spacing w:before="156" w:beforeLines="50" w:line="360" w:lineRule="auto"/>
        <w:ind w:leftChars="0" w:firstLine="480" w:firstLineChars="200"/>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系统可扩展性与可维护性</w:t>
      </w:r>
    </w:p>
    <w:p w14:paraId="513B06EA">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平台应采用微服务架构，具备良好的扩展能力，支持未来业务模块的增加与迭代。提供完整的日志管理、监控告警、运维工具，便于日常运维与故障排查。</w:t>
      </w:r>
    </w:p>
    <w:p w14:paraId="5543E00D">
      <w:pPr>
        <w:numPr>
          <w:ilvl w:val="0"/>
          <w:numId w:val="0"/>
        </w:numPr>
        <w:spacing w:before="156" w:beforeLines="50" w:line="360" w:lineRule="auto"/>
        <w:ind w:leftChars="0" w:firstLine="480" w:firstLineChars="200"/>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用户操作体验</w:t>
      </w:r>
    </w:p>
    <w:p w14:paraId="0942F963">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平台界面应简洁友好，操作流程符合用户习惯。PC端、移动端、微信端等多终端界面应保持一致的视觉风格与操作逻辑，提升用户使用便捷性与满意度。</w:t>
      </w:r>
    </w:p>
    <w:p w14:paraId="5BD524EA">
      <w:pPr>
        <w:numPr>
          <w:ilvl w:val="0"/>
          <w:numId w:val="0"/>
        </w:numPr>
        <w:spacing w:before="156" w:beforeLines="50" w:line="360" w:lineRule="auto"/>
        <w:ind w:leftChars="0" w:firstLine="480" w:firstLineChars="200"/>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培训与技术支持服务</w:t>
      </w:r>
    </w:p>
    <w:p w14:paraId="18DE4601">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供应商应提供不少于2次的现场专题培训，培训对象包括系统管理员、教师、业务管理人员等。培训内容应涵盖平台使用、常见问题处理、数据管理等方面。提供7×24小时技术支持服务，系统出现重大问题时，应在2小时内响应，24小时内提出解决方案。</w:t>
      </w:r>
    </w:p>
    <w:p w14:paraId="311C85B8">
      <w:pPr>
        <w:numPr>
          <w:ilvl w:val="0"/>
          <w:numId w:val="0"/>
        </w:numPr>
        <w:spacing w:before="156" w:beforeLines="50" w:line="360" w:lineRule="auto"/>
        <w:ind w:leftChars="0" w:firstLine="480" w:firstLineChars="200"/>
        <w:rPr>
          <w:rFonts w:hint="eastAsia" w:ascii="仿宋" w:hAnsi="仿宋" w:eastAsia="仿宋" w:cs="仿宋"/>
          <w:sz w:val="24"/>
        </w:rPr>
      </w:pPr>
      <w:r>
        <w:rPr>
          <w:rFonts w:hint="eastAsia" w:ascii="仿宋" w:hAnsi="仿宋" w:eastAsia="仿宋" w:cs="仿宋"/>
          <w:sz w:val="24"/>
          <w:lang w:val="en-US" w:eastAsia="zh-CN"/>
        </w:rPr>
        <w:t>10.7</w:t>
      </w:r>
      <w:r>
        <w:rPr>
          <w:rFonts w:hint="eastAsia" w:ascii="仿宋" w:hAnsi="仿宋" w:eastAsia="仿宋" w:cs="仿宋"/>
          <w:sz w:val="24"/>
        </w:rPr>
        <w:t>文档规范性</w:t>
      </w:r>
    </w:p>
    <w:p w14:paraId="0EF059F8">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default"/>
          <w:lang w:val="en-US" w:eastAsia="zh-CN"/>
        </w:rPr>
      </w:pPr>
      <w:r>
        <w:rPr>
          <w:rFonts w:hint="eastAsia" w:ascii="仿宋" w:hAnsi="仿宋" w:eastAsia="仿宋" w:cs="仿宋"/>
          <w:sz w:val="24"/>
        </w:rPr>
        <w:t>供应商应提供完整、清晰、规范的技术文档，包括但不限于系统部署手册、管理员操作手册、用户使用手册、接口说明文档等，确保采购方可独立进行日常管理与维护。</w:t>
      </w:r>
    </w:p>
    <w:p w14:paraId="6920CFF6">
      <w:pPr>
        <w:numPr>
          <w:ilvl w:val="0"/>
          <w:numId w:val="0"/>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四、</w:t>
      </w:r>
      <w:r>
        <w:rPr>
          <w:rFonts w:hint="eastAsia" w:ascii="仿宋" w:hAnsi="仿宋" w:eastAsia="仿宋" w:cstheme="minorEastAsia"/>
          <w:b/>
          <w:sz w:val="24"/>
          <w:szCs w:val="24"/>
        </w:rPr>
        <w:t>服务质量检查考核标准和方法：</w:t>
      </w:r>
    </w:p>
    <w:p w14:paraId="78151D68">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 考核标准：</w:t>
      </w:r>
    </w:p>
    <w:p w14:paraId="7CAE7C04">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‌功能完整性：‌ 交付的“全民数字素养与技能提升平台”应完全符合本采购需求表中“四、</w:t>
      </w:r>
      <w:r>
        <w:rPr>
          <w:rFonts w:hint="eastAsia" w:ascii="仿宋" w:hAnsi="仿宋" w:eastAsia="仿宋" w:cs="仿宋"/>
          <w:sz w:val="24"/>
        </w:rPr>
        <w:t>服务内容</w:t>
      </w:r>
      <w:r>
        <w:rPr>
          <w:rFonts w:hint="eastAsia" w:ascii="仿宋" w:hAnsi="仿宋" w:eastAsia="仿宋" w:cs="仿宋"/>
          <w:sz w:val="24"/>
          <w:lang w:val="en-US" w:eastAsia="zh-CN"/>
        </w:rPr>
        <w:t>”列明的所有技术规格参数与功能要求。</w:t>
      </w:r>
    </w:p>
    <w:p w14:paraId="19E5C7F4">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‌数据对接与集成能力：‌ 应完成与学校教务系统、教学平台及智能体平台的标准接口对接，实现基础数据联通，并能顺利上传、调用校内各类专业教学与科研资源。</w:t>
      </w:r>
    </w:p>
    <w:p w14:paraId="7174F95C">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‌培训与文档完备性：‌ 提供完善的系统操作手册、管理员指南等技术文档，并对管理员及教师等相关人员完成专题培训，确保其能够熟练掌握平台的操作与应用技能。</w:t>
      </w:r>
    </w:p>
    <w:p w14:paraId="06BFD69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考核方法：</w:t>
      </w:r>
    </w:p>
    <w:p w14:paraId="37FC2A7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‌文档审查：‌ 验收小组审阅供应商提交的实施方案、技术文档、培训材料等相关文件。</w:t>
      </w:r>
    </w:p>
    <w:p w14:paraId="77CA9D02">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‌功能演示：‌ 供应商现场逐项演示系统各项功能与参数配置，采购方对照需求表逐一核对验证。</w:t>
      </w:r>
    </w:p>
    <w:p w14:paraId="61B90F46">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‌系统测试：‌ 采购方组织人员在测试环境中，对平台的资源上传、项目管理、培训班管理、学员报名等核心功能进行实际操作与验证。</w:t>
      </w:r>
    </w:p>
    <w:p w14:paraId="5F0806B6">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‌数据与集成验证：‌ 验证与教务系统、教学平台及智能体平台的数据对接与功能调用是否正常。</w:t>
      </w:r>
    </w:p>
    <w:p w14:paraId="12001F8D">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‌内容审核：‌ 对供应商提供的培训课程资源进行抽样审核，确保数量与专业性符合合同约定。</w:t>
      </w:r>
    </w:p>
    <w:p w14:paraId="5A3BC14A">
      <w:pPr>
        <w:keepNext w:val="0"/>
        <w:keepLines w:val="0"/>
        <w:pageBreakBefore w:val="0"/>
        <w:widowControl w:val="0"/>
        <w:kinsoku/>
        <w:wordWrap/>
        <w:overflowPunct/>
        <w:topLinePunct w:val="0"/>
        <w:autoSpaceDE/>
        <w:autoSpaceDN/>
        <w:bidi w:val="0"/>
        <w:adjustRightInd/>
        <w:snapToGrid/>
        <w:spacing w:before="156" w:beforeLines="50" w:line="360" w:lineRule="auto"/>
        <w:ind w:firstLine="480" w:firstLineChars="200"/>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‌验收确认：‌ 满足上述要求后，由采购方出具书面项目验收合格报告，双方签字盖章后生效，进入质量保证期。</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五</w:t>
      </w:r>
      <w:r>
        <w:rPr>
          <w:rFonts w:hint="eastAsia" w:ascii="仿宋" w:hAnsi="仿宋" w:eastAsia="仿宋" w:cstheme="minorEastAsia"/>
          <w:b/>
          <w:sz w:val="24"/>
          <w:szCs w:val="24"/>
        </w:rPr>
        <w:t>、投标报价说明</w:t>
      </w:r>
    </w:p>
    <w:p w14:paraId="26FDA341">
      <w:pPr>
        <w:pStyle w:val="43"/>
        <w:spacing w:line="520" w:lineRule="exact"/>
        <w:ind w:firstLine="480"/>
        <w:rPr>
          <w:rFonts w:hint="default" w:ascii="仿宋" w:hAnsi="仿宋" w:eastAsia="仿宋" w:cs="仿宋"/>
          <w:color w:val="333333"/>
          <w:kern w:val="0"/>
          <w:sz w:val="24"/>
          <w:szCs w:val="24"/>
          <w:highlight w:val="none"/>
          <w:lang w:val="en-US" w:eastAsia="zh-CN"/>
        </w:rPr>
      </w:pPr>
      <w:r>
        <w:rPr>
          <w:rFonts w:hint="eastAsia" w:ascii="仿宋" w:hAnsi="仿宋" w:eastAsia="仿宋" w:cs="仿宋"/>
          <w:color w:val="333333"/>
          <w:kern w:val="0"/>
          <w:sz w:val="24"/>
          <w:szCs w:val="24"/>
          <w:highlight w:val="none"/>
        </w:rPr>
        <w:t>本项目招标</w:t>
      </w:r>
      <w:r>
        <w:rPr>
          <w:rFonts w:hint="eastAsia" w:ascii="仿宋" w:hAnsi="仿宋" w:eastAsia="仿宋" w:cs="仿宋"/>
          <w:color w:val="333333"/>
          <w:kern w:val="0"/>
          <w:sz w:val="24"/>
          <w:szCs w:val="24"/>
          <w:highlight w:val="none"/>
          <w:lang w:val="en-US" w:eastAsia="zh-CN"/>
        </w:rPr>
        <w:t>为分项报价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六</w:t>
      </w:r>
      <w:r>
        <w:rPr>
          <w:rFonts w:hint="eastAsia" w:ascii="仿宋" w:hAnsi="仿宋" w:eastAsia="仿宋" w:cstheme="minorEastAsia"/>
          <w:b/>
          <w:sz w:val="24"/>
          <w:szCs w:val="24"/>
        </w:rPr>
        <w:t>、合同价款和履行合同时间服务质量要求</w:t>
      </w:r>
    </w:p>
    <w:p w14:paraId="2E51E6F4">
      <w:pPr>
        <w:snapToGrid w:val="0"/>
        <w:spacing w:line="360" w:lineRule="auto"/>
        <w:ind w:firstLine="482" w:firstLineChars="200"/>
        <w:jc w:val="left"/>
        <w:rPr>
          <w:rFonts w:hint="default" w:ascii="仿宋" w:hAnsi="仿宋" w:eastAsia="仿宋" w:cstheme="minorEastAsia"/>
          <w:b/>
          <w:color w:val="auto"/>
          <w:sz w:val="24"/>
          <w:szCs w:val="24"/>
          <w:lang w:val="en-US" w:eastAsia="zh-CN"/>
        </w:rPr>
      </w:pPr>
      <w:r>
        <w:rPr>
          <w:rFonts w:hint="eastAsia" w:ascii="仿宋" w:hAnsi="仿宋" w:eastAsia="仿宋" w:cstheme="minorEastAsia"/>
          <w:b/>
          <w:color w:val="auto"/>
          <w:sz w:val="24"/>
          <w:szCs w:val="24"/>
          <w:lang w:val="en-US" w:eastAsia="zh-CN"/>
        </w:rPr>
        <w:t>按甲方要求</w:t>
      </w:r>
    </w:p>
    <w:p w14:paraId="60CEE356">
      <w:pPr>
        <w:snapToGrid w:val="0"/>
        <w:spacing w:line="360" w:lineRule="auto"/>
        <w:ind w:firstLine="482" w:firstLineChars="200"/>
        <w:jc w:val="left"/>
        <w:rPr>
          <w:rFonts w:hint="eastAsia" w:ascii="仿宋" w:hAnsi="仿宋" w:eastAsia="仿宋" w:cstheme="minorEastAsia"/>
          <w:b/>
          <w:color w:val="auto"/>
          <w:sz w:val="24"/>
          <w:szCs w:val="24"/>
        </w:rPr>
      </w:pPr>
      <w:r>
        <w:rPr>
          <w:rFonts w:hint="eastAsia" w:ascii="仿宋" w:hAnsi="仿宋" w:eastAsia="仿宋" w:cstheme="minorEastAsia"/>
          <w:b/>
          <w:color w:val="auto"/>
          <w:sz w:val="24"/>
          <w:szCs w:val="24"/>
          <w:lang w:val="en-US" w:eastAsia="zh-CN"/>
        </w:rPr>
        <w:t>六</w:t>
      </w:r>
      <w:r>
        <w:rPr>
          <w:rFonts w:hint="eastAsia" w:ascii="仿宋" w:hAnsi="仿宋" w:eastAsia="仿宋" w:cstheme="minorEastAsia"/>
          <w:b/>
          <w:color w:val="auto"/>
          <w:sz w:val="24"/>
          <w:szCs w:val="24"/>
        </w:rPr>
        <w:t>、付款方式</w:t>
      </w:r>
    </w:p>
    <w:p w14:paraId="07208C7E">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合同签订后，项目完成经甲方</w:t>
      </w:r>
      <w:r>
        <w:rPr>
          <w:rFonts w:ascii="仿宋" w:hAnsi="仿宋" w:eastAsia="仿宋" w:cstheme="minorEastAsia"/>
          <w:color w:val="auto"/>
          <w:sz w:val="24"/>
          <w:szCs w:val="24"/>
        </w:rPr>
        <w:t>验收合格</w:t>
      </w:r>
      <w:r>
        <w:rPr>
          <w:rFonts w:hint="eastAsia" w:ascii="仿宋" w:hAnsi="仿宋" w:eastAsia="仿宋" w:cstheme="minorEastAsia"/>
          <w:color w:val="auto"/>
          <w:sz w:val="24"/>
          <w:szCs w:val="24"/>
        </w:rPr>
        <w:t>后</w:t>
      </w:r>
      <w:r>
        <w:rPr>
          <w:rFonts w:ascii="仿宋" w:hAnsi="仿宋" w:eastAsia="仿宋" w:cstheme="minorEastAsia"/>
          <w:color w:val="auto"/>
          <w:sz w:val="24"/>
          <w:szCs w:val="24"/>
        </w:rPr>
        <w:t>支付合同总金额的</w:t>
      </w:r>
      <w:r>
        <w:rPr>
          <w:rFonts w:hint="eastAsia" w:ascii="仿宋" w:hAnsi="仿宋" w:eastAsia="仿宋" w:cstheme="minorEastAsia"/>
          <w:color w:val="auto"/>
          <w:sz w:val="24"/>
          <w:szCs w:val="24"/>
        </w:rPr>
        <w:t>100</w:t>
      </w:r>
      <w:r>
        <w:rPr>
          <w:rFonts w:ascii="仿宋" w:hAnsi="仿宋" w:eastAsia="仿宋" w:cstheme="minorEastAsia"/>
          <w:color w:val="auto"/>
          <w:sz w:val="24"/>
          <w:szCs w:val="24"/>
        </w:rPr>
        <w:t>%。</w:t>
      </w:r>
      <w:r>
        <w:rPr>
          <w:rFonts w:hint="eastAsia" w:ascii="仿宋" w:hAnsi="仿宋" w:eastAsia="仿宋" w:cstheme="minorEastAsia"/>
          <w:color w:val="auto"/>
          <w:sz w:val="24"/>
          <w:szCs w:val="24"/>
        </w:rPr>
        <w:t>具体以签订的合同为准。</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七</w:t>
      </w:r>
      <w:r>
        <w:rPr>
          <w:rFonts w:hint="eastAsia" w:ascii="仿宋" w:hAnsi="仿宋" w:eastAsia="仿宋" w:cstheme="minorEastAsia"/>
          <w:b/>
          <w:sz w:val="24"/>
          <w:szCs w:val="24"/>
        </w:rPr>
        <w:t>、其他说明：</w:t>
      </w:r>
    </w:p>
    <w:p w14:paraId="0191A80D">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参与投标的单位中标后须是湖南省</w:t>
      </w:r>
      <w:r>
        <w:rPr>
          <w:rFonts w:hint="eastAsia" w:ascii="仿宋" w:hAnsi="仿宋" w:eastAsia="仿宋" w:cstheme="minorEastAsia"/>
          <w:sz w:val="24"/>
          <w:szCs w:val="24"/>
          <w:lang w:val="en-US" w:eastAsia="zh-CN"/>
        </w:rPr>
        <w:t>乐彩云</w:t>
      </w:r>
      <w:r>
        <w:rPr>
          <w:rFonts w:hint="eastAsia" w:ascii="仿宋" w:hAnsi="仿宋" w:eastAsia="仿宋" w:cstheme="minorEastAsia"/>
          <w:sz w:val="24"/>
          <w:szCs w:val="24"/>
        </w:rPr>
        <w:t>的合格供应商。</w:t>
      </w:r>
    </w:p>
    <w:p w14:paraId="226EA716">
      <w:pPr>
        <w:pStyle w:val="17"/>
        <w:ind w:left="0" w:leftChars="0" w:firstLine="0"/>
        <w:jc w:val="both"/>
        <w:rPr>
          <w:rFonts w:hint="eastAsia" w:ascii="仿宋" w:hAnsi="仿宋" w:eastAsia="仿宋"/>
          <w:b/>
          <w:sz w:val="36"/>
          <w:szCs w:val="36"/>
        </w:rPr>
      </w:pPr>
    </w:p>
    <w:p w14:paraId="223FEA38">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68C6E008">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2.1评审方法：综合评分法，</w:t>
      </w:r>
    </w:p>
    <w:p w14:paraId="1BCFAC0C">
      <w:pPr>
        <w:spacing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2.1.1询比小组专家首先审核各公司资质及是否</w:t>
      </w:r>
      <w:r>
        <w:rPr>
          <w:rFonts w:hint="eastAsia" w:ascii="仿宋" w:hAnsi="仿宋" w:eastAsia="仿宋"/>
          <w:sz w:val="24"/>
          <w:szCs w:val="24"/>
          <w:highlight w:val="none"/>
        </w:rPr>
        <w:t>能够</w:t>
      </w:r>
      <w:r>
        <w:rPr>
          <w:rFonts w:hint="eastAsia" w:ascii="仿宋" w:hAnsi="仿宋" w:eastAsia="仿宋"/>
          <w:sz w:val="24"/>
          <w:szCs w:val="24"/>
          <w:highlight w:val="none"/>
          <w:lang w:val="en-US" w:eastAsia="zh-CN"/>
        </w:rPr>
        <w:t>满足学校服务内容和保证服务质量。</w:t>
      </w:r>
    </w:p>
    <w:p w14:paraId="0D0754AF">
      <w:pPr>
        <w:spacing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2.1.2满足2.2.1之后，专家再根据各公司分项报价的平均值确定学校各项拍摄视频制作的价格，满足2.1.1的各公司，按最终总分从高到低排序，选取前10名供应商作为入围单位。</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default" w:ascii="仿宋" w:hAnsi="仿宋" w:eastAsia="仿宋"/>
          <w:sz w:val="24"/>
          <w:szCs w:val="24"/>
          <w:lang w:val="en-US" w:eastAsia="zh-CN"/>
        </w:rPr>
      </w:pPr>
      <w:r>
        <w:rPr>
          <w:rFonts w:hint="eastAsia" w:ascii="仿宋" w:hAnsi="仿宋" w:eastAsia="仿宋"/>
          <w:sz w:val="24"/>
          <w:szCs w:val="24"/>
        </w:rPr>
        <w:t>3.2最终报价评价。询比小组以</w:t>
      </w:r>
      <w:r>
        <w:rPr>
          <w:rFonts w:hint="eastAsia" w:ascii="仿宋" w:hAnsi="仿宋" w:eastAsia="仿宋"/>
          <w:sz w:val="24"/>
          <w:szCs w:val="24"/>
          <w:lang w:val="en-US" w:eastAsia="zh-CN"/>
        </w:rPr>
        <w:t>各公司分项报价平均值为</w:t>
      </w:r>
      <w:r>
        <w:rPr>
          <w:rFonts w:hint="eastAsia" w:ascii="仿宋" w:hAnsi="仿宋" w:eastAsia="仿宋"/>
          <w:sz w:val="24"/>
          <w:szCs w:val="24"/>
        </w:rPr>
        <w:t>最终</w:t>
      </w:r>
      <w:r>
        <w:rPr>
          <w:rFonts w:hint="eastAsia" w:ascii="仿宋" w:hAnsi="仿宋" w:eastAsia="仿宋"/>
          <w:sz w:val="24"/>
          <w:szCs w:val="24"/>
          <w:lang w:val="en-US" w:eastAsia="zh-CN"/>
        </w:rPr>
        <w:t>签订合同价格。</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1D926F6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w:t>
      </w:r>
      <w:r>
        <w:rPr>
          <w:rFonts w:hint="eastAsia" w:ascii="仿宋" w:hAnsi="仿宋" w:eastAsia="仿宋"/>
          <w:sz w:val="24"/>
          <w:szCs w:val="24"/>
          <w:lang w:val="en-US" w:eastAsia="zh-CN"/>
        </w:rPr>
        <w:t>专家</w:t>
      </w:r>
      <w:r>
        <w:rPr>
          <w:rFonts w:hint="eastAsia" w:ascii="仿宋" w:hAnsi="仿宋" w:eastAsia="仿宋"/>
          <w:sz w:val="24"/>
          <w:szCs w:val="24"/>
        </w:rPr>
        <w:t>应当独立对每个供应商的响应文件进行</w:t>
      </w:r>
      <w:r>
        <w:rPr>
          <w:rFonts w:hint="eastAsia" w:ascii="仿宋" w:hAnsi="仿宋" w:eastAsia="仿宋"/>
          <w:sz w:val="24"/>
          <w:szCs w:val="24"/>
          <w:lang w:val="en-US" w:eastAsia="zh-CN"/>
        </w:rPr>
        <w:t>审核是否满足资质和服务质量</w:t>
      </w:r>
      <w:r>
        <w:rPr>
          <w:rFonts w:hint="eastAsia" w:ascii="仿宋" w:hAnsi="仿宋" w:eastAsia="仿宋"/>
          <w:sz w:val="24"/>
          <w:szCs w:val="24"/>
        </w:rPr>
        <w:t>，</w:t>
      </w:r>
      <w:r>
        <w:rPr>
          <w:rFonts w:hint="eastAsia" w:ascii="仿宋" w:hAnsi="仿宋" w:eastAsia="仿宋"/>
          <w:sz w:val="24"/>
          <w:szCs w:val="24"/>
          <w:lang w:val="en-US" w:eastAsia="zh-CN"/>
        </w:rPr>
        <w:t>再根据各公司分项报价统计平均值。</w:t>
      </w:r>
      <w:r>
        <w:rPr>
          <w:rFonts w:hint="eastAsia" w:ascii="仿宋" w:hAnsi="仿宋" w:eastAsia="仿宋"/>
          <w:sz w:val="24"/>
          <w:szCs w:val="24"/>
        </w:rPr>
        <w:t>按最终总分从高到低排序，选取前10名供应商作为入围单位。</w:t>
      </w:r>
    </w:p>
    <w:p w14:paraId="7B36E7BD">
      <w:pPr>
        <w:pStyle w:val="2"/>
        <w:jc w:val="both"/>
        <w:rPr>
          <w:rFonts w:hint="default"/>
          <w:lang w:val="en-US"/>
        </w:rPr>
      </w:pPr>
    </w:p>
    <w:p w14:paraId="3246A57E">
      <w:pPr>
        <w:spacing w:line="360" w:lineRule="auto"/>
        <w:ind w:firstLine="482" w:firstLineChars="200"/>
        <w:rPr>
          <w:rFonts w:hint="eastAsia" w:ascii="仿宋" w:hAnsi="仿宋" w:eastAsia="仿宋"/>
          <w:b/>
          <w:bCs/>
          <w:sz w:val="24"/>
          <w:szCs w:val="24"/>
        </w:rPr>
      </w:pPr>
      <w:r>
        <w:rPr>
          <w:rFonts w:hint="eastAsia" w:ascii="仿宋" w:hAnsi="仿宋" w:eastAsia="仿宋"/>
          <w:b/>
          <w:bCs/>
          <w:sz w:val="24"/>
          <w:szCs w:val="24"/>
        </w:rPr>
        <w:t>表1   评审因素和标准</w:t>
      </w:r>
    </w:p>
    <w:tbl>
      <w:tblPr>
        <w:tblStyle w:val="18"/>
        <w:tblW w:w="5234" w:type="pct"/>
        <w:tblInd w:w="-45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48"/>
        <w:gridCol w:w="1301"/>
        <w:gridCol w:w="6701"/>
      </w:tblGrid>
      <w:tr w14:paraId="13E3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0" w:hRule="atLeast"/>
        </w:trPr>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F58F">
            <w:pPr>
              <w:keepNext w:val="0"/>
              <w:keepLines w:val="0"/>
              <w:widowControl/>
              <w:suppressLineNumbers w:val="0"/>
              <w:jc w:val="center"/>
              <w:textAlignment w:val="center"/>
              <w:rPr>
                <w:rFonts w:hint="default" w:ascii="黑体" w:hAnsi="黑体" w:eastAsia="黑体" w:cs="黑体"/>
                <w:b/>
                <w:bCs/>
                <w:i w:val="0"/>
                <w:iCs w:val="0"/>
                <w:color w:val="000000"/>
                <w:sz w:val="21"/>
                <w:szCs w:val="21"/>
                <w:highlight w:val="none"/>
                <w:u w:val="none"/>
                <w:lang w:val="en-US" w:eastAsia="zh-CN"/>
              </w:rPr>
            </w:pPr>
            <w:r>
              <w:rPr>
                <w:rFonts w:hint="eastAsia" w:ascii="黑体" w:hAnsi="黑体" w:eastAsia="黑体" w:cs="黑体"/>
                <w:b/>
                <w:bCs/>
                <w:i w:val="0"/>
                <w:iCs w:val="0"/>
                <w:color w:val="000000"/>
                <w:sz w:val="21"/>
                <w:szCs w:val="21"/>
                <w:highlight w:val="none"/>
                <w:u w:val="none"/>
                <w:lang w:val="en-US" w:eastAsia="zh-CN"/>
              </w:rPr>
              <w:t>评分因素</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C6FA9">
            <w:pPr>
              <w:keepNext w:val="0"/>
              <w:keepLines w:val="0"/>
              <w:widowControl/>
              <w:suppressLineNumbers w:val="0"/>
              <w:jc w:val="center"/>
              <w:textAlignment w:val="center"/>
              <w:rPr>
                <w:rFonts w:hint="eastAsia" w:ascii="黑体" w:hAnsi="黑体" w:eastAsia="黑体" w:cs="黑体"/>
                <w:b/>
                <w:bCs/>
                <w:i w:val="0"/>
                <w:iCs w:val="0"/>
                <w:color w:val="000000"/>
                <w:sz w:val="21"/>
                <w:szCs w:val="21"/>
                <w:highlight w:val="none"/>
                <w:u w:val="none"/>
              </w:rPr>
            </w:pPr>
            <w:r>
              <w:rPr>
                <w:rFonts w:hint="eastAsia" w:ascii="黑体" w:hAnsi="黑体" w:eastAsia="黑体" w:cs="黑体"/>
                <w:b/>
                <w:bCs/>
                <w:i w:val="0"/>
                <w:iCs w:val="0"/>
                <w:color w:val="000000"/>
                <w:kern w:val="0"/>
                <w:sz w:val="21"/>
                <w:szCs w:val="21"/>
                <w:highlight w:val="none"/>
                <w:u w:val="none"/>
                <w:lang w:val="en-US" w:eastAsia="zh-CN" w:bidi="ar"/>
              </w:rPr>
              <w:t>评审因素</w:t>
            </w:r>
          </w:p>
        </w:tc>
        <w:tc>
          <w:tcPr>
            <w:tcW w:w="3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DF40">
            <w:pPr>
              <w:keepNext w:val="0"/>
              <w:keepLines w:val="0"/>
              <w:widowControl/>
              <w:suppressLineNumbers w:val="0"/>
              <w:jc w:val="center"/>
              <w:textAlignment w:val="center"/>
              <w:rPr>
                <w:rFonts w:hint="eastAsia" w:ascii="黑体" w:hAnsi="黑体" w:eastAsia="黑体" w:cs="黑体"/>
                <w:b/>
                <w:bCs/>
                <w:i w:val="0"/>
                <w:iCs w:val="0"/>
                <w:color w:val="000000"/>
                <w:sz w:val="21"/>
                <w:szCs w:val="21"/>
                <w:highlight w:val="none"/>
                <w:u w:val="none"/>
              </w:rPr>
            </w:pPr>
            <w:r>
              <w:rPr>
                <w:rFonts w:hint="eastAsia" w:ascii="黑体" w:hAnsi="黑体" w:eastAsia="黑体" w:cs="黑体"/>
                <w:b/>
                <w:bCs/>
                <w:i w:val="0"/>
                <w:iCs w:val="0"/>
                <w:color w:val="000000"/>
                <w:kern w:val="0"/>
                <w:sz w:val="21"/>
                <w:szCs w:val="21"/>
                <w:highlight w:val="none"/>
                <w:u w:val="none"/>
                <w:lang w:val="en-US" w:eastAsia="zh-CN" w:bidi="ar"/>
              </w:rPr>
              <w:t>评审标准</w:t>
            </w:r>
          </w:p>
        </w:tc>
      </w:tr>
      <w:tr w14:paraId="4EB3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60" w:hRule="atLeast"/>
        </w:trPr>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F6860">
            <w:pPr>
              <w:spacing w:line="360" w:lineRule="auto"/>
              <w:rPr>
                <w:rFonts w:hint="eastAsia" w:ascii="仿宋" w:hAnsi="仿宋" w:eastAsia="仿宋"/>
                <w:sz w:val="24"/>
                <w:szCs w:val="24"/>
              </w:rPr>
            </w:pPr>
            <w:r>
              <w:rPr>
                <w:rFonts w:hint="eastAsia" w:ascii="仿宋" w:hAnsi="仿宋" w:eastAsia="仿宋"/>
                <w:sz w:val="24"/>
                <w:szCs w:val="24"/>
              </w:rPr>
              <w:t>报价合理性</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8C362">
            <w:pPr>
              <w:spacing w:line="360" w:lineRule="auto"/>
              <w:rPr>
                <w:rFonts w:hint="eastAsia" w:ascii="仿宋" w:hAnsi="仿宋" w:eastAsia="仿宋"/>
                <w:sz w:val="24"/>
                <w:szCs w:val="24"/>
              </w:rPr>
            </w:pPr>
            <w:r>
              <w:rPr>
                <w:rFonts w:hint="eastAsia" w:ascii="仿宋" w:hAnsi="仿宋" w:eastAsia="仿宋"/>
                <w:sz w:val="24"/>
                <w:szCs w:val="24"/>
                <w:lang w:val="en-US" w:eastAsia="zh-CN"/>
              </w:rPr>
              <w:t>评分标准 （30分）</w:t>
            </w:r>
          </w:p>
        </w:tc>
        <w:tc>
          <w:tcPr>
            <w:tcW w:w="3622" w:type="pct"/>
            <w:tcBorders>
              <w:top w:val="single" w:color="000000" w:sz="4" w:space="0"/>
              <w:left w:val="single" w:color="000000" w:sz="4" w:space="0"/>
              <w:bottom w:val="single" w:color="000000" w:sz="4" w:space="0"/>
              <w:right w:val="single" w:color="000000" w:sz="4" w:space="0"/>
            </w:tcBorders>
            <w:shd w:val="clear" w:color="auto" w:fill="auto"/>
            <w:vAlign w:val="top"/>
          </w:tcPr>
          <w:p w14:paraId="3ECA63B4">
            <w:pPr>
              <w:spacing w:line="360" w:lineRule="auto"/>
              <w:ind w:firstLine="480" w:firstLineChars="200"/>
              <w:rPr>
                <w:rFonts w:hint="eastAsia" w:ascii="仿宋" w:hAnsi="仿宋" w:eastAsia="仿宋"/>
                <w:sz w:val="24"/>
                <w:szCs w:val="24"/>
              </w:rPr>
            </w:pPr>
            <w:r>
              <w:rPr>
                <w:rFonts w:hint="eastAsia" w:ascii="方正黑体_GBK" w:hAnsi="方正黑体_GBK" w:eastAsia="方正黑体_GBK" w:cs="方正黑体_GBK"/>
                <w:sz w:val="24"/>
                <w:szCs w:val="24"/>
              </w:rPr>
              <w:t>以满足采购需求且最低的有效报价为基准价，得满分</w:t>
            </w:r>
            <w:r>
              <w:rPr>
                <w:rFonts w:hint="eastAsia" w:ascii="方正黑体_GBK" w:hAnsi="方正黑体_GBK" w:eastAsia="方正黑体_GBK" w:cs="方正黑体_GBK"/>
                <w:sz w:val="24"/>
                <w:szCs w:val="24"/>
                <w:lang w:val="en-US" w:eastAsia="zh-CN"/>
              </w:rPr>
              <w:t>3</w:t>
            </w:r>
            <w:r>
              <w:rPr>
                <w:rFonts w:hint="eastAsia" w:ascii="方正黑体_GBK" w:hAnsi="方正黑体_GBK" w:eastAsia="方正黑体_GBK" w:cs="方正黑体_GBK"/>
                <w:sz w:val="24"/>
                <w:szCs w:val="24"/>
              </w:rPr>
              <w:t xml:space="preserve">0分。其他供应商的报价得分按公式计算：​得分 = (基准价 / 投标报价) × </w:t>
            </w:r>
            <w:r>
              <w:rPr>
                <w:rFonts w:hint="eastAsia" w:ascii="方正黑体_GBK" w:hAnsi="方正黑体_GBK" w:eastAsia="方正黑体_GBK" w:cs="方正黑体_GBK"/>
                <w:sz w:val="24"/>
                <w:szCs w:val="24"/>
                <w:lang w:val="en-US" w:eastAsia="zh-CN"/>
              </w:rPr>
              <w:t>3</w:t>
            </w:r>
            <w:r>
              <w:rPr>
                <w:rFonts w:hint="eastAsia" w:ascii="方正黑体_GBK" w:hAnsi="方正黑体_GBK" w:eastAsia="方正黑体_GBK" w:cs="方正黑体_GBK"/>
                <w:sz w:val="24"/>
                <w:szCs w:val="24"/>
              </w:rPr>
              <w:t>0。</w:t>
            </w:r>
            <w:r>
              <w:rPr>
                <w:rFonts w:hint="eastAsia" w:ascii="方正黑体_GBK" w:hAnsi="方正黑体_GBK" w:eastAsia="方正黑体_GBK" w:cs="方正黑体_GBK"/>
                <w:sz w:val="24"/>
                <w:szCs w:val="24"/>
                <w:lang w:val="en-US" w:eastAsia="zh-CN"/>
              </w:rPr>
              <w:t>若评审小组认为某报价明显低于成本且可能影响服务质量，应要求其提供书面说明和证明材料。若无法合理说明，该报价视为无效，报价部分得0分。</w:t>
            </w:r>
          </w:p>
        </w:tc>
      </w:tr>
      <w:tr w14:paraId="4BB81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20" w:hRule="atLeast"/>
        </w:trPr>
        <w:tc>
          <w:tcPr>
            <w:tcW w:w="674" w:type="pct"/>
            <w:vMerge w:val="restart"/>
            <w:tcBorders>
              <w:top w:val="single" w:color="000000" w:sz="4" w:space="0"/>
              <w:left w:val="single" w:color="000000" w:sz="4" w:space="0"/>
              <w:right w:val="single" w:color="000000" w:sz="4" w:space="0"/>
            </w:tcBorders>
            <w:shd w:val="clear" w:color="auto" w:fill="auto"/>
            <w:vAlign w:val="center"/>
          </w:tcPr>
          <w:p w14:paraId="1E577D60">
            <w:pPr>
              <w:spacing w:line="360" w:lineRule="auto"/>
              <w:rPr>
                <w:rFonts w:hint="default" w:ascii="仿宋" w:hAnsi="仿宋" w:eastAsia="仿宋"/>
                <w:sz w:val="24"/>
                <w:szCs w:val="24"/>
                <w:lang w:val="en-US"/>
              </w:rPr>
            </w:pPr>
            <w:r>
              <w:rPr>
                <w:rFonts w:hint="eastAsia" w:ascii="仿宋" w:hAnsi="仿宋" w:eastAsia="仿宋"/>
                <w:sz w:val="24"/>
                <w:szCs w:val="24"/>
                <w:lang w:val="en-US" w:eastAsia="zh-CN"/>
              </w:rPr>
              <w:t>技术部分（25分）</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A472">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产品配置及技术参数</w:t>
            </w:r>
            <w:r>
              <w:rPr>
                <w:rFonts w:hint="eastAsia" w:ascii="仿宋" w:hAnsi="仿宋" w:eastAsia="仿宋"/>
                <w:sz w:val="24"/>
                <w:szCs w:val="24"/>
                <w:lang w:eastAsia="zh-CN"/>
              </w:rPr>
              <w:t>（</w:t>
            </w:r>
            <w:r>
              <w:rPr>
                <w:rFonts w:hint="eastAsia" w:ascii="仿宋" w:hAnsi="仿宋" w:eastAsia="仿宋"/>
                <w:sz w:val="24"/>
                <w:szCs w:val="24"/>
                <w:lang w:val="en-US" w:eastAsia="zh-CN"/>
              </w:rPr>
              <w:t>15分）</w:t>
            </w:r>
          </w:p>
        </w:tc>
        <w:tc>
          <w:tcPr>
            <w:tcW w:w="3622" w:type="pct"/>
            <w:tcBorders>
              <w:top w:val="single" w:color="000000" w:sz="4" w:space="0"/>
              <w:left w:val="single" w:color="000000" w:sz="4" w:space="0"/>
              <w:bottom w:val="single" w:color="000000" w:sz="4" w:space="0"/>
              <w:right w:val="single" w:color="000000" w:sz="4" w:space="0"/>
            </w:tcBorders>
            <w:shd w:val="clear" w:color="auto" w:fill="auto"/>
            <w:vAlign w:val="top"/>
          </w:tcPr>
          <w:p w14:paraId="11E3DD94">
            <w:pPr>
              <w:numPr>
                <w:ilvl w:val="0"/>
                <w:numId w:val="3"/>
              </w:numPr>
              <w:adjustRightInd w:val="0"/>
              <w:spacing w:line="360" w:lineRule="atLeast"/>
              <w:ind w:left="0" w:leftChars="0" w:firstLine="480" w:firstLineChars="200"/>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pP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投标人所投产品技术参数完全满足招标文件中所有产品配置及技术参数要求的，计</w:t>
            </w:r>
            <w:r>
              <w:rPr>
                <w:rFonts w:hint="eastAsia" w:ascii="方正黑体_GBK" w:hAnsi="方正黑体_GBK" w:eastAsia="方正黑体_GBK" w:cs="方正黑体_GBK"/>
                <w:color w:val="000000" w:themeColor="text1"/>
                <w:sz w:val="24"/>
                <w:szCs w:val="24"/>
                <w:highlight w:val="none"/>
                <w:lang w:val="en-US" w:eastAsia="zh-CN"/>
                <w14:textFill>
                  <w14:solidFill>
                    <w14:schemeClr w14:val="tx1"/>
                  </w14:solidFill>
                </w14:textFill>
                <w14:ligatures w14:val="none"/>
              </w:rPr>
              <w:t>15</w:t>
            </w: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分。配置不详，技术参数不清，缺或漏项的，有负偏离的，每处扣3分，扣完为止。</w:t>
            </w:r>
          </w:p>
          <w:p w14:paraId="6A84B507">
            <w:pPr>
              <w:numPr>
                <w:numId w:val="0"/>
              </w:numPr>
              <w:spacing w:line="360" w:lineRule="auto"/>
              <w:rPr>
                <w:rFonts w:hint="eastAsia" w:ascii="仿宋" w:hAnsi="仿宋" w:eastAsia="仿宋"/>
                <w:sz w:val="24"/>
                <w:szCs w:val="24"/>
              </w:rPr>
            </w:pPr>
            <w:r>
              <w:rPr>
                <w:rFonts w:hint="eastAsia" w:ascii="方正黑体_GBK" w:hAnsi="方正黑体_GBK" w:eastAsia="方正黑体_GBK" w:cs="方正黑体_GBK"/>
                <w:color w:val="auto"/>
                <w:sz w:val="24"/>
                <w:szCs w:val="24"/>
                <w:lang w:bidi="ar"/>
                <w14:ligatures w14:val="none"/>
              </w:rPr>
              <w:t>注：① 对实质性要求条款（标注“★”）有偏离或非实质性要求条款偏离项数≥10项将导致投标无效。② 偏离是指投标文件不响应或者不满足招标文件提出的要求和条件。</w:t>
            </w:r>
          </w:p>
        </w:tc>
      </w:tr>
      <w:tr w14:paraId="35E3A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00" w:hRule="atLeast"/>
        </w:trPr>
        <w:tc>
          <w:tcPr>
            <w:tcW w:w="674" w:type="pct"/>
            <w:vMerge w:val="continue"/>
            <w:tcBorders>
              <w:left w:val="single" w:color="000000" w:sz="4" w:space="0"/>
              <w:right w:val="single" w:color="000000" w:sz="4" w:space="0"/>
            </w:tcBorders>
            <w:shd w:val="clear" w:color="auto" w:fill="auto"/>
            <w:vAlign w:val="center"/>
          </w:tcPr>
          <w:p w14:paraId="6520BD88">
            <w:pPr>
              <w:spacing w:line="360" w:lineRule="auto"/>
              <w:ind w:firstLine="480" w:firstLineChars="200"/>
              <w:rPr>
                <w:rFonts w:hint="eastAsia" w:ascii="仿宋" w:hAnsi="仿宋" w:eastAsia="仿宋"/>
                <w:sz w:val="24"/>
                <w:szCs w:val="24"/>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5BAE">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企业实力（10分）</w:t>
            </w:r>
          </w:p>
        </w:tc>
        <w:tc>
          <w:tcPr>
            <w:tcW w:w="3622" w:type="pct"/>
            <w:tcBorders>
              <w:top w:val="single" w:color="000000" w:sz="4" w:space="0"/>
              <w:left w:val="single" w:color="000000" w:sz="4" w:space="0"/>
              <w:bottom w:val="single" w:color="000000" w:sz="4" w:space="0"/>
              <w:right w:val="single" w:color="000000" w:sz="4" w:space="0"/>
            </w:tcBorders>
            <w:shd w:val="clear" w:color="auto" w:fill="auto"/>
            <w:vAlign w:val="top"/>
          </w:tcPr>
          <w:p w14:paraId="39FB4C64">
            <w:pPr>
              <w:numPr>
                <w:ilvl w:val="0"/>
                <w:numId w:val="3"/>
              </w:numPr>
              <w:adjustRightInd w:val="0"/>
              <w:spacing w:line="360" w:lineRule="atLeast"/>
              <w:ind w:left="0" w:leftChars="0" w:firstLine="480" w:firstLineChars="200"/>
              <w:rPr>
                <w:rFonts w:hint="eastAsia" w:ascii="方正黑体_GBK" w:hAnsi="方正黑体_GBK" w:eastAsia="方正黑体_GBK" w:cs="方正黑体_GBK"/>
              </w:rPr>
            </w:pP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投标人所投产品需具备成熟稳定的软件开发能力，能确保配套软件的持续升级维护以及平台对接等，通过软件能力成熟度评估（CMMI认证）认证等级五级的计</w:t>
            </w:r>
            <w:r>
              <w:rPr>
                <w:rFonts w:hint="eastAsia" w:ascii="方正黑体_GBK" w:hAnsi="方正黑体_GBK" w:eastAsia="方正黑体_GBK" w:cs="方正黑体_GBK"/>
                <w:color w:val="000000" w:themeColor="text1"/>
                <w:sz w:val="24"/>
                <w:szCs w:val="24"/>
                <w:highlight w:val="none"/>
                <w:lang w:val="en-US" w:eastAsia="zh-CN"/>
                <w14:textFill>
                  <w14:solidFill>
                    <w14:schemeClr w14:val="tx1"/>
                  </w14:solidFill>
                </w14:textFill>
                <w14:ligatures w14:val="none"/>
              </w:rPr>
              <w:t>3</w:t>
            </w: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分；等级四级的计</w:t>
            </w:r>
            <w:r>
              <w:rPr>
                <w:rFonts w:hint="eastAsia" w:ascii="方正黑体_GBK" w:hAnsi="方正黑体_GBK" w:eastAsia="方正黑体_GBK" w:cs="方正黑体_GBK"/>
                <w:color w:val="000000" w:themeColor="text1"/>
                <w:sz w:val="24"/>
                <w:szCs w:val="24"/>
                <w:highlight w:val="none"/>
                <w:lang w:val="en-US" w:eastAsia="zh-CN"/>
                <w14:textFill>
                  <w14:solidFill>
                    <w14:schemeClr w14:val="tx1"/>
                  </w14:solidFill>
                </w14:textFill>
                <w14:ligatures w14:val="none"/>
              </w:rPr>
              <w:t>2</w:t>
            </w: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分；等级三级的计1分；其他不计分。（提供证书复印件及全国认证认可信息公共服务平台网站查询截图并加盖投标人公章，否则不计分）。</w:t>
            </w:r>
          </w:p>
          <w:p w14:paraId="7CAE74DF">
            <w:pPr>
              <w:numPr>
                <w:ilvl w:val="0"/>
                <w:numId w:val="3"/>
              </w:numPr>
              <w:adjustRightInd w:val="0"/>
              <w:spacing w:line="360" w:lineRule="atLeast"/>
              <w:ind w:left="0" w:leftChars="0" w:firstLine="480" w:firstLineChars="200"/>
              <w:rPr>
                <w:rFonts w:hint="eastAsia" w:ascii="仿宋" w:hAnsi="仿宋" w:eastAsia="仿宋"/>
                <w:sz w:val="24"/>
                <w:szCs w:val="24"/>
              </w:rPr>
            </w:pP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投标人</w:t>
            </w:r>
            <w:r>
              <w:rPr>
                <w:rFonts w:hint="eastAsia" w:ascii="方正黑体_GBK" w:hAnsi="方正黑体_GBK" w:eastAsia="方正黑体_GBK" w:cs="方正黑体_GBK"/>
                <w:color w:val="000000" w:themeColor="text1"/>
                <w:sz w:val="24"/>
                <w:szCs w:val="24"/>
                <w:highlight w:val="none"/>
                <w:lang w:val="en-US" w:eastAsia="zh-CN"/>
                <w14:textFill>
                  <w14:solidFill>
                    <w14:schemeClr w14:val="tx1"/>
                  </w14:solidFill>
                </w14:textFill>
                <w14:ligatures w14:val="none"/>
              </w:rPr>
              <w:t>所投产品</w:t>
            </w: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具有“国产安全可靠体系</w:t>
            </w:r>
            <w:r>
              <w:rPr>
                <w:rFonts w:hint="eastAsia" w:ascii="方正黑体_GBK" w:hAnsi="方正黑体_GBK" w:eastAsia="方正黑体_GBK" w:cs="方正黑体_GBK"/>
                <w:color w:val="000000" w:themeColor="text1"/>
                <w:sz w:val="24"/>
                <w:szCs w:val="24"/>
                <w:highlight w:val="none"/>
                <w:lang w:eastAsia="zh-CN"/>
                <w14:textFill>
                  <w14:solidFill>
                    <w14:schemeClr w14:val="tx1"/>
                  </w14:solidFill>
                </w14:textFill>
                <w14:ligatures w14:val="none"/>
              </w:rPr>
              <w:t>”</w:t>
            </w: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教学资源管理平台测试报告</w:t>
            </w:r>
            <w:r>
              <w:rPr>
                <w:rFonts w:hint="eastAsia" w:ascii="方正黑体_GBK" w:hAnsi="方正黑体_GBK" w:eastAsia="方正黑体_GBK" w:cs="方正黑体_GBK"/>
                <w:color w:val="000000" w:themeColor="text1"/>
                <w:sz w:val="24"/>
                <w:szCs w:val="24"/>
                <w:highlight w:val="none"/>
                <w:lang w:val="en-US" w:eastAsia="zh-CN"/>
                <w14:textFill>
                  <w14:solidFill>
                    <w14:schemeClr w14:val="tx1"/>
                  </w14:solidFill>
                </w14:textFill>
                <w14:ligatures w14:val="none"/>
              </w:rPr>
              <w:t>计3分</w:t>
            </w: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（提供有效证明资料复印件并加盖投标人公章，否则不计分）</w:t>
            </w:r>
            <w:r>
              <w:rPr>
                <w:rFonts w:hint="eastAsia" w:ascii="方正黑体_GBK" w:hAnsi="方正黑体_GBK" w:eastAsia="方正黑体_GBK" w:cs="方正黑体_GBK"/>
                <w:color w:val="000000" w:themeColor="text1"/>
                <w:sz w:val="24"/>
                <w:szCs w:val="24"/>
                <w:highlight w:val="none"/>
                <w:lang w:eastAsia="zh-CN"/>
                <w14:textFill>
                  <w14:solidFill>
                    <w14:schemeClr w14:val="tx1"/>
                  </w14:solidFill>
                </w14:textFill>
                <w14:ligatures w14:val="none"/>
              </w:rPr>
              <w:t>。</w:t>
            </w:r>
          </w:p>
          <w:p w14:paraId="3210D642">
            <w:pPr>
              <w:numPr>
                <w:ilvl w:val="0"/>
                <w:numId w:val="3"/>
              </w:numPr>
              <w:adjustRightInd w:val="0"/>
              <w:spacing w:line="360" w:lineRule="atLeast"/>
              <w:ind w:left="0" w:leftChars="0" w:firstLine="480" w:firstLineChars="200"/>
              <w:rPr>
                <w:rFonts w:hint="eastAsia" w:ascii="仿宋" w:hAnsi="仿宋" w:eastAsia="仿宋"/>
                <w:sz w:val="24"/>
                <w:szCs w:val="24"/>
              </w:rPr>
            </w:pP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投标人</w:t>
            </w:r>
            <w:r>
              <w:rPr>
                <w:rFonts w:hint="eastAsia" w:ascii="方正黑体_GBK" w:hAnsi="方正黑体_GBK" w:eastAsia="方正黑体_GBK" w:cs="方正黑体_GBK"/>
                <w:color w:val="000000" w:themeColor="text1"/>
                <w:sz w:val="24"/>
                <w:szCs w:val="24"/>
                <w:highlight w:val="none"/>
                <w:lang w:val="en-US" w:eastAsia="zh-CN"/>
                <w14:textFill>
                  <w14:solidFill>
                    <w14:schemeClr w14:val="tx1"/>
                  </w14:solidFill>
                </w14:textFill>
                <w14:ligatures w14:val="none"/>
              </w:rPr>
              <w:t>具有智慧门户类、智慧考试类、智慧教学类、微服务管理平台计算机软件著作权登记证书计，每提供一个计1分，最多计4分。</w:t>
            </w:r>
            <w:r>
              <w:rPr>
                <w:rFonts w:hint="eastAsia" w:ascii="方正黑体_GBK" w:hAnsi="方正黑体_GBK" w:eastAsia="方正黑体_GBK" w:cs="方正黑体_GBK"/>
                <w:color w:val="000000" w:themeColor="text1"/>
                <w:sz w:val="24"/>
                <w:szCs w:val="24"/>
                <w:highlight w:val="none"/>
                <w14:textFill>
                  <w14:solidFill>
                    <w14:schemeClr w14:val="tx1"/>
                  </w14:solidFill>
                </w14:textFill>
                <w14:ligatures w14:val="none"/>
              </w:rPr>
              <w:t>（提供有效证明资料复印件并加盖投标人公章，否则不计分）</w:t>
            </w:r>
            <w:r>
              <w:rPr>
                <w:rFonts w:hint="eastAsia" w:ascii="方正黑体_GBK" w:hAnsi="方正黑体_GBK" w:eastAsia="方正黑体_GBK" w:cs="方正黑体_GBK"/>
                <w:color w:val="000000" w:themeColor="text1"/>
                <w:sz w:val="24"/>
                <w:szCs w:val="24"/>
                <w:highlight w:val="none"/>
                <w:lang w:eastAsia="zh-CN"/>
                <w14:textFill>
                  <w14:solidFill>
                    <w14:schemeClr w14:val="tx1"/>
                  </w14:solidFill>
                </w14:textFill>
                <w14:ligatures w14:val="none"/>
              </w:rPr>
              <w:t>。</w:t>
            </w:r>
          </w:p>
        </w:tc>
      </w:tr>
      <w:tr w14:paraId="57539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20" w:hRule="atLeast"/>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5A752">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服务质量（45分）</w:t>
            </w:r>
          </w:p>
          <w:p w14:paraId="61E6F332">
            <w:pPr>
              <w:spacing w:line="360" w:lineRule="auto"/>
              <w:ind w:firstLine="480" w:firstLineChars="200"/>
              <w:rPr>
                <w:rFonts w:hint="eastAsia" w:ascii="仿宋" w:hAnsi="仿宋" w:eastAsia="仿宋"/>
                <w:sz w:val="24"/>
                <w:szCs w:val="24"/>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D799">
            <w:pPr>
              <w:spacing w:line="360" w:lineRule="auto"/>
              <w:rPr>
                <w:rFonts w:hint="default" w:ascii="仿宋" w:hAnsi="仿宋" w:eastAsia="仿宋"/>
                <w:sz w:val="24"/>
                <w:szCs w:val="24"/>
                <w:lang w:val="en-US" w:eastAsia="zh-CN"/>
              </w:rPr>
            </w:pPr>
            <w:r>
              <w:rPr>
                <w:rFonts w:hint="eastAsia" w:ascii="仿宋" w:hAnsi="仿宋" w:eastAsia="仿宋"/>
                <w:sz w:val="24"/>
                <w:szCs w:val="24"/>
              </w:rPr>
              <w:t>服务方案与响应承诺</w:t>
            </w:r>
            <w:r>
              <w:rPr>
                <w:rFonts w:hint="eastAsia" w:ascii="仿宋" w:hAnsi="仿宋" w:eastAsia="仿宋"/>
                <w:sz w:val="24"/>
                <w:szCs w:val="24"/>
                <w:lang w:val="en-US" w:eastAsia="zh-CN"/>
              </w:rPr>
              <w:t>(10分）</w:t>
            </w:r>
          </w:p>
        </w:tc>
        <w:tc>
          <w:tcPr>
            <w:tcW w:w="3622" w:type="pct"/>
            <w:tcBorders>
              <w:top w:val="single" w:color="000000" w:sz="4" w:space="0"/>
              <w:left w:val="single" w:color="000000" w:sz="4" w:space="0"/>
              <w:bottom w:val="single" w:color="000000" w:sz="4" w:space="0"/>
              <w:right w:val="single" w:color="000000" w:sz="4" w:space="0"/>
            </w:tcBorders>
            <w:shd w:val="clear" w:color="auto" w:fill="auto"/>
            <w:vAlign w:val="top"/>
          </w:tcPr>
          <w:p w14:paraId="34256521">
            <w:pPr>
              <w:spacing w:line="360" w:lineRule="auto"/>
              <w:ind w:firstLine="480" w:firstLineChars="200"/>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val="en-US" w:eastAsia="zh-CN"/>
              </w:rPr>
              <w:t>根据投标人提供的服务方案评分，包括项目实施计划、人员分工、服务供给、进度安排、质量保障措施等。方案详细、合理、可控性强，能完全满足采购需求者得8-10分；方案较详细但部分细节欠缺者得5-7分；方案简单、可行性一般者得1-4分；未提供者得0分。</w:t>
            </w:r>
          </w:p>
        </w:tc>
      </w:tr>
      <w:tr w14:paraId="5E349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60" w:hRule="atLeast"/>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C848B">
            <w:pPr>
              <w:spacing w:line="360" w:lineRule="auto"/>
              <w:ind w:firstLine="480" w:firstLineChars="200"/>
              <w:rPr>
                <w:rFonts w:hint="eastAsia" w:ascii="仿宋" w:hAnsi="仿宋" w:eastAsia="仿宋"/>
                <w:sz w:val="24"/>
                <w:szCs w:val="24"/>
              </w:rPr>
            </w:pPr>
          </w:p>
        </w:tc>
        <w:tc>
          <w:tcPr>
            <w:tcW w:w="703" w:type="pct"/>
            <w:tcBorders>
              <w:top w:val="single" w:color="000000" w:sz="4" w:space="0"/>
              <w:left w:val="single" w:color="000000" w:sz="4" w:space="0"/>
              <w:right w:val="single" w:color="000000" w:sz="4" w:space="0"/>
            </w:tcBorders>
            <w:shd w:val="clear" w:color="auto" w:fill="auto"/>
            <w:vAlign w:val="center"/>
          </w:tcPr>
          <w:p w14:paraId="52BC22B6">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团队专业性与人员配置(5分）</w:t>
            </w:r>
          </w:p>
        </w:tc>
        <w:tc>
          <w:tcPr>
            <w:tcW w:w="3622" w:type="pct"/>
            <w:tcBorders>
              <w:top w:val="single" w:color="000000" w:sz="4" w:space="0"/>
              <w:left w:val="single" w:color="000000" w:sz="4" w:space="0"/>
              <w:bottom w:val="single" w:color="000000" w:sz="4" w:space="0"/>
              <w:right w:val="single" w:color="000000" w:sz="4" w:space="0"/>
            </w:tcBorders>
            <w:shd w:val="clear" w:color="auto" w:fill="auto"/>
            <w:vAlign w:val="top"/>
          </w:tcPr>
          <w:p w14:paraId="1A038F86">
            <w:pPr>
              <w:spacing w:line="360" w:lineRule="auto"/>
              <w:ind w:firstLine="480" w:firstLineChars="200"/>
              <w:rPr>
                <w:rFonts w:hint="eastAsia" w:ascii="方正黑体_GBK" w:hAnsi="方正黑体_GBK" w:eastAsia="方正黑体_GBK" w:cs="方正黑体_GBK"/>
                <w:sz w:val="24"/>
                <w:szCs w:val="24"/>
                <w:lang w:val="en-US" w:eastAsia="zh-CN"/>
              </w:rPr>
            </w:pPr>
            <w:r>
              <w:rPr>
                <w:rFonts w:hint="eastAsia" w:ascii="方正黑体_GBK" w:hAnsi="方正黑体_GBK" w:eastAsia="方正黑体_GBK" w:cs="方正黑体_GBK"/>
                <w:sz w:val="24"/>
                <w:szCs w:val="24"/>
                <w:lang w:val="en-US" w:eastAsia="zh-CN"/>
              </w:rPr>
              <w:t>根据投标人为本项目配置的团队评分。需提供团队核心成员具有PMP证书，提供近3个月社保缴纳证明，每提供一个计2.5分，最多计5分</w:t>
            </w:r>
          </w:p>
        </w:tc>
      </w:tr>
      <w:tr w14:paraId="0010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60" w:hRule="atLeast"/>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5E1A3">
            <w:pPr>
              <w:spacing w:line="360" w:lineRule="auto"/>
              <w:ind w:firstLine="480" w:firstLineChars="200"/>
              <w:rPr>
                <w:rFonts w:hint="eastAsia" w:ascii="仿宋" w:hAnsi="仿宋" w:eastAsia="仿宋"/>
                <w:sz w:val="24"/>
                <w:szCs w:val="24"/>
              </w:rPr>
            </w:pPr>
          </w:p>
        </w:tc>
        <w:tc>
          <w:tcPr>
            <w:tcW w:w="703" w:type="pct"/>
            <w:tcBorders>
              <w:top w:val="single" w:color="000000" w:sz="4" w:space="0"/>
              <w:left w:val="single" w:color="000000" w:sz="4" w:space="0"/>
              <w:right w:val="single" w:color="000000" w:sz="4" w:space="0"/>
            </w:tcBorders>
            <w:shd w:val="clear" w:color="auto" w:fill="auto"/>
            <w:vAlign w:val="center"/>
          </w:tcPr>
          <w:p w14:paraId="65BFD0FE">
            <w:pPr>
              <w:spacing w:line="360" w:lineRule="auto"/>
              <w:rPr>
                <w:rFonts w:hint="default" w:ascii="仿宋" w:hAnsi="仿宋" w:eastAsia="仿宋"/>
                <w:color w:val="FF0000"/>
                <w:sz w:val="24"/>
                <w:szCs w:val="24"/>
                <w:lang w:val="en-US" w:eastAsia="zh-CN"/>
              </w:rPr>
            </w:pPr>
            <w:r>
              <w:rPr>
                <w:rFonts w:hint="eastAsia" w:ascii="仿宋" w:hAnsi="仿宋" w:eastAsia="仿宋"/>
                <w:sz w:val="24"/>
                <w:szCs w:val="24"/>
                <w:lang w:val="en-US" w:eastAsia="zh-CN"/>
              </w:rPr>
              <w:t>培训方案（15分）</w:t>
            </w:r>
          </w:p>
        </w:tc>
        <w:tc>
          <w:tcPr>
            <w:tcW w:w="3622" w:type="pct"/>
            <w:tcBorders>
              <w:top w:val="single" w:color="000000" w:sz="4" w:space="0"/>
              <w:left w:val="single" w:color="000000" w:sz="4" w:space="0"/>
              <w:bottom w:val="single" w:color="000000" w:sz="4" w:space="0"/>
              <w:right w:val="single" w:color="000000" w:sz="4" w:space="0"/>
            </w:tcBorders>
            <w:shd w:val="clear" w:color="auto" w:fill="auto"/>
            <w:vAlign w:val="top"/>
          </w:tcPr>
          <w:p w14:paraId="468E293F">
            <w:pPr>
              <w:spacing w:line="360" w:lineRule="auto"/>
              <w:ind w:firstLine="480" w:firstLineChars="200"/>
              <w:rPr>
                <w:rFonts w:hint="eastAsia" w:ascii="方正黑体_GBK" w:hAnsi="方正黑体_GBK" w:eastAsia="方正黑体_GBK" w:cs="方正黑体_GBK"/>
                <w:color w:val="FF0000"/>
                <w:sz w:val="24"/>
                <w:szCs w:val="24"/>
                <w:lang w:val="en-US" w:eastAsia="zh-CN"/>
              </w:rPr>
            </w:pPr>
            <w:r>
              <w:rPr>
                <w:rFonts w:hint="eastAsia" w:ascii="方正黑体_GBK" w:hAnsi="方正黑体_GBK" w:eastAsia="方正黑体_GBK" w:cs="方正黑体_GBK"/>
                <w:color w:val="000000" w:themeColor="text1"/>
                <w:sz w:val="24"/>
                <w:szCs w:val="24"/>
                <w:lang w:bidi="ar"/>
                <w14:textFill>
                  <w14:solidFill>
                    <w14:schemeClr w14:val="tx1"/>
                  </w14:solidFill>
                </w14:textFill>
                <w14:ligatures w14:val="none"/>
              </w:rPr>
              <w:t>根据供应商针对本项目提供的培训服务方案，包括但不限于①培训计划、②培训内容、③培训人员配备、④培训方法</w:t>
            </w:r>
            <w:r>
              <w:rPr>
                <w:rFonts w:hint="eastAsia" w:ascii="方正黑体_GBK" w:hAnsi="方正黑体_GBK" w:eastAsia="方正黑体_GBK" w:cs="方正黑体_GBK"/>
                <w:color w:val="000000" w:themeColor="text1"/>
                <w:sz w:val="24"/>
                <w:szCs w:val="24"/>
                <w:lang w:eastAsia="zh-CN" w:bidi="ar"/>
                <w14:textFill>
                  <w14:solidFill>
                    <w14:schemeClr w14:val="tx1"/>
                  </w14:solidFill>
                </w14:textFill>
                <w14:ligatures w14:val="none"/>
              </w:rPr>
              <w:t>、⑤</w:t>
            </w:r>
            <w:r>
              <w:rPr>
                <w:rFonts w:hint="eastAsia" w:ascii="方正黑体_GBK" w:hAnsi="方正黑体_GBK" w:eastAsia="方正黑体_GBK" w:cs="方正黑体_GBK"/>
                <w:color w:val="000000" w:themeColor="text1"/>
                <w:sz w:val="24"/>
                <w:szCs w:val="24"/>
                <w:lang w:val="en-US" w:eastAsia="zh-CN" w:bidi="ar"/>
                <w14:textFill>
                  <w14:solidFill>
                    <w14:schemeClr w14:val="tx1"/>
                  </w14:solidFill>
                </w14:textFill>
                <w14:ligatures w14:val="none"/>
              </w:rPr>
              <w:t>培训方式</w:t>
            </w:r>
            <w:r>
              <w:rPr>
                <w:rFonts w:hint="eastAsia" w:ascii="方正黑体_GBK" w:hAnsi="方正黑体_GBK" w:eastAsia="方正黑体_GBK" w:cs="方正黑体_GBK"/>
                <w:color w:val="000000" w:themeColor="text1"/>
                <w:sz w:val="24"/>
                <w:szCs w:val="24"/>
                <w:lang w:bidi="ar"/>
                <w14:textFill>
                  <w14:solidFill>
                    <w14:schemeClr w14:val="tx1"/>
                  </w14:solidFill>
                </w14:textFill>
                <w14:ligatures w14:val="none"/>
              </w:rPr>
              <w:t xml:space="preserve">等 ；以上每条方案内容完整具体、条理清晰且具有针对性的，每条得 </w:t>
            </w:r>
            <w:r>
              <w:rPr>
                <w:rFonts w:hint="eastAsia" w:ascii="方正黑体_GBK" w:hAnsi="方正黑体_GBK" w:eastAsia="方正黑体_GBK" w:cs="方正黑体_GBK"/>
                <w:color w:val="000000" w:themeColor="text1"/>
                <w:sz w:val="24"/>
                <w:szCs w:val="24"/>
                <w:lang w:val="en-US" w:eastAsia="zh-CN" w:bidi="ar"/>
                <w14:textFill>
                  <w14:solidFill>
                    <w14:schemeClr w14:val="tx1"/>
                  </w14:solidFill>
                </w14:textFill>
                <w14:ligatures w14:val="none"/>
              </w:rPr>
              <w:t>3</w:t>
            </w:r>
            <w:r>
              <w:rPr>
                <w:rFonts w:hint="eastAsia" w:ascii="方正黑体_GBK" w:hAnsi="方正黑体_GBK" w:eastAsia="方正黑体_GBK" w:cs="方正黑体_GBK"/>
                <w:color w:val="000000" w:themeColor="text1"/>
                <w:sz w:val="24"/>
                <w:szCs w:val="24"/>
                <w:lang w:bidi="ar"/>
                <w14:textFill>
                  <w14:solidFill>
                    <w14:schemeClr w14:val="tx1"/>
                  </w14:solidFill>
                </w14:textFill>
                <w14:ligatures w14:val="none"/>
              </w:rPr>
              <w:t xml:space="preserve"> 分；每缺少一条方案，或方案内容模糊、条理不清、针对性不足的，每条扣 </w:t>
            </w:r>
            <w:r>
              <w:rPr>
                <w:rFonts w:hint="eastAsia" w:ascii="方正黑体_GBK" w:hAnsi="方正黑体_GBK" w:eastAsia="方正黑体_GBK" w:cs="方正黑体_GBK"/>
                <w:color w:val="000000" w:themeColor="text1"/>
                <w:sz w:val="24"/>
                <w:szCs w:val="24"/>
                <w:lang w:val="en-US" w:eastAsia="zh-CN" w:bidi="ar"/>
                <w14:textFill>
                  <w14:solidFill>
                    <w14:schemeClr w14:val="tx1"/>
                  </w14:solidFill>
                </w14:textFill>
                <w14:ligatures w14:val="none"/>
              </w:rPr>
              <w:t>3</w:t>
            </w:r>
            <w:r>
              <w:rPr>
                <w:rFonts w:hint="eastAsia" w:ascii="方正黑体_GBK" w:hAnsi="方正黑体_GBK" w:eastAsia="方正黑体_GBK" w:cs="方正黑体_GBK"/>
                <w:color w:val="000000" w:themeColor="text1"/>
                <w:sz w:val="24"/>
                <w:szCs w:val="24"/>
                <w:lang w:bidi="ar"/>
                <w14:textFill>
                  <w14:solidFill>
                    <w14:schemeClr w14:val="tx1"/>
                  </w14:solidFill>
                </w14:textFill>
                <w14:ligatures w14:val="none"/>
              </w:rPr>
              <w:t>分，本项分值扣完即止。</w:t>
            </w:r>
          </w:p>
        </w:tc>
      </w:tr>
      <w:tr w14:paraId="11D0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20" w:hRule="atLeast"/>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F397">
            <w:pPr>
              <w:spacing w:line="360" w:lineRule="auto"/>
              <w:ind w:firstLine="480" w:firstLineChars="200"/>
              <w:rPr>
                <w:rFonts w:hint="eastAsia" w:ascii="仿宋" w:hAnsi="仿宋" w:eastAsia="仿宋"/>
                <w:sz w:val="24"/>
                <w:szCs w:val="24"/>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A22E6">
            <w:pPr>
              <w:spacing w:line="360" w:lineRule="auto"/>
              <w:rPr>
                <w:rFonts w:hint="default" w:ascii="仿宋" w:hAnsi="仿宋" w:eastAsia="仿宋"/>
                <w:sz w:val="24"/>
                <w:szCs w:val="24"/>
                <w:lang w:val="en-US" w:eastAsia="zh-CN"/>
              </w:rPr>
            </w:pPr>
            <w:r>
              <w:rPr>
                <w:rFonts w:hint="eastAsia" w:ascii="仿宋" w:hAnsi="仿宋" w:eastAsia="仿宋"/>
                <w:sz w:val="24"/>
                <w:szCs w:val="24"/>
              </w:rPr>
              <w:t>售后服务与支持</w:t>
            </w:r>
            <w:r>
              <w:rPr>
                <w:rFonts w:hint="eastAsia" w:ascii="仿宋" w:hAnsi="仿宋" w:eastAsia="仿宋"/>
                <w:sz w:val="24"/>
                <w:szCs w:val="24"/>
                <w:lang w:eastAsia="zh-CN"/>
              </w:rPr>
              <w:t>（</w:t>
            </w:r>
            <w:r>
              <w:rPr>
                <w:rFonts w:hint="eastAsia" w:ascii="仿宋" w:hAnsi="仿宋" w:eastAsia="仿宋"/>
                <w:sz w:val="24"/>
                <w:szCs w:val="24"/>
                <w:lang w:val="en-US" w:eastAsia="zh-CN"/>
              </w:rPr>
              <w:t>15分）</w:t>
            </w:r>
          </w:p>
        </w:tc>
        <w:tc>
          <w:tcPr>
            <w:tcW w:w="3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6F0B2">
            <w:pPr>
              <w:spacing w:line="360" w:lineRule="auto"/>
              <w:ind w:firstLine="480" w:firstLineChars="200"/>
              <w:rPr>
                <w:rFonts w:hint="eastAsia" w:ascii="方正黑体_GBK" w:hAnsi="方正黑体_GBK" w:eastAsia="方正黑体_GBK" w:cs="方正黑体_GBK"/>
                <w:sz w:val="24"/>
                <w:szCs w:val="24"/>
              </w:rPr>
            </w:pPr>
            <w:r>
              <w:rPr>
                <w:rFonts w:hint="eastAsia" w:ascii="方正黑体_GBK" w:hAnsi="方正黑体_GBK" w:eastAsia="方正黑体_GBK" w:cs="方正黑体_GBK"/>
                <w:color w:val="000000" w:themeColor="text1"/>
                <w:sz w:val="24"/>
                <w:szCs w:val="24"/>
                <w:lang w:bidi="ar"/>
                <w14:textFill>
                  <w14:solidFill>
                    <w14:schemeClr w14:val="tx1"/>
                  </w14:solidFill>
                </w14:textFill>
                <w14:ligatures w14:val="none"/>
              </w:rPr>
              <w:t xml:space="preserve">根据供应商针对本项目提供的售后服务方案，包括但不限于①服务标准、②故障响应时间及解决方案、③售后服务人员配备等 ；以上每条方案内容完整具体、条理清晰且具有针对性的，每条得 </w:t>
            </w:r>
            <w:r>
              <w:rPr>
                <w:rFonts w:hint="eastAsia" w:ascii="方正黑体_GBK" w:hAnsi="方正黑体_GBK" w:eastAsia="方正黑体_GBK" w:cs="方正黑体_GBK"/>
                <w:color w:val="000000" w:themeColor="text1"/>
                <w:sz w:val="24"/>
                <w:szCs w:val="24"/>
                <w:lang w:val="en-US" w:eastAsia="zh-CN" w:bidi="ar"/>
                <w14:textFill>
                  <w14:solidFill>
                    <w14:schemeClr w14:val="tx1"/>
                  </w14:solidFill>
                </w14:textFill>
                <w14:ligatures w14:val="none"/>
              </w:rPr>
              <w:t>5</w:t>
            </w:r>
            <w:r>
              <w:rPr>
                <w:rFonts w:hint="eastAsia" w:ascii="方正黑体_GBK" w:hAnsi="方正黑体_GBK" w:eastAsia="方正黑体_GBK" w:cs="方正黑体_GBK"/>
                <w:color w:val="000000" w:themeColor="text1"/>
                <w:sz w:val="24"/>
                <w:szCs w:val="24"/>
                <w:lang w:bidi="ar"/>
                <w14:textFill>
                  <w14:solidFill>
                    <w14:schemeClr w14:val="tx1"/>
                  </w14:solidFill>
                </w14:textFill>
                <w14:ligatures w14:val="none"/>
              </w:rPr>
              <w:t xml:space="preserve"> 分；每缺少一条方案，或方案内容模糊、条理不清、针对性不足的，每条扣 </w:t>
            </w:r>
            <w:r>
              <w:rPr>
                <w:rFonts w:hint="eastAsia" w:ascii="方正黑体_GBK" w:hAnsi="方正黑体_GBK" w:eastAsia="方正黑体_GBK" w:cs="方正黑体_GBK"/>
                <w:color w:val="000000" w:themeColor="text1"/>
                <w:sz w:val="24"/>
                <w:szCs w:val="24"/>
                <w:lang w:val="en-US" w:eastAsia="zh-CN" w:bidi="ar"/>
                <w14:textFill>
                  <w14:solidFill>
                    <w14:schemeClr w14:val="tx1"/>
                  </w14:solidFill>
                </w14:textFill>
                <w14:ligatures w14:val="none"/>
              </w:rPr>
              <w:t>5</w:t>
            </w:r>
            <w:r>
              <w:rPr>
                <w:rFonts w:hint="eastAsia" w:ascii="方正黑体_GBK" w:hAnsi="方正黑体_GBK" w:eastAsia="方正黑体_GBK" w:cs="方正黑体_GBK"/>
                <w:color w:val="000000" w:themeColor="text1"/>
                <w:sz w:val="24"/>
                <w:szCs w:val="24"/>
                <w:lang w:bidi="ar"/>
                <w14:textFill>
                  <w14:solidFill>
                    <w14:schemeClr w14:val="tx1"/>
                  </w14:solidFill>
                </w14:textFill>
                <w14:ligatures w14:val="none"/>
              </w:rPr>
              <w:t>分，本项分值扣完即止。</w:t>
            </w:r>
          </w:p>
        </w:tc>
      </w:tr>
    </w:tbl>
    <w:p w14:paraId="450018AE"/>
    <w:p w14:paraId="1B107D1F">
      <w:pPr>
        <w:pStyle w:val="17"/>
        <w:ind w:left="0" w:leftChars="0" w:firstLine="0"/>
        <w:jc w:val="center"/>
        <w:rPr>
          <w:rFonts w:hint="eastAsia" w:ascii="宋体" w:hAnsi="宋体" w:eastAsia="仿宋" w:cs="宋体"/>
          <w:b/>
          <w:color w:val="333333"/>
          <w:kern w:val="0"/>
          <w:sz w:val="36"/>
          <w:szCs w:val="36"/>
        </w:rPr>
      </w:pPr>
    </w:p>
    <w:p w14:paraId="5077E8EB">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7"/>
        <w:ind w:left="0" w:leftChars="0" w:firstLine="0"/>
      </w:pPr>
    </w:p>
    <w:p w14:paraId="4DFEE8F5">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33EE1F5B">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2CBF23D6">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5A51534C">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7E06D33">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74209065">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075A172B">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2A4002D5">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31A9949">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p>
    <w:p w14:paraId="6BA60C6A">
      <w:pPr>
        <w:pStyle w:val="11"/>
        <w:adjustRightInd w:val="0"/>
        <w:snapToGrid w:val="0"/>
        <w:spacing w:line="360" w:lineRule="auto"/>
        <w:rPr>
          <w:rFonts w:hint="eastAsia" w:ascii="仿宋_GB2312" w:hAnsi="宋体" w:eastAsia="仿宋_GB2312"/>
          <w:b/>
        </w:rPr>
      </w:pPr>
    </w:p>
    <w:p w14:paraId="708DFB7E">
      <w:pPr>
        <w:pStyle w:val="11"/>
        <w:adjustRightInd w:val="0"/>
        <w:snapToGrid w:val="0"/>
        <w:spacing w:line="360" w:lineRule="auto"/>
        <w:rPr>
          <w:rFonts w:hint="eastAsia" w:ascii="仿宋_GB2312" w:hAnsi="宋体" w:eastAsia="仿宋_GB2312"/>
          <w:b/>
        </w:rPr>
      </w:pPr>
      <w:bookmarkStart w:id="283" w:name="_GoBack"/>
      <w:bookmarkEnd w:id="283"/>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2</w:t>
      </w:r>
      <w:r>
        <w:rPr>
          <w:rFonts w:hint="eastAsia" w:ascii="仿宋" w:hAnsi="仿宋" w:eastAsia="仿宋"/>
          <w:bCs/>
          <w:sz w:val="24"/>
          <w:szCs w:val="24"/>
        </w:rPr>
        <w:t>：</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3</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hint="eastAsia" w:ascii="仿宋" w:hAnsi="仿宋" w:eastAsia="仿宋"/>
          <w:sz w:val="24"/>
          <w:szCs w:val="24"/>
        </w:rPr>
      </w:pP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F5415D5">
      <w:pPr>
        <w:adjustRightInd w:val="0"/>
        <w:snapToGrid w:val="0"/>
        <w:spacing w:line="360" w:lineRule="auto"/>
        <w:ind w:right="24"/>
        <w:rPr>
          <w:szCs w:val="21"/>
        </w:rPr>
      </w:pPr>
    </w:p>
    <w:p w14:paraId="7059BBE5">
      <w:pPr>
        <w:adjustRightInd w:val="0"/>
        <w:snapToGrid w:val="0"/>
        <w:spacing w:line="360" w:lineRule="auto"/>
        <w:ind w:right="24"/>
        <w:rPr>
          <w:rFonts w:hint="eastAsia" w:ascii="仿宋" w:hAnsi="仿宋" w:eastAsia="仿宋"/>
          <w:bCs/>
          <w:sz w:val="24"/>
          <w:szCs w:val="24"/>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2</w:t>
      </w:r>
      <w:r>
        <w:rPr>
          <w:rFonts w:hint="eastAsia" w:ascii="仿宋" w:hAnsi="仿宋" w:eastAsia="仿宋"/>
          <w:bCs/>
          <w:sz w:val="24"/>
          <w:szCs w:val="24"/>
        </w:rPr>
        <w:t>：</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3</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10CB8852"/>
    <w:p w14:paraId="7F870902"/>
    <w:p w14:paraId="78DBABB8">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附件</w:t>
      </w:r>
      <w:r>
        <w:rPr>
          <w:rFonts w:hint="eastAsia" w:ascii="仿宋" w:hAnsi="仿宋" w:eastAsia="仿宋"/>
          <w:bCs/>
          <w:sz w:val="24"/>
          <w:szCs w:val="24"/>
          <w:lang w:val="en-US" w:eastAsia="zh-CN"/>
        </w:rPr>
        <w:t>4</w:t>
      </w:r>
      <w:r>
        <w:rPr>
          <w:rFonts w:hint="eastAsia" w:ascii="仿宋" w:hAnsi="仿宋" w:eastAsia="仿宋"/>
          <w:bCs/>
          <w:sz w:val="24"/>
          <w:szCs w:val="24"/>
        </w:rPr>
        <w:t>：</w:t>
      </w:r>
    </w:p>
    <w:p w14:paraId="033553B5">
      <w:pPr>
        <w:ind w:firstLine="3855" w:firstLineChars="1200"/>
        <w:jc w:val="both"/>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7"/>
        <w:rPr>
          <w:rFonts w:hint="eastAsia" w:ascii="仿宋" w:hAnsi="仿宋" w:eastAsia="仿宋"/>
        </w:rPr>
      </w:pPr>
    </w:p>
    <w:p w14:paraId="5550980C">
      <w:pPr>
        <w:pStyle w:val="17"/>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040" w:right="1486" w:bottom="918"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Times New Roman (正文 CS 字体)">
    <w:altName w:val="DejaVu Sans"/>
    <w:panose1 w:val="02020603050405020304"/>
    <w:charset w:val="00"/>
    <w:family w:val="roman"/>
    <w:pitch w:val="default"/>
    <w:sig w:usb0="00000000" w:usb1="00000000" w:usb2="00000009" w:usb3="00000000" w:csb0="000001FF" w:csb1="00000000"/>
  </w:font>
  <w:font w:name="等线">
    <w:altName w:val="汉仪中宋简"/>
    <w:panose1 w:val="02010600030101010101"/>
    <w:charset w:val="86"/>
    <w:family w:val="auto"/>
    <w:pitch w:val="default"/>
    <w:sig w:usb0="00000000" w:usb1="00000000" w:usb2="00000016" w:usb3="00000000" w:csb0="0004000F" w:csb1="00000000"/>
  </w:font>
  <w:font w:name="Calibri Light">
    <w:altName w:val="DejaVu Sans"/>
    <w:panose1 w:val="020F0302020204030204"/>
    <w:charset w:val="00"/>
    <w:family w:val="swiss"/>
    <w:pitch w:val="default"/>
    <w:sig w:usb0="00000000" w:usb1="00000000" w:usb2="00000009" w:usb3="00000000" w:csb0="200001F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方正小标宋简体">
    <w:panose1 w:val="02000000000000000000"/>
    <w:charset w:val="86"/>
    <w:family w:val="script"/>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2"/>
      </w:rPr>
    </w:pPr>
    <w:r>
      <w:fldChar w:fldCharType="begin"/>
    </w:r>
    <w:r>
      <w:rPr>
        <w:rStyle w:val="22"/>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76D4"/>
    <w:multiLevelType w:val="multilevel"/>
    <w:tmpl w:val="FBFE76D4"/>
    <w:lvl w:ilvl="0" w:tentative="0">
      <w:start w:val="1"/>
      <w:numFmt w:val="decimal"/>
      <w:lvlText w:val="%1."/>
      <w:lvlJc w:val="left"/>
      <w:pPr>
        <w:ind w:left="432" w:hanging="432"/>
      </w:pPr>
      <w:rPr>
        <w:rFonts w:hint="default" w:ascii="宋体" w:hAnsi="宋体" w:eastAsia="宋体" w:cs="宋体"/>
      </w:rPr>
    </w:lvl>
    <w:lvl w:ilvl="1" w:tentative="0">
      <w:start w:val="1"/>
      <w:numFmt w:val="decimal"/>
      <w:lvlText w:val="%1.%2"/>
      <w:lvlJc w:val="left"/>
      <w:pPr>
        <w:ind w:left="576" w:hanging="576"/>
      </w:pPr>
      <w:rPr>
        <w:rFonts w:hint="default" w:ascii="宋体" w:hAnsi="宋体" w:eastAsia="宋体" w:cs="宋体"/>
      </w:rPr>
    </w:lvl>
    <w:lvl w:ilvl="2" w:tentative="0">
      <w:start w:val="1"/>
      <w:numFmt w:val="decimal"/>
      <w:pStyle w:val="4"/>
      <w:lvlText w:val="%1.%2.%3"/>
      <w:lvlJc w:val="left"/>
      <w:pPr>
        <w:ind w:left="720" w:hanging="720"/>
      </w:pPr>
      <w:rPr>
        <w:rFonts w:hint="default" w:ascii="宋体" w:hAnsi="宋体" w:eastAsia="宋体" w:cs="宋体"/>
      </w:rPr>
    </w:lvl>
    <w:lvl w:ilvl="3" w:tentative="0">
      <w:start w:val="1"/>
      <w:numFmt w:val="decimal"/>
      <w:lvlText w:val="%1.%2.%3.%4"/>
      <w:lvlJc w:val="left"/>
      <w:pPr>
        <w:ind w:left="864" w:hanging="864"/>
      </w:pPr>
      <w:rPr>
        <w:rFonts w:hint="default" w:ascii="宋体" w:hAnsi="宋体" w:eastAsia="宋体" w:cs="宋体"/>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1">
    <w:nsid w:val="FEA296AC"/>
    <w:multiLevelType w:val="singleLevel"/>
    <w:tmpl w:val="FEA296AC"/>
    <w:lvl w:ilvl="0" w:tentative="0">
      <w:start w:val="1"/>
      <w:numFmt w:val="decimal"/>
      <w:suff w:val="nothing"/>
      <w:lvlText w:val="%1．"/>
      <w:lvlJc w:val="left"/>
      <w:pPr>
        <w:ind w:left="0" w:firstLine="400"/>
      </w:pPr>
      <w:rPr>
        <w:rFonts w:hint="default"/>
      </w:rPr>
    </w:lvl>
  </w:abstractNum>
  <w:abstractNum w:abstractNumId="2">
    <w:nsid w:val="493FCD52"/>
    <w:multiLevelType w:val="singleLevel"/>
    <w:tmpl w:val="493FCD52"/>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0E55EA"/>
    <w:rsid w:val="017442FA"/>
    <w:rsid w:val="0215299B"/>
    <w:rsid w:val="044E0E32"/>
    <w:rsid w:val="05997E8B"/>
    <w:rsid w:val="066D3445"/>
    <w:rsid w:val="07FB6BDB"/>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32607A"/>
    <w:rsid w:val="144F1BCA"/>
    <w:rsid w:val="14FD6A90"/>
    <w:rsid w:val="15455939"/>
    <w:rsid w:val="15B12877"/>
    <w:rsid w:val="16D36F75"/>
    <w:rsid w:val="16FC64CC"/>
    <w:rsid w:val="172E31C9"/>
    <w:rsid w:val="17C3509D"/>
    <w:rsid w:val="1998697F"/>
    <w:rsid w:val="19CE05F3"/>
    <w:rsid w:val="19E54DD6"/>
    <w:rsid w:val="1A07140F"/>
    <w:rsid w:val="1A514D80"/>
    <w:rsid w:val="1A7D2861"/>
    <w:rsid w:val="1B451A26"/>
    <w:rsid w:val="1B9B73B3"/>
    <w:rsid w:val="1BB90E2F"/>
    <w:rsid w:val="1D444728"/>
    <w:rsid w:val="1E4F7829"/>
    <w:rsid w:val="1F2B2044"/>
    <w:rsid w:val="1F9951FF"/>
    <w:rsid w:val="201D3E7D"/>
    <w:rsid w:val="202D76F6"/>
    <w:rsid w:val="20746BB2"/>
    <w:rsid w:val="21DF356B"/>
    <w:rsid w:val="21E64000"/>
    <w:rsid w:val="22FB1D2D"/>
    <w:rsid w:val="230265FB"/>
    <w:rsid w:val="23E9602A"/>
    <w:rsid w:val="242B03F0"/>
    <w:rsid w:val="24F13006"/>
    <w:rsid w:val="26E533CB"/>
    <w:rsid w:val="295D104C"/>
    <w:rsid w:val="29B665AC"/>
    <w:rsid w:val="29D15596"/>
    <w:rsid w:val="2A7725E1"/>
    <w:rsid w:val="2B473D61"/>
    <w:rsid w:val="2BD27227"/>
    <w:rsid w:val="2CB01DDA"/>
    <w:rsid w:val="2D0F4D53"/>
    <w:rsid w:val="2D460049"/>
    <w:rsid w:val="2DE7298C"/>
    <w:rsid w:val="3163566D"/>
    <w:rsid w:val="31D8203D"/>
    <w:rsid w:val="31FA2FC3"/>
    <w:rsid w:val="3248523C"/>
    <w:rsid w:val="333E6870"/>
    <w:rsid w:val="353327D7"/>
    <w:rsid w:val="35956011"/>
    <w:rsid w:val="35A3072E"/>
    <w:rsid w:val="35BA60CE"/>
    <w:rsid w:val="37C84CB4"/>
    <w:rsid w:val="37CE1367"/>
    <w:rsid w:val="38CA49CD"/>
    <w:rsid w:val="39D54C2E"/>
    <w:rsid w:val="3A731769"/>
    <w:rsid w:val="3A7601BF"/>
    <w:rsid w:val="3B3140E6"/>
    <w:rsid w:val="3B8763FC"/>
    <w:rsid w:val="3C0E61D6"/>
    <w:rsid w:val="3D912B45"/>
    <w:rsid w:val="3DC92B7D"/>
    <w:rsid w:val="3E7013C9"/>
    <w:rsid w:val="3F2D1069"/>
    <w:rsid w:val="404D79B1"/>
    <w:rsid w:val="40CF23D7"/>
    <w:rsid w:val="411058C0"/>
    <w:rsid w:val="413277CA"/>
    <w:rsid w:val="41A31919"/>
    <w:rsid w:val="42507548"/>
    <w:rsid w:val="457F75CA"/>
    <w:rsid w:val="46CA0328"/>
    <w:rsid w:val="471A6376"/>
    <w:rsid w:val="473C62ED"/>
    <w:rsid w:val="495E1E55"/>
    <w:rsid w:val="4A6C57DD"/>
    <w:rsid w:val="4A842484"/>
    <w:rsid w:val="4ACE4B79"/>
    <w:rsid w:val="4ADA413D"/>
    <w:rsid w:val="4C811ECE"/>
    <w:rsid w:val="4C8E75EA"/>
    <w:rsid w:val="4CD64AED"/>
    <w:rsid w:val="4DC61E27"/>
    <w:rsid w:val="4DEA6AA2"/>
    <w:rsid w:val="4DF74D1B"/>
    <w:rsid w:val="505E5526"/>
    <w:rsid w:val="50C025FA"/>
    <w:rsid w:val="51CA3B38"/>
    <w:rsid w:val="52F65EE9"/>
    <w:rsid w:val="53425821"/>
    <w:rsid w:val="54260108"/>
    <w:rsid w:val="543D7D43"/>
    <w:rsid w:val="54413194"/>
    <w:rsid w:val="54570630"/>
    <w:rsid w:val="554E608A"/>
    <w:rsid w:val="567D5FDA"/>
    <w:rsid w:val="56D36709"/>
    <w:rsid w:val="56EB5013"/>
    <w:rsid w:val="57A557E8"/>
    <w:rsid w:val="57DD4F82"/>
    <w:rsid w:val="59337A15"/>
    <w:rsid w:val="5A2C0199"/>
    <w:rsid w:val="5A865DA5"/>
    <w:rsid w:val="5B3B1FAA"/>
    <w:rsid w:val="5BEA43D9"/>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76905E0"/>
    <w:rsid w:val="67FD9C9A"/>
    <w:rsid w:val="68B735CD"/>
    <w:rsid w:val="6A400653"/>
    <w:rsid w:val="6A7F45BF"/>
    <w:rsid w:val="6B5A68F5"/>
    <w:rsid w:val="6BBF5D79"/>
    <w:rsid w:val="6BC9041D"/>
    <w:rsid w:val="6BFD69B2"/>
    <w:rsid w:val="6DAB7F02"/>
    <w:rsid w:val="6F8B7C47"/>
    <w:rsid w:val="719E17CE"/>
    <w:rsid w:val="71CD20B4"/>
    <w:rsid w:val="72567DE8"/>
    <w:rsid w:val="72C16AF2"/>
    <w:rsid w:val="72FA6ED8"/>
    <w:rsid w:val="73A76E7D"/>
    <w:rsid w:val="74A23383"/>
    <w:rsid w:val="75730384"/>
    <w:rsid w:val="76146976"/>
    <w:rsid w:val="78401AE9"/>
    <w:rsid w:val="7B4E5EDA"/>
    <w:rsid w:val="7BEB3862"/>
    <w:rsid w:val="7C7B7C1A"/>
    <w:rsid w:val="7D210FAE"/>
    <w:rsid w:val="7DE95B7F"/>
    <w:rsid w:val="7DF64DA9"/>
    <w:rsid w:val="7E151C77"/>
    <w:rsid w:val="FFA7DA90"/>
    <w:rsid w:val="FFD4B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29"/>
    <w:qFormat/>
    <w:uiPriority w:val="0"/>
    <w:pPr>
      <w:keepNext/>
      <w:keepLines/>
      <w:spacing w:before="480"/>
      <w:jc w:val="center"/>
      <w:outlineLvl w:val="0"/>
    </w:pPr>
    <w:rPr>
      <w:rFonts w:ascii="Cambria" w:hAnsi="Cambria" w:eastAsia="华文中宋"/>
      <w:sz w:val="44"/>
      <w:szCs w:val="28"/>
    </w:rPr>
  </w:style>
  <w:style w:type="paragraph" w:styleId="3">
    <w:name w:val="heading 2"/>
    <w:basedOn w:val="1"/>
    <w:next w:val="1"/>
    <w:link w:val="3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widowControl w:val="0"/>
      <w:numPr>
        <w:ilvl w:val="2"/>
        <w:numId w:val="1"/>
      </w:numPr>
      <w:spacing w:before="240" w:after="120" w:line="415" w:lineRule="auto"/>
      <w:ind w:firstLineChars="0"/>
      <w:jc w:val="left"/>
      <w:outlineLvl w:val="2"/>
    </w:pPr>
    <w:rPr>
      <w:rFonts w:ascii="Calibri" w:hAnsi="Calibri" w:cs="Times New Roman (正文 CS 字体)"/>
      <w:b/>
      <w:bCs/>
      <w:kern w:val="2"/>
      <w:sz w:val="28"/>
      <w:szCs w:val="40"/>
    </w:rPr>
  </w:style>
  <w:style w:type="paragraph" w:styleId="5">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Body Text Indent"/>
    <w:basedOn w:val="1"/>
    <w:next w:val="8"/>
    <w:unhideWhenUsed/>
    <w:qFormat/>
    <w:uiPriority w:val="99"/>
    <w:pPr>
      <w:spacing w:after="120"/>
      <w:ind w:left="420" w:leftChars="200"/>
    </w:pPr>
  </w:style>
  <w:style w:type="paragraph" w:styleId="8">
    <w:name w:val="Body Text Indent 2"/>
    <w:basedOn w:val="1"/>
    <w:link w:val="41"/>
    <w:qFormat/>
    <w:uiPriority w:val="99"/>
    <w:pPr>
      <w:spacing w:after="120" w:line="480" w:lineRule="auto"/>
      <w:ind w:left="420" w:leftChars="200"/>
    </w:pPr>
    <w:rPr>
      <w:kern w:val="0"/>
      <w:sz w:val="24"/>
    </w:rPr>
  </w:style>
  <w:style w:type="paragraph" w:styleId="9">
    <w:name w:val="Document Map"/>
    <w:basedOn w:val="1"/>
    <w:link w:val="25"/>
    <w:semiHidden/>
    <w:unhideWhenUsed/>
    <w:qFormat/>
    <w:uiPriority w:val="99"/>
    <w:rPr>
      <w:rFonts w:ascii="宋体"/>
      <w:sz w:val="18"/>
      <w:szCs w:val="18"/>
    </w:rPr>
  </w:style>
  <w:style w:type="paragraph" w:styleId="10">
    <w:name w:val="Body Text"/>
    <w:basedOn w:val="1"/>
    <w:next w:val="1"/>
    <w:link w:val="37"/>
    <w:qFormat/>
    <w:uiPriority w:val="0"/>
    <w:pPr>
      <w:spacing w:after="120"/>
    </w:pPr>
    <w:rPr>
      <w:rFonts w:ascii="Times New Roman" w:hAnsi="Times New Roman"/>
      <w:szCs w:val="24"/>
    </w:rPr>
  </w:style>
  <w:style w:type="paragraph" w:styleId="11">
    <w:name w:val="Plain Text"/>
    <w:basedOn w:val="1"/>
    <w:link w:val="30"/>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semiHidden/>
    <w:unhideWhenUsed/>
    <w:qFormat/>
    <w:uiPriority w:val="99"/>
    <w:rPr>
      <w:sz w:val="24"/>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7"/>
    <w:next w:val="1"/>
    <w:unhideWhenUsed/>
    <w:qFormat/>
    <w:uiPriority w:val="99"/>
    <w:pPr>
      <w:spacing w:before="100" w:beforeAutospacing="1"/>
      <w:ind w:firstLine="420"/>
    </w:pPr>
    <w:rPr>
      <w:szCs w:val="21"/>
    </w:rPr>
  </w:style>
  <w:style w:type="table" w:styleId="19">
    <w:name w:val="Table Grid"/>
    <w:basedOn w:val="1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page number"/>
    <w:basedOn w:val="20"/>
    <w:qFormat/>
    <w:uiPriority w:val="0"/>
  </w:style>
  <w:style w:type="character" w:customStyle="1" w:styleId="23">
    <w:name w:val="页眉 字符"/>
    <w:basedOn w:val="20"/>
    <w:link w:val="14"/>
    <w:qFormat/>
    <w:uiPriority w:val="0"/>
    <w:rPr>
      <w:rFonts w:ascii="Calibri" w:hAnsi="Calibri" w:eastAsia="宋体" w:cs="Times New Roman"/>
      <w:sz w:val="18"/>
      <w:szCs w:val="18"/>
    </w:rPr>
  </w:style>
  <w:style w:type="character" w:customStyle="1" w:styleId="24">
    <w:name w:val="页脚 字符"/>
    <w:basedOn w:val="20"/>
    <w:link w:val="13"/>
    <w:qFormat/>
    <w:uiPriority w:val="99"/>
    <w:rPr>
      <w:rFonts w:ascii="Calibri" w:hAnsi="Calibri" w:eastAsia="宋体" w:cs="Times New Roman"/>
      <w:sz w:val="18"/>
      <w:szCs w:val="18"/>
    </w:rPr>
  </w:style>
  <w:style w:type="character" w:customStyle="1" w:styleId="25">
    <w:name w:val="文档结构图 字符"/>
    <w:basedOn w:val="20"/>
    <w:link w:val="9"/>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字符"/>
    <w:basedOn w:val="20"/>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标题 1 字符"/>
    <w:basedOn w:val="20"/>
    <w:link w:val="2"/>
    <w:qFormat/>
    <w:uiPriority w:val="0"/>
    <w:rPr>
      <w:rFonts w:ascii="Cambria" w:hAnsi="Cambria" w:eastAsia="华文中宋" w:cs="Times New Roman"/>
      <w:b/>
      <w:bCs/>
      <w:sz w:val="44"/>
      <w:szCs w:val="28"/>
    </w:rPr>
  </w:style>
  <w:style w:type="character" w:customStyle="1" w:styleId="30">
    <w:name w:val="纯文本 字符"/>
    <w:link w:val="11"/>
    <w:qFormat/>
    <w:locked/>
    <w:uiPriority w:val="0"/>
    <w:rPr>
      <w:rFonts w:ascii="宋体" w:hAnsi="Courier New"/>
      <w:sz w:val="21"/>
    </w:rPr>
  </w:style>
  <w:style w:type="character" w:customStyle="1" w:styleId="31">
    <w:name w:val="纯文本 Char"/>
    <w:basedOn w:val="20"/>
    <w:semiHidden/>
    <w:qFormat/>
    <w:uiPriority w:val="99"/>
    <w:rPr>
      <w:rFonts w:ascii="宋体" w:hAnsi="Courier New" w:cs="Courier New"/>
      <w:kern w:val="2"/>
      <w:sz w:val="21"/>
      <w:szCs w:val="21"/>
    </w:rPr>
  </w:style>
  <w:style w:type="character" w:customStyle="1" w:styleId="32">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字符"/>
    <w:basedOn w:val="20"/>
    <w:link w:val="5"/>
    <w:qFormat/>
    <w:uiPriority w:val="9"/>
    <w:rPr>
      <w:rFonts w:asciiTheme="majorHAnsi" w:hAnsiTheme="majorHAnsi" w:eastAsiaTheme="majorEastAsia" w:cstheme="majorBidi"/>
      <w:b/>
      <w:bCs/>
      <w:kern w:val="2"/>
      <w:sz w:val="24"/>
      <w:szCs w:val="24"/>
    </w:rPr>
  </w:style>
  <w:style w:type="character" w:customStyle="1" w:styleId="37">
    <w:name w:val="正文文本 字符"/>
    <w:basedOn w:val="20"/>
    <w:link w:val="10"/>
    <w:qFormat/>
    <w:uiPriority w:val="0"/>
    <w:rPr>
      <w:kern w:val="2"/>
      <w:sz w:val="21"/>
      <w:szCs w:val="24"/>
    </w:rPr>
  </w:style>
  <w:style w:type="paragraph" w:styleId="38">
    <w:name w:val="List Paragraph"/>
    <w:basedOn w:val="1"/>
    <w:qFormat/>
    <w:uiPriority w:val="34"/>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字符"/>
    <w:link w:val="8"/>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3"/>
    <w:qFormat/>
    <w:uiPriority w:val="0"/>
    <w:pPr>
      <w:spacing w:before="0" w:after="0" w:line="560" w:lineRule="exact"/>
      <w:ind w:firstLine="200" w:firstLineChars="200"/>
    </w:pPr>
    <w:rPr>
      <w:rFonts w:ascii="楷体_GB2312" w:hAnsi="Times New Roman" w:eastAsia="楷体_GB2312"/>
      <w:b w:val="0"/>
    </w:rPr>
  </w:style>
  <w:style w:type="table" w:customStyle="1" w:styleId="45">
    <w:name w:val="网格型1"/>
    <w:basedOn w:val="18"/>
    <w:autoRedefine/>
    <w:qFormat/>
    <w:uiPriority w:val="0"/>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6">
    <w:name w:val="font112"/>
    <w:basedOn w:val="20"/>
    <w:qFormat/>
    <w:uiPriority w:val="0"/>
    <w:rPr>
      <w:rFonts w:ascii="Arial" w:hAnsi="Arial" w:cs="Arial"/>
      <w:color w:val="000000"/>
      <w:sz w:val="21"/>
      <w:szCs w:val="21"/>
      <w:u w:val="none"/>
    </w:rPr>
  </w:style>
  <w:style w:type="character" w:customStyle="1" w:styleId="47">
    <w:name w:val="font51"/>
    <w:basedOn w:val="20"/>
    <w:qFormat/>
    <w:uiPriority w:val="0"/>
    <w:rPr>
      <w:rFonts w:hint="eastAsia" w:ascii="仿宋" w:hAnsi="仿宋" w:eastAsia="仿宋" w:cs="仿宋"/>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6425</Words>
  <Characters>6940</Characters>
  <Lines>31</Lines>
  <Paragraphs>9</Paragraphs>
  <TotalTime>49</TotalTime>
  <ScaleCrop>false</ScaleCrop>
  <LinksUpToDate>false</LinksUpToDate>
  <CharactersWithSpaces>6990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2025-01-19T11:35:00Z</dcterms:created>
  <dc:creator>china</dc:creator>
  <cp:lastModifiedBy>熊。。</cp:lastModifiedBy>
  <cp:lastPrinted>2025-09-30T13:39:00Z</cp:lastPrinted>
  <dcterms:modified xsi:type="dcterms:W3CDTF">2026-03-31T10:31:40Z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9B913A115AC04053A5664D333CEE12B1_13</vt:lpwstr>
  </property>
  <property fmtid="{D5CDD505-2E9C-101B-9397-08002B2CF9AE}" pid="4" name="KSOTemplateDocerSaveRecord">
    <vt:lpwstr>eyJoZGlkIjoiMzRlN2U5NTFkNDk0YTU0NjQxM2U3NTRhYjdkZWMzYzYiLCJ1c2VySWQiOiIyMzUyNzAwMTYifQ==</vt:lpwstr>
  </property>
</Properties>
</file>