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6E018500">
      <w:pPr>
        <w:pStyle w:val="39"/>
        <w:ind w:firstLine="320" w:firstLineChars="100"/>
        <w:jc w:val="both"/>
        <w:rPr>
          <w:rFonts w:hint="eastAsia" w:ascii="黑体" w:hAnsi="黑体" w:eastAsia="黑体"/>
          <w:kern w:val="0"/>
          <w:sz w:val="32"/>
          <w:szCs w:val="32"/>
        </w:rPr>
      </w:pPr>
      <w:r>
        <w:rPr>
          <w:rFonts w:ascii="黑体" w:hAnsi="黑体" w:eastAsia="黑体"/>
          <w:sz w:val="32"/>
          <w:szCs w:val="32"/>
        </w:rPr>
        <w:t>采购项目名称：</w:t>
      </w:r>
      <w:r>
        <w:rPr>
          <w:rFonts w:hint="eastAsia" w:ascii="黑体" w:hAnsi="黑体" w:eastAsia="黑体"/>
          <w:kern w:val="0"/>
          <w:sz w:val="32"/>
          <w:szCs w:val="32"/>
          <w:lang w:val="en-US" w:eastAsia="zh-CN"/>
        </w:rPr>
        <w:t>智慧党建系统建设</w:t>
      </w:r>
      <w:r>
        <w:rPr>
          <w:rFonts w:hint="eastAsia" w:ascii="黑体" w:hAnsi="黑体" w:eastAsia="黑体"/>
          <w:kern w:val="0"/>
          <w:sz w:val="32"/>
          <w:szCs w:val="32"/>
        </w:rPr>
        <w:t>项目</w:t>
      </w: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六</w:t>
      </w:r>
      <w:r>
        <w:rPr>
          <w:rFonts w:ascii="黑体" w:hAnsi="黑体" w:eastAsia="黑体"/>
          <w:sz w:val="32"/>
          <w:szCs w:val="32"/>
        </w:rPr>
        <w:t>月</w:t>
      </w:r>
    </w:p>
    <w:p w14:paraId="3FD890A2">
      <w:pPr>
        <w:pStyle w:val="15"/>
      </w:pPr>
    </w:p>
    <w:p w14:paraId="40E4DFFA">
      <w:pPr>
        <w:pStyle w:val="15"/>
        <w:rPr>
          <w:szCs w:val="22"/>
        </w:rPr>
      </w:pPr>
    </w:p>
    <w:p w14:paraId="5E167601">
      <w:pPr>
        <w:jc w:val="center"/>
        <w:outlineLvl w:val="0"/>
        <w:rPr>
          <w:rFonts w:hint="eastAsia" w:ascii="黑体" w:hAnsi="黑体" w:eastAsia="黑体"/>
          <w:b/>
          <w:sz w:val="36"/>
          <w:szCs w:val="36"/>
        </w:rPr>
      </w:pPr>
      <w:r>
        <w:rPr>
          <w:rFonts w:hint="eastAsia" w:ascii="黑体" w:hAnsi="黑体" w:eastAsia="黑体"/>
          <w:b/>
          <w:sz w:val="36"/>
          <w:szCs w:val="36"/>
        </w:rPr>
        <w:t>湖南铁道职业技术学</w:t>
      </w:r>
      <w:r>
        <w:rPr>
          <w:rFonts w:hint="eastAsia" w:ascii="黑体" w:hAnsi="黑体" w:eastAsia="黑体"/>
          <w:b/>
          <w:sz w:val="36"/>
          <w:szCs w:val="36"/>
          <w:u w:val="none"/>
        </w:rPr>
        <w:t>院</w:t>
      </w:r>
      <w:r>
        <w:rPr>
          <w:rFonts w:hint="eastAsia" w:ascii="黑体" w:hAnsi="黑体" w:eastAsia="黑体"/>
          <w:b/>
          <w:sz w:val="36"/>
          <w:szCs w:val="36"/>
          <w:u w:val="none"/>
          <w:lang w:val="en-US" w:eastAsia="zh-CN"/>
        </w:rPr>
        <w:t>智慧党建系统建设</w:t>
      </w:r>
      <w:r>
        <w:rPr>
          <w:rFonts w:hint="eastAsia" w:ascii="黑体" w:hAnsi="黑体" w:eastAsia="黑体"/>
          <w:b/>
          <w:sz w:val="36"/>
          <w:szCs w:val="36"/>
        </w:rPr>
        <w:t>项目</w:t>
      </w:r>
    </w:p>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询比</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lang w:val="en-US" w:eastAsia="zh-CN"/>
        </w:rPr>
        <w:t>智慧党建系统建设</w:t>
      </w:r>
      <w:r>
        <w:rPr>
          <w:rFonts w:hint="eastAsia" w:ascii="仿宋" w:hAnsi="仿宋" w:eastAsia="仿宋"/>
          <w:sz w:val="24"/>
          <w:szCs w:val="24"/>
          <w:u w:val="none"/>
        </w:rPr>
        <w:t>项</w:t>
      </w:r>
      <w:r>
        <w:rPr>
          <w:rFonts w:hint="eastAsia" w:ascii="仿宋" w:hAnsi="仿宋" w:eastAsia="仿宋"/>
          <w:sz w:val="24"/>
          <w:szCs w:val="24"/>
        </w:rPr>
        <w:t>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31662_WPSOffice_Level2"/>
      <w:bookmarkStart w:id="1" w:name="_Toc4659"/>
      <w:bookmarkStart w:id="2" w:name="_Toc3564"/>
      <w:bookmarkStart w:id="3" w:name="_Toc26475"/>
      <w:bookmarkStart w:id="4" w:name="_Toc17794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1.项目名称：</w:t>
      </w:r>
      <w:r>
        <w:rPr>
          <w:rFonts w:hint="eastAsia" w:ascii="仿宋" w:hAnsi="仿宋" w:eastAsia="仿宋"/>
          <w:sz w:val="24"/>
          <w:szCs w:val="24"/>
          <w:u w:val="none"/>
          <w:lang w:val="en-US" w:eastAsia="zh-CN"/>
        </w:rPr>
        <w:t>智慧党建系统建设</w:t>
      </w:r>
      <w:r>
        <w:rPr>
          <w:rFonts w:hint="eastAsia" w:ascii="仿宋" w:hAnsi="仿宋" w:eastAsia="仿宋"/>
          <w:sz w:val="24"/>
          <w:szCs w:val="24"/>
          <w:u w:val="none"/>
        </w:rPr>
        <w:t>项目</w:t>
      </w:r>
    </w:p>
    <w:p w14:paraId="578FFB39">
      <w:pPr>
        <w:widowControl/>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 xml:space="preserve">2.项目概况: </w:t>
      </w:r>
      <w:r>
        <w:rPr>
          <w:rFonts w:hint="eastAsia" w:ascii="仿宋" w:hAnsi="仿宋" w:eastAsia="仿宋" w:cs="Times New Roman"/>
          <w:kern w:val="2"/>
          <w:sz w:val="24"/>
          <w:szCs w:val="24"/>
          <w:u w:val="none"/>
          <w:lang w:val="en-US" w:eastAsia="zh-CN" w:bidi="ar-SA"/>
        </w:rPr>
        <w:t>为了深化“党建+数字化”融合，推进学校党建平台信息化，运用网络信息技术和大数据，整合党建资源，创新活动方式，提升党组织凝聚力和工作效率。智慧党建系统项目应运而生，其核心目标是通过信息技术赋能党建，建设“互联网+党建”的智慧党建平台，将技术优势和党建政治优势充分结合，从而提升党的建设工作的效能和水平，以适应新时代党的建设的要求和挑战。</w:t>
      </w:r>
    </w:p>
    <w:p w14:paraId="5BF0E80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3.服务内容：</w:t>
      </w:r>
      <w:r>
        <w:rPr>
          <w:rFonts w:hint="eastAsia" w:ascii="仿宋" w:hAnsi="仿宋" w:eastAsia="仿宋"/>
          <w:sz w:val="24"/>
          <w:szCs w:val="24"/>
          <w:u w:val="none"/>
        </w:rPr>
        <w:t>智慧党建系统的开发与维护，</w:t>
      </w:r>
      <w:r>
        <w:rPr>
          <w:rFonts w:hint="eastAsia" w:ascii="仿宋" w:hAnsi="仿宋" w:eastAsia="仿宋"/>
          <w:sz w:val="24"/>
          <w:szCs w:val="24"/>
        </w:rPr>
        <w:t>具体内容详见采购文件（见附件）。</w:t>
      </w:r>
    </w:p>
    <w:p w14:paraId="71947C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19.8</w:t>
      </w:r>
      <w:r>
        <w:rPr>
          <w:rFonts w:ascii="仿宋" w:hAnsi="仿宋" w:eastAsia="仿宋"/>
          <w:sz w:val="24"/>
          <w:szCs w:val="24"/>
          <w:u w:val="none"/>
        </w:rPr>
        <w:t>万</w:t>
      </w:r>
      <w:r>
        <w:rPr>
          <w:rFonts w:ascii="仿宋" w:hAnsi="仿宋" w:eastAsia="仿宋"/>
          <w:sz w:val="24"/>
          <w:szCs w:val="24"/>
        </w:rPr>
        <w:t>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（6）法律、行政法规规定的其他条件。</w:t>
      </w:r>
    </w:p>
    <w:p w14:paraId="3614C52D">
      <w:pPr>
        <w:pStyle w:val="15"/>
        <w:snapToGrid w:val="0"/>
        <w:spacing w:before="0" w:beforeAutospacing="0" w:after="0" w:line="360" w:lineRule="auto"/>
        <w:ind w:left="0" w:leftChars="0" w:firstLine="480" w:firstLineChars="200"/>
        <w:jc w:val="left"/>
        <w:rPr>
          <w:rFonts w:hint="eastAsia" w:ascii="仿宋" w:hAnsi="仿宋" w:eastAsia="仿宋"/>
          <w:sz w:val="24"/>
          <w:szCs w:val="24"/>
          <w:lang w:val="en-US" w:eastAsia="zh-CN"/>
        </w:rPr>
      </w:pPr>
      <w:r>
        <w:rPr>
          <w:rFonts w:hint="eastAsia" w:ascii="仿宋" w:hAnsi="仿宋" w:eastAsia="仿宋"/>
          <w:sz w:val="24"/>
          <w:szCs w:val="24"/>
        </w:rPr>
        <w:t>2、特定资格条件：</w:t>
      </w:r>
      <w:r>
        <w:rPr>
          <w:rFonts w:hint="eastAsia" w:ascii="仿宋" w:hAnsi="仿宋" w:eastAsia="仿宋"/>
          <w:sz w:val="24"/>
          <w:szCs w:val="24"/>
          <w:lang w:val="en-US" w:eastAsia="zh-CN"/>
        </w:rPr>
        <w:t>无</w:t>
      </w:r>
    </w:p>
    <w:p w14:paraId="4B673CBE">
      <w:pPr>
        <w:pStyle w:val="15"/>
        <w:snapToGrid w:val="0"/>
        <w:spacing w:before="0" w:beforeAutospacing="0" w:after="0" w:line="360" w:lineRule="auto"/>
        <w:ind w:left="0" w:leftChars="0" w:firstLine="480" w:firstLineChars="200"/>
        <w:jc w:val="left"/>
        <w:rPr>
          <w:rFonts w:hint="eastAsia" w:ascii="仿宋" w:hAnsi="仿宋" w:eastAsia="仿宋"/>
          <w:sz w:val="24"/>
          <w:szCs w:val="24"/>
          <w:lang w:eastAsia="zh-CN"/>
        </w:rPr>
      </w:pPr>
      <w:r>
        <w:rPr>
          <w:rFonts w:hint="eastAsia" w:ascii="仿宋" w:hAnsi="仿宋" w:eastAsia="仿宋"/>
          <w:sz w:val="24"/>
          <w:szCs w:val="24"/>
          <w:lang w:val="en-US" w:eastAsia="zh-CN"/>
        </w:rPr>
        <w:t>3、</w:t>
      </w:r>
      <w:r>
        <w:rPr>
          <w:rFonts w:hint="eastAsia" w:ascii="仿宋" w:hAnsi="仿宋" w:eastAsia="仿宋"/>
          <w:sz w:val="24"/>
          <w:szCs w:val="24"/>
        </w:rPr>
        <w:t>本项目不接受联合体</w:t>
      </w:r>
      <w:r>
        <w:rPr>
          <w:rFonts w:hint="eastAsia" w:ascii="仿宋" w:hAnsi="仿宋" w:eastAsia="仿宋"/>
          <w:sz w:val="24"/>
          <w:szCs w:val="24"/>
          <w:lang w:val="en-US" w:eastAsia="zh-CN"/>
        </w:rPr>
        <w:t>投标</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r>
        <w:rPr>
          <w:rFonts w:hint="eastAsia" w:ascii="仿宋" w:hAnsi="仿宋" w:eastAsia="仿宋"/>
          <w:b/>
          <w:bCs/>
          <w:sz w:val="24"/>
          <w:szCs w:val="24"/>
        </w:rPr>
        <w:t>三、响应文件提交的截止时间、开启时间及地点</w:t>
      </w:r>
      <w:bookmarkEnd w:id="5"/>
    </w:p>
    <w:p w14:paraId="3B317B08">
      <w:pPr>
        <w:spacing w:line="360" w:lineRule="auto"/>
        <w:ind w:left="480"/>
        <w:rPr>
          <w:rFonts w:hint="eastAsia" w:ascii="仿宋" w:hAnsi="仿宋" w:eastAsia="仿宋" w:cs="Times New Roman"/>
          <w:kern w:val="2"/>
          <w:sz w:val="24"/>
          <w:szCs w:val="24"/>
          <w:lang w:val="en-US" w:eastAsia="zh-CN" w:bidi="ar-SA"/>
        </w:rPr>
      </w:pPr>
      <w:bookmarkStart w:id="6" w:name="_Toc58335832"/>
      <w:r>
        <w:rPr>
          <w:rFonts w:hint="eastAsia" w:ascii="仿宋" w:hAnsi="仿宋" w:eastAsia="仿宋" w:cs="Times New Roman"/>
          <w:kern w:val="2"/>
          <w:sz w:val="24"/>
          <w:szCs w:val="24"/>
          <w:lang w:val="en-US" w:eastAsia="zh-CN" w:bidi="ar-SA"/>
        </w:rPr>
        <w:t>1．首次响应文件的提交截止时间：2025年6月23日16时</w:t>
      </w:r>
    </w:p>
    <w:p w14:paraId="7449A5CA">
      <w:pPr>
        <w:spacing w:line="360" w:lineRule="auto"/>
        <w:ind w:left="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2．首次响应文件的开启时间：2025年6月23日16时</w:t>
      </w:r>
    </w:p>
    <w:p w14:paraId="6AA70289">
      <w:pPr>
        <w:spacing w:line="360" w:lineRule="auto"/>
        <w:ind w:left="480"/>
        <w:rPr>
          <w:rFonts w:hint="eastAsia" w:ascii="仿宋" w:hAnsi="仿宋" w:eastAsia="仿宋" w:cs="Times New Roman"/>
          <w:kern w:val="2"/>
          <w:sz w:val="24"/>
          <w:szCs w:val="24"/>
          <w:lang w:val="en-US" w:eastAsia="zh-CN" w:bidi="ar-SA"/>
        </w:rPr>
      </w:pPr>
      <w:r>
        <w:rPr>
          <w:rFonts w:hint="eastAsia" w:ascii="仿宋" w:hAnsi="仿宋" w:eastAsia="仿宋" w:cs="Times New Roman"/>
          <w:kern w:val="2"/>
          <w:sz w:val="24"/>
          <w:szCs w:val="24"/>
          <w:lang w:val="en-US" w:eastAsia="zh-CN" w:bidi="ar-SA"/>
        </w:rPr>
        <w:t>3．首次响应文件的开启地点：湖南铁道职业技术学院</w:t>
      </w:r>
    </w:p>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r>
        <w:rPr>
          <w:rFonts w:hint="eastAsia" w:ascii="仿宋" w:hAnsi="仿宋" w:eastAsia="仿宋" w:cs="宋体"/>
          <w:bCs w:val="0"/>
          <w:kern w:val="0"/>
          <w:sz w:val="24"/>
          <w:szCs w:val="24"/>
        </w:rPr>
        <w:t>四、公告期限</w:t>
      </w:r>
      <w:bookmarkEnd w:id="6"/>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14:paraId="3FA64961">
      <w:pPr>
        <w:snapToGrid w:val="0"/>
        <w:spacing w:line="360" w:lineRule="auto"/>
        <w:ind w:firstLine="480" w:firstLineChars="200"/>
        <w:jc w:val="left"/>
        <w:rPr>
          <w:rFonts w:hint="eastAsia" w:ascii="仿宋" w:hAnsi="仿宋" w:eastAsia="仿宋" w:cstheme="minorEastAsia"/>
          <w:sz w:val="24"/>
          <w:szCs w:val="24"/>
          <w:u w:val="none"/>
          <w:lang w:eastAsia="zh-CN"/>
        </w:rPr>
      </w:pPr>
      <w:r>
        <w:rPr>
          <w:rFonts w:hint="eastAsia" w:ascii="仿宋" w:hAnsi="仿宋" w:eastAsia="仿宋" w:cstheme="minorEastAsia"/>
          <w:sz w:val="24"/>
          <w:szCs w:val="24"/>
        </w:rPr>
        <w:t>联系人姓名：</w:t>
      </w:r>
      <w:r>
        <w:rPr>
          <w:rFonts w:hint="eastAsia" w:ascii="仿宋" w:hAnsi="仿宋" w:eastAsia="仿宋" w:cstheme="minorEastAsia"/>
          <w:sz w:val="24"/>
          <w:szCs w:val="24"/>
          <w:u w:val="none"/>
          <w:lang w:val="en-US" w:eastAsia="zh-CN"/>
        </w:rPr>
        <w:t>周治军</w:t>
      </w:r>
    </w:p>
    <w:p w14:paraId="3B375338">
      <w:pPr>
        <w:snapToGrid w:val="0"/>
        <w:spacing w:line="360" w:lineRule="auto"/>
        <w:ind w:firstLine="480" w:firstLineChars="200"/>
        <w:jc w:val="left"/>
        <w:rPr>
          <w:rFonts w:hint="default" w:ascii="仿宋" w:hAnsi="仿宋" w:eastAsia="仿宋" w:cstheme="minorEastAsia"/>
          <w:sz w:val="24"/>
          <w:szCs w:val="24"/>
          <w:u w:val="none"/>
          <w:lang w:val="en-US" w:eastAsia="zh-CN"/>
        </w:rPr>
      </w:pPr>
      <w:r>
        <w:rPr>
          <w:rFonts w:hint="eastAsia" w:ascii="仿宋" w:hAnsi="仿宋" w:eastAsia="仿宋" w:cstheme="minorEastAsia"/>
          <w:sz w:val="24"/>
          <w:szCs w:val="24"/>
          <w:u w:val="none"/>
        </w:rPr>
        <w:t>电 话：</w:t>
      </w:r>
      <w:r>
        <w:rPr>
          <w:rFonts w:hint="eastAsia" w:ascii="仿宋" w:hAnsi="仿宋" w:eastAsia="仿宋" w:cstheme="minorEastAsia"/>
          <w:sz w:val="24"/>
          <w:szCs w:val="24"/>
          <w:u w:val="none"/>
          <w:lang w:val="en-US" w:eastAsia="zh-CN"/>
        </w:rPr>
        <w:t>0731-22783819</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167C6777">
      <w:pPr>
        <w:pStyle w:val="7"/>
        <w:rPr>
          <w:szCs w:val="22"/>
        </w:rPr>
      </w:pPr>
    </w:p>
    <w:p w14:paraId="43A9A7CF"/>
    <w:p w14:paraId="13F8E109">
      <w:pPr>
        <w:pStyle w:val="7"/>
        <w:rPr>
          <w:szCs w:val="22"/>
        </w:rPr>
      </w:pPr>
    </w:p>
    <w:p w14:paraId="5EC8A2E1"/>
    <w:p w14:paraId="34F8B3C7">
      <w:pPr>
        <w:pStyle w:val="7"/>
        <w:rPr>
          <w:szCs w:val="22"/>
        </w:rPr>
      </w:pPr>
    </w:p>
    <w:p w14:paraId="2A3004E7"/>
    <w:p w14:paraId="333CFB95"/>
    <w:p w14:paraId="7B46CF16">
      <w:pPr>
        <w:pStyle w:val="15"/>
      </w:pPr>
    </w:p>
    <w:p w14:paraId="4726678E"/>
    <w:p w14:paraId="5DDB6D3B"/>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1．项目名称：</w:t>
      </w:r>
      <w:r>
        <w:rPr>
          <w:rFonts w:hint="eastAsia" w:ascii="仿宋" w:hAnsi="仿宋" w:eastAsia="仿宋" w:cs="仿宋"/>
          <w:color w:val="333333"/>
          <w:kern w:val="0"/>
          <w:sz w:val="24"/>
          <w:szCs w:val="24"/>
          <w:u w:val="none"/>
          <w:lang w:val="en-US" w:eastAsia="zh-CN"/>
        </w:rPr>
        <w:t>智慧党建系统建设</w:t>
      </w:r>
      <w:r>
        <w:rPr>
          <w:rFonts w:hint="eastAsia" w:ascii="仿宋" w:hAnsi="仿宋" w:eastAsia="仿宋" w:cs="仿宋"/>
          <w:color w:val="333333"/>
          <w:kern w:val="0"/>
          <w:sz w:val="24"/>
          <w:szCs w:val="24"/>
          <w:u w:val="none"/>
        </w:rPr>
        <w:t>项目</w:t>
      </w:r>
    </w:p>
    <w:p w14:paraId="3584F628">
      <w:pPr>
        <w:pStyle w:val="40"/>
        <w:adjustRightInd w:val="0"/>
        <w:snapToGrid w:val="0"/>
        <w:spacing w:line="360" w:lineRule="auto"/>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rPr>
        <w:t>2．服务期限：</w:t>
      </w:r>
      <w:r>
        <w:rPr>
          <w:rFonts w:hint="eastAsia" w:ascii="仿宋" w:hAnsi="仿宋" w:eastAsia="仿宋" w:cs="仿宋"/>
          <w:color w:val="333333"/>
          <w:kern w:val="0"/>
          <w:sz w:val="24"/>
          <w:szCs w:val="24"/>
          <w:lang w:val="en-US" w:eastAsia="zh-CN"/>
        </w:rPr>
        <w:t>系统建设实施时间：采购合同签订之日起90个日历日内，完成本项目开发建设并达到最终验收标准。</w:t>
      </w:r>
    </w:p>
    <w:p w14:paraId="5A3630E4">
      <w:pPr>
        <w:pStyle w:val="40"/>
        <w:adjustRightInd w:val="0"/>
        <w:snapToGrid w:val="0"/>
        <w:spacing w:line="360" w:lineRule="auto"/>
        <w:ind w:firstLine="480"/>
        <w:rPr>
          <w:rFonts w:hint="eastAsia" w:ascii="仿宋" w:hAnsi="仿宋" w:eastAsia="仿宋" w:cs="仿宋"/>
          <w:color w:val="333333"/>
          <w:kern w:val="0"/>
          <w:sz w:val="24"/>
          <w:szCs w:val="24"/>
          <w:lang w:val="en-US" w:eastAsia="zh-CN"/>
        </w:rPr>
      </w:pPr>
      <w:r>
        <w:rPr>
          <w:rFonts w:hint="eastAsia" w:ascii="仿宋" w:hAnsi="仿宋" w:eastAsia="仿宋" w:cs="仿宋"/>
          <w:color w:val="333333"/>
          <w:kern w:val="0"/>
          <w:sz w:val="24"/>
          <w:szCs w:val="24"/>
          <w:lang w:val="en-US" w:eastAsia="zh-CN"/>
        </w:rPr>
        <w:t>运维服务期：本项目自终验合格之日起，提供3年的免费运维服务。</w:t>
      </w:r>
    </w:p>
    <w:p w14:paraId="60F1158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二、服务内容及要求</w:t>
      </w:r>
    </w:p>
    <w:p w14:paraId="2C1CE0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系统包含小程序端和管理端两大模块。小程序端为党员提供便捷的学习、交流和参与组织生活的渠道，支持在线学习、交流讨论、活动报名等功能，实现党员学习的碎片化和个性化。</w:t>
      </w:r>
    </w:p>
    <w:p w14:paraId="7875D592">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管理端则实现党组织对党员的全生命周期管理，包括党员管理、党员教育、党支部管理、党务工作、组织发展、党建宣传、党风廉政建设、统计分析、书记信箱等，为党务工作者提供高效、便捷的管理工具。通过该系统的实施，学院党建工作将更加高效、规范、透明，党员参与度和满意度将显著提升，为学院培养高素质技术技能人才提供坚强的政治保障。</w:t>
      </w:r>
    </w:p>
    <w:p w14:paraId="3A2E3159">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具体功能模块：</w:t>
      </w:r>
    </w:p>
    <w:p w14:paraId="49B008CC">
      <w:pPr>
        <w:keepNext w:val="0"/>
        <w:keepLines w:val="0"/>
        <w:widowControl/>
        <w:suppressLineNumbers w:val="0"/>
        <w:jc w:val="both"/>
        <w:textAlignment w:val="center"/>
        <w:rPr>
          <w:rFonts w:hint="eastAsia" w:ascii="微软雅黑" w:hAnsi="微软雅黑" w:eastAsia="微软雅黑" w:cs="微软雅黑"/>
          <w:b/>
          <w:bCs/>
          <w:i w:val="0"/>
          <w:iCs w:val="0"/>
          <w:color w:val="000000"/>
          <w:kern w:val="0"/>
          <w:sz w:val="40"/>
          <w:szCs w:val="40"/>
          <w:u w:val="none"/>
          <w:lang w:val="en-US" w:eastAsia="zh-CN" w:bidi="ar"/>
        </w:rPr>
        <w:sectPr>
          <w:pgSz w:w="11906" w:h="16838"/>
          <w:pgMar w:top="1440" w:right="1800" w:bottom="1440" w:left="1800" w:header="851" w:footer="992" w:gutter="0"/>
          <w:cols w:space="720" w:num="1"/>
          <w:docGrid w:type="lines" w:linePitch="312" w:charSpace="0"/>
        </w:sectPr>
      </w:pPr>
    </w:p>
    <w:tbl>
      <w:tblPr>
        <w:tblStyle w:val="16"/>
        <w:tblW w:w="1474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5"/>
        <w:gridCol w:w="1209"/>
        <w:gridCol w:w="1322"/>
        <w:gridCol w:w="1812"/>
        <w:gridCol w:w="6799"/>
        <w:gridCol w:w="2598"/>
      </w:tblGrid>
      <w:tr w14:paraId="00C54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745" w:type="dxa"/>
            <w:gridSpan w:val="6"/>
            <w:tcBorders>
              <w:top w:val="single" w:color="000000" w:sz="4" w:space="0"/>
              <w:left w:val="single" w:color="000000" w:sz="4" w:space="0"/>
              <w:bottom w:val="single" w:color="000000" w:sz="4" w:space="0"/>
              <w:right w:val="nil"/>
            </w:tcBorders>
            <w:shd w:val="clear" w:color="auto" w:fill="FFFFFF"/>
            <w:noWrap w:val="0"/>
            <w:vAlign w:val="center"/>
          </w:tcPr>
          <w:p w14:paraId="03D5AEA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ascii="微软雅黑" w:hAnsi="微软雅黑" w:eastAsia="微软雅黑" w:cs="微软雅黑"/>
                <w:b/>
                <w:bCs/>
                <w:i w:val="0"/>
                <w:iCs w:val="0"/>
                <w:color w:val="000000"/>
                <w:sz w:val="40"/>
                <w:szCs w:val="40"/>
                <w:u w:val="none"/>
              </w:rPr>
            </w:pPr>
            <w:r>
              <w:rPr>
                <w:rFonts w:hint="eastAsia" w:ascii="微软雅黑" w:hAnsi="微软雅黑" w:eastAsia="微软雅黑" w:cs="微软雅黑"/>
                <w:b/>
                <w:bCs/>
                <w:i w:val="0"/>
                <w:iCs w:val="0"/>
                <w:color w:val="000000"/>
                <w:kern w:val="0"/>
                <w:sz w:val="32"/>
                <w:szCs w:val="32"/>
                <w:u w:val="none"/>
                <w:lang w:val="en-US" w:eastAsia="zh-CN" w:bidi="ar"/>
              </w:rPr>
              <w:t>湖南铁道职业技术学院智慧党建管理系统+小程序端功能表</w:t>
            </w:r>
          </w:p>
        </w:tc>
      </w:tr>
      <w:tr w14:paraId="70D27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4FCDAD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序号</w:t>
            </w:r>
          </w:p>
        </w:tc>
        <w:tc>
          <w:tcPr>
            <w:tcW w:w="12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80980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系统</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EFE36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主菜单</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8EEF9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二级菜单</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E1C7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子功能/功能说明</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14555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备注</w:t>
            </w:r>
          </w:p>
        </w:tc>
      </w:tr>
      <w:tr w14:paraId="35886B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1556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FA38E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管理平台</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37595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基本设置</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0E91E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轮播图管理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3DD4DF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管理小程序端首页的轮播图广告</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E9478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3C1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5F962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F3E8F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6E759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772CC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基本设置</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520C4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系统基本信息设置</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8DF8B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A241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11755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4A06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E7702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3881B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意见反馈</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672AD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小程序端提交反馈意见管理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8CAD709">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97D2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8E34C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4D626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5FACC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B7C9C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二维码下载</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227483">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生成小程序二维码</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A91C7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50B8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1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A05F2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4F4EB">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81DA5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组织管理</w:t>
            </w:r>
          </w:p>
        </w:tc>
        <w:tc>
          <w:tcPr>
            <w:tcW w:w="1812" w:type="dxa"/>
            <w:tcBorders>
              <w:top w:val="single" w:color="000000" w:sz="4" w:space="0"/>
              <w:left w:val="single" w:color="000000" w:sz="4" w:space="0"/>
              <w:bottom w:val="single" w:color="000000" w:sz="4" w:space="0"/>
              <w:right w:val="single" w:color="000000" w:sz="4" w:space="0"/>
            </w:tcBorders>
            <w:noWrap w:val="0"/>
            <w:vAlign w:val="center"/>
          </w:tcPr>
          <w:p w14:paraId="4BF5D32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党支部管理</w:t>
            </w:r>
          </w:p>
        </w:tc>
        <w:tc>
          <w:tcPr>
            <w:tcW w:w="6799" w:type="dxa"/>
            <w:tcBorders>
              <w:top w:val="single" w:color="000000" w:sz="4" w:space="0"/>
              <w:left w:val="single" w:color="000000" w:sz="4" w:space="0"/>
              <w:bottom w:val="single" w:color="000000" w:sz="4" w:space="0"/>
              <w:right w:val="single" w:color="000000" w:sz="4" w:space="0"/>
            </w:tcBorders>
            <w:noWrap w:val="0"/>
            <w:vAlign w:val="center"/>
          </w:tcPr>
          <w:p w14:paraId="5DBE5AD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设置合理（与教育部大数据平台对接）（4分）：1.基本设置形式2分：党支部信息管理（根据实际情况设置党（总）支部，分为三级：党委、党总支、党支部，可增加支部机构，含支部成立时间、支委分工、换届时间、党小组设置）。</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网上党支部2分：建立网上党支部至少1个，线上开展党支部活动，每个月不少于1次（上传相关资料，未更新扣0.5分/次）班子选优配齐（7分）：3.班子职数及配备（2分）：总支部委员设置:党总支部书记、副书记、组织委员（专职组织员）、宣传委员、纪检委员、统战委员、青年委员、保卫委员；支部委员设置：党支部书记、组织委员、宣传委员、纪检委员、统战委员、青年委员、保卫委员（支委空缺3个月的，扣0.5分，未设纪检委员扣0.5分）4.书记选配（5分）：“双带头人”到位、党群管部门组成的支部一般由部门负责人担任支部书记（双带头人支部在培育的（扣2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5.班子任期和换届：二级学院党总支5年、党支部3年（设置提醒警示）</w:t>
            </w:r>
          </w:p>
        </w:tc>
        <w:tc>
          <w:tcPr>
            <w:tcW w:w="2598" w:type="dxa"/>
            <w:tcBorders>
              <w:top w:val="single" w:color="000000" w:sz="4" w:space="0"/>
              <w:left w:val="single" w:color="000000" w:sz="4" w:space="0"/>
              <w:bottom w:val="single" w:color="000000" w:sz="4" w:space="0"/>
              <w:right w:val="single" w:color="000000" w:sz="4" w:space="0"/>
            </w:tcBorders>
            <w:noWrap w:val="0"/>
            <w:vAlign w:val="center"/>
          </w:tcPr>
          <w:p w14:paraId="70B3E38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bCs/>
                <w:i w:val="0"/>
                <w:iCs w:val="0"/>
                <w:color w:val="000000"/>
                <w:kern w:val="0"/>
                <w:sz w:val="20"/>
                <w:szCs w:val="20"/>
                <w:u w:val="none"/>
                <w:lang w:val="en-US" w:eastAsia="zh-CN" w:bidi="ar"/>
              </w:rPr>
              <w:t>考核设置“达标”得分</w:t>
            </w:r>
            <w:r>
              <w:rPr>
                <w:rFonts w:hint="eastAsia" w:ascii="微软雅黑" w:hAnsi="微软雅黑" w:eastAsia="微软雅黑" w:cs="微软雅黑"/>
                <w:b/>
                <w:bCs/>
                <w:i w:val="0"/>
                <w:iCs w:val="0"/>
                <w:color w:val="000000"/>
                <w:kern w:val="0"/>
                <w:sz w:val="20"/>
                <w:szCs w:val="20"/>
                <w:u w:val="none"/>
                <w:lang w:val="en-US" w:eastAsia="zh-CN" w:bidi="ar"/>
              </w:rPr>
              <w:br w:type="textWrapping"/>
            </w:r>
            <w:r>
              <w:rPr>
                <w:rFonts w:hint="eastAsia" w:ascii="微软雅黑" w:hAnsi="微软雅黑" w:eastAsia="微软雅黑" w:cs="微软雅黑"/>
                <w:b/>
                <w:bCs/>
                <w:i w:val="0"/>
                <w:iCs w:val="0"/>
                <w:color w:val="000000"/>
                <w:kern w:val="0"/>
                <w:sz w:val="20"/>
                <w:szCs w:val="20"/>
                <w:u w:val="none"/>
                <w:lang w:val="en-US" w:eastAsia="zh-CN" w:bidi="ar"/>
              </w:rPr>
              <w:t>和考核扣分，有分值或手填考核分</w:t>
            </w:r>
          </w:p>
        </w:tc>
      </w:tr>
      <w:tr w14:paraId="47925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25AD5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CDB0A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0AA07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C112E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班子成员信息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3C4CD9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党委（党委领导联点基层支部，并分到相应支部过组织生活）、党总支、党支部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A30626">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813F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6A2E7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7DEE8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C6BA3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F0392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换届管理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15BA2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届期时间（换届时间）、换届资料（通知、请示、报告、班子成员基本情况、备案批复、任职通知、书记每年度双述双评报告、年度考核结果录入）</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CE690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0CDC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31DBB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2A5BFF">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8B3D7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379C5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用户管理 </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0254E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智慧党建小程序用户管理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CE3A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ED11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F5982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AC871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B1DE6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4D44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管理员设置</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B7F72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党支部管理员信息管理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FEBF0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1420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E6E88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16BD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3818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B5400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党组织荣誉管理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79AF8B">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党支部每年度的获得的荣誉。（牌匾、表彰文件、荣誉证书、立项党建项目，可以在大屏幕和管理员进行汇总统计，按支部、年度等）</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0711F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考核设置分值或手填考核分，或采用管理员验证赋分。</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支部部或党员获得与党建相关的表彰、荣誉（含工作经验、调研文章、创新成果在大型会议、正刊上推介），国家级每项（次）加 10 分，省级加 6 分，省直级加,4分，学校级（一般是立项党建项目、比赛等）加 2分，累计不超过 20 分，同一荣誉取最高分。</w:t>
            </w:r>
          </w:p>
        </w:tc>
      </w:tr>
      <w:tr w14:paraId="6A40B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11A7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0B00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528D5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0A75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0083D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基本信息、落实党员积分管理（组织生活实，培训学习实，岗位履职实，发挥作用实，服务奉献实。）。把党员参加组织生活、开展培训学习、日常岗位履职、带头发挥作用、做好服务奉献等方面情况作为积分考核内容，每月申报登记、每季评定公示、每年汇总排名，作为评先评优、民主评议及处置不合格党员的重要依据。</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A2120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实现对党员管理基本统计汇总</w:t>
            </w:r>
          </w:p>
        </w:tc>
      </w:tr>
      <w:tr w14:paraId="488E5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3"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8E15C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C4810B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C8B54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党务工作</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4B22A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三会一课</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47B3B1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6.“三会一课”纪实管理（10分）：党员大会、党（总）支部委员会、党小组会、党课，学期有三会一课计划，并向党员公布；单独召开，每月至少1次党（总）支部委员会、1次党小组会、每季度至少1次党员大会党课：联点党委委员每年至少1次党课、党（总）支部书记每年至少1次党课，支部每年至少四次党课“三会一课”（内容涵盖会议开始时间、结束时间、主题内容、参会学生人数、教师人数等（与教育部大数据平台对接））有记录本，记录准确、真实、完整、规范；按月、季度、半年上传；接受上级党组织审阅。需要涵盖党员考勤、学习完成记录上传，与手机端联系使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CB20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20"/>
                <w:szCs w:val="20"/>
                <w:u w:val="none"/>
              </w:rPr>
            </w:pPr>
            <w:r>
              <w:rPr>
                <w:rFonts w:hint="eastAsia" w:ascii="微软雅黑" w:hAnsi="微软雅黑" w:eastAsia="微软雅黑" w:cs="微软雅黑"/>
                <w:b w:val="0"/>
                <w:bCs w:val="0"/>
                <w:i w:val="0"/>
                <w:iCs w:val="0"/>
                <w:color w:val="000000"/>
                <w:kern w:val="0"/>
                <w:sz w:val="20"/>
                <w:szCs w:val="20"/>
                <w:u w:val="none"/>
                <w:lang w:val="en-US" w:eastAsia="zh-CN" w:bidi="ar"/>
              </w:rPr>
              <w:t>考核设置“达标”得分</w:t>
            </w:r>
            <w:r>
              <w:rPr>
                <w:rFonts w:hint="eastAsia" w:ascii="微软雅黑" w:hAnsi="微软雅黑" w:eastAsia="微软雅黑" w:cs="微软雅黑"/>
                <w:b w:val="0"/>
                <w:bCs w:val="0"/>
                <w:i w:val="0"/>
                <w:iCs w:val="0"/>
                <w:color w:val="000000"/>
                <w:kern w:val="0"/>
                <w:sz w:val="20"/>
                <w:szCs w:val="20"/>
                <w:u w:val="none"/>
                <w:lang w:val="en-US" w:eastAsia="zh-CN" w:bidi="ar"/>
              </w:rPr>
              <w:br w:type="textWrapping"/>
            </w:r>
            <w:r>
              <w:rPr>
                <w:rFonts w:hint="eastAsia" w:ascii="微软雅黑" w:hAnsi="微软雅黑" w:eastAsia="微软雅黑" w:cs="微软雅黑"/>
                <w:b w:val="0"/>
                <w:bCs w:val="0"/>
                <w:i w:val="0"/>
                <w:iCs w:val="0"/>
                <w:color w:val="000000"/>
                <w:kern w:val="0"/>
                <w:sz w:val="20"/>
                <w:szCs w:val="20"/>
                <w:u w:val="none"/>
                <w:lang w:val="en-US" w:eastAsia="zh-CN" w:bidi="ar"/>
              </w:rPr>
              <w:t>和考核扣分，有分值或手填考核分。</w:t>
            </w:r>
            <w:r>
              <w:rPr>
                <w:rFonts w:hint="eastAsia" w:ascii="微软雅黑" w:hAnsi="微软雅黑" w:eastAsia="微软雅黑" w:cs="微软雅黑"/>
                <w:b w:val="0"/>
                <w:bCs w:val="0"/>
                <w:i w:val="0"/>
                <w:iCs w:val="0"/>
                <w:color w:val="000000"/>
                <w:kern w:val="0"/>
                <w:sz w:val="20"/>
                <w:szCs w:val="20"/>
                <w:u w:val="none"/>
                <w:lang w:val="en-US" w:eastAsia="zh-CN" w:bidi="ar"/>
              </w:rPr>
              <w:br w:type="textWrapping"/>
            </w:r>
            <w:r>
              <w:rPr>
                <w:rFonts w:hint="eastAsia" w:ascii="微软雅黑" w:hAnsi="微软雅黑" w:eastAsia="微软雅黑" w:cs="微软雅黑"/>
                <w:b w:val="0"/>
                <w:bCs w:val="0"/>
                <w:i w:val="0"/>
                <w:iCs w:val="0"/>
                <w:color w:val="000000"/>
                <w:kern w:val="0"/>
                <w:sz w:val="20"/>
                <w:szCs w:val="20"/>
                <w:u w:val="none"/>
                <w:lang w:val="en-US" w:eastAsia="zh-CN" w:bidi="ar"/>
              </w:rPr>
              <w:t xml:space="preserve">  一项不合格扣 1 分。“三会一课”次数少一次扣 1 分，“三会一课”记录主题、内容不真实、完整的一次扣0.5分，考勤不到位的一次扣0.5分，扣完为止。</w:t>
            </w:r>
          </w:p>
        </w:tc>
      </w:tr>
      <w:tr w14:paraId="5792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77719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F8B0D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0CDAE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EE6E1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组织生活会</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C55AD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7.组织生活会（5分）①根据上级党组织确定的主题，每年至少举行 1 次组织生活会，遇有重要情况，及时召开专题组织生活会。②会前认真学习，谈心谈话，听取意见。③会上查摆问题，开展批评与自我批评，明确整改方向。④会后制定问题清单和整改措施，逐一整改落实。⑤党员领导干部认真执行双重组织生活制度，以普通党员身份参加所在支部组织生活会。</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0B18EE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①达标计 2 分；否则计 0 分。②③④达标计 2 分一项不合格扣 1分，扣完为止。⑤达标计 1 分，否则计 0 分；党员领导干部无故不参加组织生活会，计0 分</w:t>
            </w:r>
          </w:p>
        </w:tc>
      </w:tr>
      <w:tr w14:paraId="55F0A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DE2BE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9E871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9949DB">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75346B">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党员民主评议</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0AA5D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8.党员民主评议（3分）：个人自评、党员互评、民主测评（个人自评材料上传，支委会议记录、建立汇总表、统计表分支部、全校）四个等次：优秀、合格、基本合格、不合格</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CB5A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①全年按“一会四评”规范程序开展民主评议党员的，计 2 分；开展了民主评议党员，但程序不够严谨的，计1 分；未开展民主评议党员，计 0 分②达标计 1 分，否则计 0 分。支部未按要求召开支委会缺集体评定意见的扣0.5分，党总支部缺总支委员会记录的扣0.5分。</w:t>
            </w:r>
          </w:p>
        </w:tc>
      </w:tr>
      <w:tr w14:paraId="6A3C2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F32BE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A846D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8EC92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8064F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领导干部培训及民主测评</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AE519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建立干部培训开展情况汇总平台（培训载体形式、培训时间、地点、主题、人数），建立考核项、汇总结果（德、能、勤、绩、廉）</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A7FAF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对干部队伍进行汇总统计；对考核结果汇总，支部有选择功能</w:t>
            </w:r>
          </w:p>
        </w:tc>
      </w:tr>
      <w:tr w14:paraId="6BF43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2"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BAA67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872719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DAF72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137FC3">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谈心谈话</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88F08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9.谈心谈话（5分）：①党支部书记每半年至少与班子成员谈心谈话 1 次，每年至少与支部党员谈心谈话 1 次。②班子成员之间每年至少谈心谈话 1 次，每年至少与所联系的党员谈心谈话 1 次。③提倡党员与党员之间进行谈心谈话，确保在学习工作变动滑坡、思想波动、 家庭变故等情况时有人访、有人谈、有人帮助解决实际困难。④对受到处分处置、师生反映不良的党员，党支部书记应当及时谈话。⑤支部书记每年至少向上一级党组织书记汇报思想 1 次</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ABF49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①②③④⑤达标计 5 分。①对谈话记录进行5人次的抽查，按照抽查人次，每少1人次扣0.2分，④党支部书记没有及时谈话的扣0.5分，⑤党支部书记按年度没有向上一级党组织书记汇报思想缺记录的扣1分。</w:t>
            </w:r>
          </w:p>
        </w:tc>
      </w:tr>
      <w:tr w14:paraId="384B5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AE465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36663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7054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1715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主题党日</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C45DF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10.主题党日（内容涵盖会议开始时间、结束时间、主题内容、参会学生人数、教师人数等，（与教育部大数据平台对接））（3分）：①每月不少于1次，有主题、季度有安排、年度有计划、活动有台账。进行宣传报道；③党支部将活动开展情况形成总结，每半年向上一级党组织报备 1 次。党课开展情况（内容涵盖开始时间、结束时间、党课内容、讲师对象、参会学生人数、教师人数等，</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088D1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①达标计1 分。②缺年度计划扣0.5分，③达标计1分，缺半年总结每次扣0.5分，扣完为止。</w:t>
            </w:r>
          </w:p>
        </w:tc>
      </w:tr>
      <w:tr w14:paraId="22CD20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9DE7D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90461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099D58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D6017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创新活动方式</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12F3C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Style w:val="42"/>
                <w:lang w:val="en-US" w:eastAsia="zh-CN" w:bidi="ar"/>
              </w:rPr>
              <w:t>11.活动方式（3分）：运用网络平台、实践基地、学生“三下乡”社会实践活动、乡村振兴联系点、红色资源等，创新组织生活形式，丰富组织生活内容，组织生活感染力、吸引力和针对性、时效性得到增强。支部可根据自身特点，创新活动内容，凝练活动特色，逐步塑造活动品牌，如“党建+”品牌等。</w:t>
            </w:r>
            <w:r>
              <w:rPr>
                <w:rStyle w:val="42"/>
                <w:color w:val="auto"/>
                <w:lang w:val="en-US" w:eastAsia="zh-CN" w:bidi="ar"/>
              </w:rPr>
              <w:t>（</w:t>
            </w:r>
            <w:r>
              <w:rPr>
                <w:rStyle w:val="44"/>
                <w:color w:val="auto"/>
                <w:lang w:val="en-US" w:eastAsia="zh-CN" w:bidi="ar"/>
              </w:rPr>
              <w:t>网页端展示</w:t>
            </w:r>
            <w:r>
              <w:rPr>
                <w:rStyle w:val="42"/>
                <w:color w:val="auto"/>
                <w:lang w:val="en-US" w:eastAsia="zh-CN" w:bidi="ar"/>
              </w:rPr>
              <w:t>）</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30DBB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以支部为单位组织生活形式多样，效果很明显的，形成完整的活动记录文稿或者发布对外宣传稿计 2 分；效果一般的，形成了完整活动记录文稿或在校内进行宣传的计 1 分；形式单调，效果差的，计 0 分。</w:t>
            </w:r>
          </w:p>
        </w:tc>
      </w:tr>
      <w:tr w14:paraId="7E32A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1469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19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72532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D92FC8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党员管理</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D8EA23">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党员发展</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517E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12.步骤程序（5分）：建立党员发展流程图、样板资料，便于下载（建立流程清单、（与教育部大数据平台对接）））</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13.质量管理（3分）：党员全覆盖，没有无党员教研室；半年入党积极分子考察及情况分析1次，发展党员工作半年总结、年度总结</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1FF33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①②③④全部达标计3分，①发现无党员教研室或专业的扣1分，②每半年没有对入党积极分子考察的扣0.5分，③④没有分析报告或没有对发展党员工作半年总结的每项扣0.5分。</w:t>
            </w:r>
          </w:p>
        </w:tc>
      </w:tr>
      <w:tr w14:paraId="54B37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95BF4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E24A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3C0612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EBDE7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党员教育</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A620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14.培训内容方式（2分）：①以习近平新时代中国特色社会主义思想为重点，组织开展学生政治理论学习，要确保外出实习、毕业班求职学生党员等流动党员正常接受教育。②推行“互联网+党建”“智慧党建”等有效做法，每个党支部有1个党员群众乐于参与、充满正能量的网络互动学习平台。支部组织党员学习，利用信息化平台情况。（与党课情况结合考核）</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93778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EAD1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AADCC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9A5F7E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929A8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E4F12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6EDE25">
            <w:pPr>
              <w:keepNext w:val="0"/>
              <w:keepLines w:val="0"/>
              <w:pageBreakBefore w:val="0"/>
              <w:widowControl/>
              <w:numPr>
                <w:ilvl w:val="0"/>
                <w:numId w:val="1"/>
              </w:numPr>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培训时间（6分）：入党积极分子不好与32学时；发展对象不少于24学时；预备党员预备期集中培训不少于1次，不少于？？学时；党员集中学习不少于32学时/年；党支部书记和班子成员集中学习不少于56学时。</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8C63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①②③④⑤⑥全部达标计6分，①②没按时间报送培训人员计划的扣0.5分，③④未组织新党员、党员进行集中培训的每项扣1分，⑤总支部及所属支部书记和班子成员未完成培训学时的每人扣0.2分，1次集中培训都未参加的每人扣0.2分，⑥分党校培训资料纪实管理未按时报告备案的扣0.5分，资料或总结不规范、不达标的扣0.5分。</w:t>
            </w:r>
          </w:p>
        </w:tc>
      </w:tr>
      <w:tr w14:paraId="319F1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1E3E6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kern w:val="0"/>
                <w:sz w:val="32"/>
                <w:szCs w:val="32"/>
                <w:u w:val="none"/>
                <w:lang w:val="en-US" w:eastAsia="zh-CN" w:bidi="ar"/>
              </w:rPr>
            </w:pPr>
            <w:r>
              <w:rPr>
                <w:rFonts w:hint="eastAsia" w:ascii="微软雅黑" w:hAnsi="微软雅黑" w:eastAsia="微软雅黑" w:cs="微软雅黑"/>
                <w:b/>
                <w:bCs/>
                <w:i w:val="0"/>
                <w:iCs w:val="0"/>
                <w:color w:val="000000"/>
                <w:kern w:val="0"/>
                <w:sz w:val="32"/>
                <w:szCs w:val="32"/>
                <w:u w:val="none"/>
                <w:lang w:val="en-US" w:eastAsia="zh-CN" w:bidi="ar"/>
              </w:rPr>
              <w:t>22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8BC96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D7C9D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962F31">
            <w:pPr>
              <w:keepNext w:val="0"/>
              <w:keepLines w:val="0"/>
              <w:pageBreakBefore w:val="0"/>
              <w:widowControl/>
              <w:kinsoku/>
              <w:wordWrap/>
              <w:overflowPunct/>
              <w:topLinePunct w:val="0"/>
              <w:autoSpaceDE/>
              <w:autoSpaceDN/>
              <w:bidi w:val="0"/>
              <w:adjustRightInd/>
              <w:snapToGrid/>
              <w:spacing w:line="340" w:lineRule="exact"/>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党课资源</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86A5ED">
            <w:pPr>
              <w:keepNext w:val="0"/>
              <w:keepLines w:val="0"/>
              <w:pageBreakBefore w:val="0"/>
              <w:widowControl/>
              <w:numPr>
                <w:ilvl w:val="0"/>
                <w:numId w:val="0"/>
              </w:numPr>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16.党课资源分享</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201D2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党课资源分享如PPT、教案、讲稿</w:t>
            </w:r>
          </w:p>
        </w:tc>
      </w:tr>
      <w:tr w14:paraId="5F1AE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B2199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kern w:val="0"/>
                <w:sz w:val="32"/>
                <w:szCs w:val="32"/>
                <w:u w:val="none"/>
                <w:lang w:val="en-US" w:eastAsia="zh-CN" w:bidi="ar"/>
              </w:rPr>
            </w:pPr>
            <w:r>
              <w:rPr>
                <w:rFonts w:hint="eastAsia" w:ascii="微软雅黑" w:hAnsi="微软雅黑" w:eastAsia="微软雅黑" w:cs="微软雅黑"/>
                <w:b/>
                <w:bCs/>
                <w:i w:val="0"/>
                <w:iCs w:val="0"/>
                <w:color w:val="000000"/>
                <w:kern w:val="0"/>
                <w:sz w:val="32"/>
                <w:szCs w:val="32"/>
                <w:u w:val="none"/>
                <w:lang w:val="en-US" w:eastAsia="zh-CN" w:bidi="ar"/>
              </w:rPr>
              <w:t>23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D3FF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078CC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384417">
            <w:pPr>
              <w:keepNext w:val="0"/>
              <w:keepLines w:val="0"/>
              <w:pageBreakBefore w:val="0"/>
              <w:widowControl/>
              <w:kinsoku/>
              <w:wordWrap/>
              <w:overflowPunct/>
              <w:topLinePunct w:val="0"/>
              <w:autoSpaceDE/>
              <w:autoSpaceDN/>
              <w:bidi w:val="0"/>
              <w:adjustRightInd/>
              <w:snapToGrid/>
              <w:spacing w:line="340" w:lineRule="exact"/>
              <w:jc w:val="center"/>
              <w:rPr>
                <w:rFonts w:hint="default" w:ascii="微软雅黑" w:hAnsi="微软雅黑" w:eastAsia="微软雅黑" w:cs="微软雅黑"/>
                <w:i w:val="0"/>
                <w:iCs w:val="0"/>
                <w:color w:val="000000"/>
                <w:sz w:val="20"/>
                <w:szCs w:val="20"/>
                <w:u w:val="none"/>
                <w:lang w:val="en-US" w:eastAsia="zh-CN"/>
              </w:rPr>
            </w:pPr>
            <w:r>
              <w:rPr>
                <w:rFonts w:hint="eastAsia" w:ascii="微软雅黑" w:hAnsi="微软雅黑" w:eastAsia="微软雅黑" w:cs="微软雅黑"/>
                <w:i w:val="0"/>
                <w:iCs w:val="0"/>
                <w:color w:val="000000"/>
                <w:sz w:val="20"/>
                <w:szCs w:val="20"/>
                <w:u w:val="none"/>
                <w:lang w:val="en-US" w:eastAsia="zh-CN"/>
              </w:rPr>
              <w:t>党校考试</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21942">
            <w:pPr>
              <w:keepNext w:val="0"/>
              <w:keepLines w:val="0"/>
              <w:pageBreakBefore w:val="0"/>
              <w:widowControl/>
              <w:numPr>
                <w:ilvl w:val="0"/>
                <w:numId w:val="0"/>
              </w:numPr>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17.入党积极分子、发展对象线上考试，题库。</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4A3D3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能实现题库线上联系、线上考试功能</w:t>
            </w:r>
          </w:p>
        </w:tc>
      </w:tr>
      <w:tr w14:paraId="3B928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FC33A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16D905">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0E5A0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442B17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组织关系管理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2A5C8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18.组织关系管理（5分）：组织关系接转、外出流动登记、党员离职、流出党员情况登记、出国境党员管理（是否仅限于党员转出情况，转出落地情况，并结合全国党员信息系统转出情况考虑考核）</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E463F1">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EC05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0409B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A305B5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9FC89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B52E5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党费收缴管理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9B02A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Style w:val="42"/>
                <w:lang w:val="en-US" w:eastAsia="zh-CN" w:bidi="ar"/>
              </w:rPr>
              <w:t>1</w:t>
            </w:r>
            <w:r>
              <w:rPr>
                <w:rStyle w:val="42"/>
                <w:rFonts w:hint="eastAsia"/>
                <w:lang w:val="en-US" w:eastAsia="zh-CN" w:bidi="ar"/>
              </w:rPr>
              <w:t>9</w:t>
            </w:r>
            <w:r>
              <w:rPr>
                <w:rStyle w:val="42"/>
                <w:lang w:val="en-US" w:eastAsia="zh-CN" w:bidi="ar"/>
              </w:rPr>
              <w:t>.党费缴纳管理（2分）：交流联系平台、交纳党费核定、党费缴纳</w:t>
            </w:r>
            <w:r>
              <w:rPr>
                <w:rStyle w:val="42"/>
                <w:color w:val="auto"/>
                <w:lang w:val="en-US" w:eastAsia="zh-CN" w:bidi="ar"/>
              </w:rPr>
              <w:t>（</w:t>
            </w:r>
            <w:r>
              <w:rPr>
                <w:rStyle w:val="44"/>
                <w:color w:val="auto"/>
                <w:lang w:val="en-US" w:eastAsia="zh-CN" w:bidi="ar"/>
              </w:rPr>
              <w:t>微信支付</w:t>
            </w:r>
            <w:r>
              <w:rPr>
                <w:rStyle w:val="42"/>
                <w:color w:val="auto"/>
                <w:lang w:val="en-US" w:eastAsia="zh-CN" w:bidi="ar"/>
              </w:rPr>
              <w:t>）</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4D3C8E">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AAC2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613E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8B7C8D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5DD5FF">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6C11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党员关怀</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6C70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20.关怀激励（3分）：帮扶信息台账、党员评优推荐</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A9A6B6">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3D59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E8207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0C932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1CA8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95904F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党建连心</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7A17C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21.服务师生群众（2分）：开展结对帮扶、志愿服务；落实党员积分管理（组织生活实，培训学习实，岗位履职实，发挥作用实，服务奉献实。）。</w:t>
            </w:r>
            <w:r>
              <w:rPr>
                <w:rFonts w:hint="eastAsia" w:ascii="微软雅黑" w:hAnsi="微软雅黑" w:eastAsia="微软雅黑" w:cs="微软雅黑"/>
                <w:i w:val="0"/>
                <w:iCs w:val="0"/>
                <w:color w:val="000000"/>
                <w:kern w:val="0"/>
                <w:sz w:val="20"/>
                <w:szCs w:val="20"/>
                <w:u w:val="none"/>
                <w:lang w:val="en-US" w:eastAsia="zh-CN" w:bidi="ar"/>
              </w:rPr>
              <w:br w:type="textWrapping"/>
            </w:r>
            <w:r>
              <w:rPr>
                <w:rFonts w:hint="eastAsia" w:ascii="微软雅黑" w:hAnsi="微软雅黑" w:eastAsia="微软雅黑" w:cs="微软雅黑"/>
                <w:i w:val="0"/>
                <w:iCs w:val="0"/>
                <w:color w:val="000000"/>
                <w:kern w:val="0"/>
                <w:sz w:val="20"/>
                <w:szCs w:val="20"/>
                <w:u w:val="none"/>
                <w:lang w:val="en-US" w:eastAsia="zh-CN" w:bidi="ar"/>
              </w:rPr>
              <w:t>22.发挥作用（5分）：</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B0F7AB">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D6B8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0DC99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5E50E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C40B6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制度公告</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2BCAA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公告管理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54A9E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公告信息的管理 、发布公告、</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971E1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C1A6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A6FF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29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78140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6069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07AC2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制度管理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38DCF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23.制度建设（12分）：自身建设制度 、议事机制 、联系服务师生制度 、管理监督制度、述职评议考核制度、经费保障制度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B0286D">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1A07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2092B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30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328F3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0" w:type="auto"/>
            <w:vMerge w:val="restart"/>
            <w:tcBorders>
              <w:top w:val="nil"/>
              <w:left w:val="single" w:color="000000" w:sz="4" w:space="0"/>
              <w:bottom w:val="single" w:color="000000" w:sz="4" w:space="0"/>
              <w:right w:val="single" w:color="000000" w:sz="4" w:space="0"/>
            </w:tcBorders>
            <w:shd w:val="clear" w:color="auto" w:fill="FFFFFF"/>
            <w:noWrap/>
            <w:vAlign w:val="center"/>
          </w:tcPr>
          <w:p w14:paraId="7B8AA30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党建宣传</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6EF57D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新闻通讯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F2ECB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建立支部简讯等，是否可以对接到党旗飘飘，党建咨询交流</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F1C88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0670E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D0100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31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DD90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0" w:type="auto"/>
            <w:vMerge w:val="continue"/>
            <w:tcBorders>
              <w:top w:val="nil"/>
              <w:left w:val="single" w:color="000000" w:sz="4" w:space="0"/>
              <w:bottom w:val="single" w:color="000000" w:sz="4" w:space="0"/>
              <w:right w:val="single" w:color="000000" w:sz="4" w:space="0"/>
            </w:tcBorders>
            <w:shd w:val="clear" w:color="auto" w:fill="FFFFFF"/>
            <w:noWrap/>
            <w:vAlign w:val="center"/>
          </w:tcPr>
          <w:p w14:paraId="7E20BD3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757E0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党建阵地</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86AF0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Style w:val="42"/>
                <w:lang w:val="en-US" w:eastAsia="zh-CN" w:bidi="ar"/>
              </w:rPr>
              <w:t>2</w:t>
            </w:r>
            <w:r>
              <w:rPr>
                <w:rStyle w:val="42"/>
                <w:rFonts w:hint="eastAsia"/>
                <w:lang w:val="en-US" w:eastAsia="zh-CN" w:bidi="ar"/>
              </w:rPr>
              <w:t>4</w:t>
            </w:r>
            <w:r>
              <w:rPr>
                <w:rStyle w:val="42"/>
                <w:lang w:val="en-US" w:eastAsia="zh-CN" w:bidi="ar"/>
              </w:rPr>
              <w:t>.党建阵地（13分）：固定党员活动场所；设施设备；档案管理（积极分子、发展对象、党员、组织关系转接、党费收缴等资料台账）、支部每年度一次的活动展出（能随时变更</w:t>
            </w:r>
            <w:r>
              <w:rPr>
                <w:rStyle w:val="42"/>
                <w:color w:val="auto"/>
                <w:lang w:val="en-US" w:eastAsia="zh-CN" w:bidi="ar"/>
              </w:rPr>
              <w:t>，</w:t>
            </w:r>
            <w:r>
              <w:rPr>
                <w:rStyle w:val="45"/>
                <w:color w:val="auto"/>
                <w:lang w:val="en-US" w:eastAsia="zh-CN" w:bidi="ar"/>
              </w:rPr>
              <w:t>形成固定二维码</w:t>
            </w:r>
            <w:r>
              <w:rPr>
                <w:rStyle w:val="42"/>
                <w:color w:val="auto"/>
                <w:lang w:val="en-US" w:eastAsia="zh-CN" w:bidi="ar"/>
              </w:rPr>
              <w:t>）</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D5254">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280B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62FB0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D7A1C5">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AFEB5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党建活动</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7660C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活动信息管理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4AC60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党组织部组建的活动信息管理，</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214EA0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5B66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A0557F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D8F3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0E53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D9CAA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专题活动管理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4AE70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党组织部组建的专题活动信息管理</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55793E">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F054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56639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92365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186BB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党建论坛</w:t>
            </w: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962B0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论坛帖子管理</w:t>
            </w:r>
          </w:p>
        </w:tc>
        <w:tc>
          <w:tcPr>
            <w:tcW w:w="67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2949F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论坛帖子的管理</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512F0F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639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B9FFF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63D64E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1AB6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2B58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待审核论坛帖子</w:t>
            </w:r>
          </w:p>
        </w:tc>
        <w:tc>
          <w:tcPr>
            <w:tcW w:w="67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DBC1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用户发布的待审核的帖子列表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138735B">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CA2C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55B26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BDC78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38B2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BA4F6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拒绝的论坛帖子</w:t>
            </w:r>
          </w:p>
        </w:tc>
        <w:tc>
          <w:tcPr>
            <w:tcW w:w="679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B0EB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被拒绝的帖子列表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6FB364">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8601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40F9C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77920F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40BCB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书记信箱</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B313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反馈问题查看</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ACB1B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书记信箱功能反馈的问题列表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F77C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A6FE028">
        <w:tblPrEx>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E56FA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D5F85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37B47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党员风采</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C184E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党员风采列表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3E1814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党员风采信息列表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672FB6">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3191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6E919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39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ADC9C1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29715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系统设置</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D60CE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修改个人资料</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3BA971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管理员信息的修改</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EA25D7">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87DD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E2C6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40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9315D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951EF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22242D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修改密码</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F76D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用户密码修改</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25C2B">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3E66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E4988B">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41</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6EBF60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小程序端</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B05DE2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首页</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2FE2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轮播宣传图</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718FC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小程序顶部轮播滚动的宣传图功能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BC339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9492E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F1C86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9C681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709E3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28B6CC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公告展示</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81DE7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最新公告展示功能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D37D58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9F28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853B1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86006A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DCD3EA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2DA34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三会一课展示</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4EC1D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三会一课内容的分类展示学习功能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C462CE7">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BE1C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B8330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AC8AF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D004BC">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C5BF3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两学一做功能</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5D10F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党员学习内容的分类展示，党员的年度学习排名统计，</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754344">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1513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DDBA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F5A0F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B4403E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144E855">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党建活动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5B15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党建活动的内容展示，活动动态</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2A9EB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521B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47F25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76C90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CF2F1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6C626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党员风采展示</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95D48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党的风采展示列表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0EB07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DF9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ABEF5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C1615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CE77D5">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6B6216">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组织发展功能</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AF2BAA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组织发展的内容展示，能发展的申请人信息查看</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06584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5CAD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CCEE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A0C2C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9BCF1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707049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党建论坛</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92AACB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党员的发帖，交流讨论平台</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1B1B499">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EE7E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24F1B2">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49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72F26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118BB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46D5E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支部信息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DD867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查看党支部，查看支部党员成员列表，党员通讯录</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75C6E1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14D6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5C72A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50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6AAF3A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067FA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6D36E1">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书记信箱</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C2F4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向书记信箱提交反馈意见功能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EB5A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5F84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F95677">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51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572F0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261C0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3FF7D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专题活动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6EB163">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专题活动信息列表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DF33F8F">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0517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037A9">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801D4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B5CB0E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56657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最新活动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0B18F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最新党员活动信息展示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14CDDE">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2FBC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D0C9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B93C8F">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78CF6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914E2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党建论坛</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92BCE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党建论坛最新内容展示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4E93C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2D27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537BA8">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54</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D3A5F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672FC7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学习</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989314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内容分类</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A38F32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据学习内容分类功能</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FF670C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E17D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94264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3DFF1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F64E73">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EB4D1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学习内容列表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446DC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据分类展示学习内容列表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EE5B1FB">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B534B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B9BE75">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DAD1AE6">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979AC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我的</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ED47AC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个人信息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FC353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展示个人信息</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1FC2950">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2AF8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43746">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FE5ED5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C14FC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D1FF5E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支部信息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614F9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展示自己的支付党员成员信息</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1137C7">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5A7C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93D73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F578F6E">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02A329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5A1206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党费缴纳</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7D491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党费缴纳相关信息</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BD69AF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DD0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2C4D3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59</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61C06A">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2BD33B4">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08A888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我的收藏</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7EEC7D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自己学习跟相关党员活动的收藏</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CA6996D">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16650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45D0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60</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922D6A7">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4D06169">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1F4FA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我的活动</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75B5B1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自己参与的党员活动信息</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D78C88">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6401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340CE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微软雅黑" w:hAnsi="微软雅黑" w:eastAsia="微软雅黑" w:cs="微软雅黑"/>
                <w:b/>
                <w:bCs/>
                <w:i w:val="0"/>
                <w:iCs w:val="0"/>
                <w:color w:val="000000"/>
                <w:sz w:val="32"/>
                <w:szCs w:val="32"/>
                <w:u w:val="none"/>
                <w:lang w:val="en-US"/>
              </w:rPr>
            </w:pPr>
            <w:r>
              <w:rPr>
                <w:rFonts w:hint="eastAsia" w:ascii="微软雅黑" w:hAnsi="微软雅黑" w:eastAsia="微软雅黑" w:cs="微软雅黑"/>
                <w:b/>
                <w:bCs/>
                <w:i w:val="0"/>
                <w:iCs w:val="0"/>
                <w:color w:val="000000"/>
                <w:kern w:val="0"/>
                <w:sz w:val="32"/>
                <w:szCs w:val="32"/>
                <w:u w:val="none"/>
                <w:lang w:val="en-US" w:eastAsia="zh-CN" w:bidi="ar"/>
              </w:rPr>
              <w:t>61</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B88453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4429B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78CCF6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我的帖子</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92EC6E">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自己发布的帖子列表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05863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61C5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C5A3D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62</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0FE73F8">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EC8939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4F23D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意见反馈</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5E74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向平台提交自己关于智慧党建平台的意见</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4984AC">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7E4BB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C058D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63</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F1D023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7C2A2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FF44C68">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联系管理</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82B19D9">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 xml:space="preserve">联系平台管理人员 </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A18E27A">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96C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B01A1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64</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E517AE">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平台搭建</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215D1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平台搭建</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4C71A5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管理平台</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283F92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功能模块，权限模块的基础功能模块使用搭建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FBCD45">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351B1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2780E3">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65</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28006DD">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90FCAA2">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92E09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小程序端</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CF96F1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微信小程序功能模块的使用搭建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68BB33">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60C9F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21069D">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66</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A6ED8B">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987BCAB">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81C317F">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服务器环境</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E251FAA">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智慧党建平台服务器环境搭建（jdk1.8,tomcat9,七牛云存储，mysql5.7+）</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6C7621D">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4A740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64B59A">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67</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975B0">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1FE958F">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6A5010">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微信环境</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005D452">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微信账号，微信审核、认证，小程序审核、认证（主要据微信平台给出的时间为准,普遍3天审核）</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D33BD">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254AA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E7537F">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68</w:t>
            </w: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A673681">
            <w:pPr>
              <w:keepNext w:val="0"/>
              <w:keepLines w:val="0"/>
              <w:pageBreakBefore w:val="0"/>
              <w:widowControl/>
              <w:kinsoku/>
              <w:wordWrap/>
              <w:overflowPunct/>
              <w:topLinePunct w:val="0"/>
              <w:autoSpaceDE/>
              <w:autoSpaceDN/>
              <w:bidi w:val="0"/>
              <w:adjustRightInd/>
              <w:snapToGrid/>
              <w:spacing w:line="340" w:lineRule="exact"/>
              <w:jc w:val="center"/>
              <w:rPr>
                <w:rFonts w:hint="eastAsia" w:ascii="微软雅黑" w:hAnsi="微软雅黑" w:eastAsia="微软雅黑" w:cs="微软雅黑"/>
                <w:i w:val="0"/>
                <w:iCs w:val="0"/>
                <w:color w:val="000000"/>
                <w:sz w:val="20"/>
                <w:szCs w:val="20"/>
                <w:u w:val="none"/>
              </w:rPr>
            </w:pP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E9CBC01">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服务器</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400184">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服务器配置</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50ADC37">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4核cpu，8G内存，300G SSD云盘，带宽5M+ ，操作系统CentOS 7.5+，云服务器</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562EA41">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r w14:paraId="045DB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17080">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b/>
                <w:bCs/>
                <w:i w:val="0"/>
                <w:iCs w:val="0"/>
                <w:color w:val="000000"/>
                <w:sz w:val="32"/>
                <w:szCs w:val="32"/>
                <w:u w:val="none"/>
              </w:rPr>
            </w:pPr>
            <w:r>
              <w:rPr>
                <w:rFonts w:hint="eastAsia" w:ascii="微软雅黑" w:hAnsi="微软雅黑" w:eastAsia="微软雅黑" w:cs="微软雅黑"/>
                <w:b/>
                <w:bCs/>
                <w:i w:val="0"/>
                <w:iCs w:val="0"/>
                <w:color w:val="000000"/>
                <w:kern w:val="0"/>
                <w:sz w:val="32"/>
                <w:szCs w:val="32"/>
                <w:u w:val="none"/>
                <w:lang w:val="en-US" w:eastAsia="zh-CN" w:bidi="ar"/>
              </w:rPr>
              <w:t>69</w:t>
            </w:r>
          </w:p>
        </w:tc>
        <w:tc>
          <w:tcPr>
            <w:tcW w:w="120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70421C4">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平台数据初始化</w:t>
            </w:r>
          </w:p>
        </w:tc>
        <w:tc>
          <w:tcPr>
            <w:tcW w:w="132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0B168BC">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客户数据初始化</w:t>
            </w:r>
          </w:p>
        </w:tc>
        <w:tc>
          <w:tcPr>
            <w:tcW w:w="181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43AFFBC">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客户数据初始化</w:t>
            </w:r>
          </w:p>
        </w:tc>
        <w:tc>
          <w:tcPr>
            <w:tcW w:w="6799"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1A0B0CD">
            <w:pPr>
              <w:keepNext w:val="0"/>
              <w:keepLines w:val="0"/>
              <w:pageBreakBefore w:val="0"/>
              <w:widowControl/>
              <w:suppressLineNumbers w:val="0"/>
              <w:kinsoku/>
              <w:wordWrap/>
              <w:overflowPunct/>
              <w:topLinePunct w:val="0"/>
              <w:autoSpaceDE/>
              <w:autoSpaceDN/>
              <w:bidi w:val="0"/>
              <w:adjustRightInd/>
              <w:snapToGrid/>
              <w:spacing w:line="340" w:lineRule="exact"/>
              <w:jc w:val="left"/>
              <w:textAlignment w:val="center"/>
              <w:rPr>
                <w:rFonts w:hint="eastAsia" w:ascii="微软雅黑" w:hAnsi="微软雅黑" w:eastAsia="微软雅黑" w:cs="微软雅黑"/>
                <w:i w:val="0"/>
                <w:iCs w:val="0"/>
                <w:color w:val="000000"/>
                <w:sz w:val="20"/>
                <w:szCs w:val="20"/>
                <w:u w:val="none"/>
              </w:rPr>
            </w:pPr>
            <w:r>
              <w:rPr>
                <w:rStyle w:val="42"/>
                <w:lang w:val="en-US" w:eastAsia="zh-CN" w:bidi="ar"/>
              </w:rPr>
              <w:t>据客户实际需求初始化平台基本数据，党员用户数据，账号数据，组织数据，党员学习资料，理论学习数据，考试数据，党建活动，党建论坛基础数据等(收集数据正常)</w:t>
            </w:r>
            <w:r>
              <w:rPr>
                <w:rStyle w:val="44"/>
                <w:color w:val="auto"/>
                <w:lang w:val="en-US" w:eastAsia="zh-CN" w:bidi="ar"/>
              </w:rPr>
              <w:t>，</w:t>
            </w:r>
            <w:r>
              <w:rPr>
                <w:rStyle w:val="44"/>
                <w:rFonts w:hint="eastAsia"/>
                <w:color w:val="auto"/>
                <w:lang w:val="en-US" w:eastAsia="zh-CN" w:bidi="ar"/>
              </w:rPr>
              <w:t>基本数据与</w:t>
            </w:r>
            <w:r>
              <w:rPr>
                <w:rStyle w:val="44"/>
                <w:color w:val="auto"/>
                <w:lang w:val="en-US" w:eastAsia="zh-CN" w:bidi="ar"/>
              </w:rPr>
              <w:t>在</w:t>
            </w:r>
            <w:r>
              <w:rPr>
                <w:rStyle w:val="44"/>
                <w:rFonts w:hint="eastAsia"/>
                <w:color w:val="auto"/>
                <w:lang w:val="en-US" w:eastAsia="zh-CN" w:bidi="ar"/>
              </w:rPr>
              <w:t>图书馆数据信息</w:t>
            </w:r>
            <w:r>
              <w:rPr>
                <w:rStyle w:val="44"/>
                <w:color w:val="auto"/>
                <w:lang w:val="en-US" w:eastAsia="zh-CN" w:bidi="ar"/>
              </w:rPr>
              <w:t>大屏幕</w:t>
            </w:r>
            <w:r>
              <w:rPr>
                <w:rStyle w:val="44"/>
                <w:rFonts w:hint="eastAsia"/>
                <w:color w:val="auto"/>
                <w:lang w:val="en-US" w:eastAsia="zh-CN" w:bidi="ar"/>
              </w:rPr>
              <w:t>连接，并适时</w:t>
            </w:r>
            <w:r>
              <w:rPr>
                <w:rStyle w:val="44"/>
                <w:color w:val="auto"/>
                <w:lang w:val="en-US" w:eastAsia="zh-CN" w:bidi="ar"/>
              </w:rPr>
              <w:t>展示）</w:t>
            </w:r>
          </w:p>
        </w:tc>
        <w:tc>
          <w:tcPr>
            <w:tcW w:w="259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F6CC3C4">
            <w:pPr>
              <w:keepNext w:val="0"/>
              <w:keepLines w:val="0"/>
              <w:pageBreakBefore w:val="0"/>
              <w:widowControl/>
              <w:kinsoku/>
              <w:wordWrap/>
              <w:overflowPunct/>
              <w:topLinePunct w:val="0"/>
              <w:autoSpaceDE/>
              <w:autoSpaceDN/>
              <w:bidi w:val="0"/>
              <w:adjustRightInd/>
              <w:snapToGrid/>
              <w:spacing w:line="340" w:lineRule="exact"/>
              <w:rPr>
                <w:rFonts w:hint="eastAsia" w:ascii="微软雅黑" w:hAnsi="微软雅黑" w:eastAsia="微软雅黑" w:cs="微软雅黑"/>
                <w:i w:val="0"/>
                <w:iCs w:val="0"/>
                <w:color w:val="000000"/>
                <w:sz w:val="20"/>
                <w:szCs w:val="20"/>
                <w:u w:val="none"/>
              </w:rPr>
            </w:pPr>
          </w:p>
        </w:tc>
      </w:tr>
    </w:tbl>
    <w:p w14:paraId="17F2EB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auto"/>
          <w:sz w:val="24"/>
          <w:szCs w:val="24"/>
          <w:vertAlign w:val="baseline"/>
          <w:lang w:val="en-US" w:eastAsia="zh-CN"/>
        </w:rPr>
        <w:sectPr>
          <w:pgSz w:w="16838" w:h="11906" w:orient="landscape"/>
          <w:pgMar w:top="1803" w:right="1440" w:bottom="1803" w:left="1440" w:header="851" w:footer="992" w:gutter="0"/>
          <w:cols w:space="720" w:num="1"/>
          <w:rtlGutter w:val="0"/>
          <w:docGrid w:type="lines" w:linePitch="319" w:charSpace="0"/>
        </w:sectPr>
      </w:pPr>
    </w:p>
    <w:p w14:paraId="02C9BE3B">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通过该系统的建设和应用，学院党建工作将更加智能化、规范化、透明化，党员参与度和满意度将显著提升，为学院培养高素质技术技能人才提供坚强的政治保障。同时，该系统还将成为湖南省高职院校党建数字化转型的标杆和引领者。</w:t>
      </w:r>
    </w:p>
    <w:p w14:paraId="130BDE49">
      <w:pPr>
        <w:snapToGrid w:val="0"/>
        <w:spacing w:before="156" w:beforeLines="50"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lang w:val="en-US" w:eastAsia="zh-CN"/>
        </w:rPr>
        <w:t>三、</w:t>
      </w:r>
      <w:r>
        <w:rPr>
          <w:rFonts w:hint="eastAsia" w:ascii="仿宋" w:hAnsi="仿宋" w:eastAsia="仿宋" w:cstheme="minorEastAsia"/>
          <w:b/>
          <w:sz w:val="24"/>
          <w:szCs w:val="24"/>
        </w:rPr>
        <w:t>服务质量要求：</w:t>
      </w:r>
    </w:p>
    <w:p w14:paraId="703E4291">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1.服务响应</w:t>
      </w:r>
    </w:p>
    <w:p w14:paraId="71B23743">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重点值守：在“七一”“十一”等重要节点以及上级规定的网络安全特护期，提供技术、安全驻场值班值守，遇突发情况或重大节假日按照要求人员值班保障。</w:t>
      </w:r>
    </w:p>
    <w:p w14:paraId="2080A3B0">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响应时间：供应商提供7×24小时应急响应服务，响应渠道包含电话、即时通讯软件、邮件等方式，服务提供时间内，技术咨询与支撑服务30分钟内响应，紧急问题10分钟内响应。故障发生时，严格按照故障管理规范及处理预案执行，重大问题故障每20分钟反馈一次处理进展。无法在8小时内完成处理的故障问题，供应商提供临时保障方案，确保基本业务工作正常进行。 </w:t>
      </w:r>
    </w:p>
    <w:p w14:paraId="73C19639">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2.系统故障处理及加固</w:t>
      </w:r>
    </w:p>
    <w:p w14:paraId="38DBA703">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如果系统发生故障，供应商调查故障原因并修复直至满足竣工验收指标和性能的要求，或者更换整个或部分有缺陷的模块，所有涉及的费用均包含在本次投标人的报价中。在使用中发现软件系统存在缺陷的，采购人有权要求供应商进行整改升级处理。所有升级完成后，如出现相关系统或服务运行异常等不良影响的，供应商负责为采购人恢复受影响系统或服务至正常运行。此外，如供应商推出技术升级程序或系统补丁程序，供应商应在升级程序推出后15日内到现场为采购人提供升级服务，不得另行收取费用。 </w:t>
      </w:r>
    </w:p>
    <w:p w14:paraId="1D651C2C">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3.应用保障服务</w:t>
      </w:r>
    </w:p>
    <w:p w14:paraId="438F275B">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采购人开展日常系统应急处置及演练、关联系统建设、系统功能测试/检测、重大工作应用保障等活动时，供应商根据采购人或用户约定时间及保障服务等要求，派出相关专业技术人员及项目建设人员予以配合。提供事前筹备、事中保障、事后跟踪等服务。 </w:t>
      </w:r>
    </w:p>
    <w:p w14:paraId="1764259D">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4.技术支援服务 </w:t>
      </w:r>
    </w:p>
    <w:p w14:paraId="38E6CAA9">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当采购人计划开展与本项目相关的后续系统升级、改造、扩建等系统建设工作时，如采购人向供应商提出相应请求，供应商在要求的时限内组织技术专家团队为采购人提供相关系统建设工作所需的设计、咨询、技术审查、本项目相关开发培训及本项目建成系统联调等技术服务工作。</w:t>
      </w:r>
    </w:p>
    <w:p w14:paraId="58AC57F0">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5.安全技术保障服务 </w:t>
      </w:r>
    </w:p>
    <w:p w14:paraId="361A1B20">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 xml:space="preserve">当系统出现网络安全、数据信息保密安全威胁等事件时，以及特殊时期，供应商在接到采购人请求后，组成专家技术服务小组达到采购人现场，为采购人提供应急处置和技术支援服务。 </w:t>
      </w:r>
    </w:p>
    <w:p w14:paraId="10D8D31E">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6.技术资料服务</w:t>
      </w:r>
    </w:p>
    <w:p w14:paraId="1D144D61">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供应商为采购人提供保证软件正常运行的必要技术资料(含技术和商业机密的除外)。为采购人提供有关产品知识、操作手册、设备运行维护经验、技术文档等资料。常用资料应提供纸质文档和电子文档，保证资料方便共享，并对采购人如何访问该电子资源进行必要的培训。</w:t>
      </w:r>
    </w:p>
    <w:p w14:paraId="3C7DCFAE">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四、服务质量检查考核标准和方法：</w:t>
      </w:r>
    </w:p>
    <w:p w14:paraId="607B1749">
      <w:pPr>
        <w:adjustRightInd w:val="0"/>
        <w:snapToGrid w:val="0"/>
        <w:spacing w:line="360" w:lineRule="auto"/>
        <w:ind w:firstLine="480" w:firstLineChars="200"/>
        <w:jc w:val="left"/>
        <w:rPr>
          <w:rFonts w:hint="eastAsia" w:ascii="仿宋" w:hAnsi="仿宋" w:eastAsia="仿宋" w:cs="仿宋"/>
          <w:color w:val="333333"/>
          <w:kern w:val="0"/>
          <w:sz w:val="24"/>
          <w:szCs w:val="24"/>
          <w:lang w:val="en-US" w:eastAsia="zh-CN" w:bidi="ar-SA"/>
        </w:rPr>
      </w:pPr>
      <w:r>
        <w:rPr>
          <w:rFonts w:hint="eastAsia" w:ascii="仿宋" w:hAnsi="仿宋" w:eastAsia="仿宋" w:cs="仿宋"/>
          <w:color w:val="333333"/>
          <w:kern w:val="0"/>
          <w:sz w:val="24"/>
          <w:szCs w:val="24"/>
          <w:lang w:val="en-US" w:eastAsia="zh-CN" w:bidi="ar-SA"/>
        </w:rPr>
        <w:t>项目服务质量检查考核，围绕响应时间、故障处理、应用保障、技术支援、安全保障及技术资料提供等核心环节展开，具体标准涵盖：故障响应需严格遵循分级时限要求，确保系统故障得到及时有效处理并恢复至正常状态;应用保障需到位，确保系统稳定运行;技术支援需迅速响应，提供必要的技术支持和远程协助;安全保障需全面，符合网络安全、数据安全等相关要求;技术资料需完整，便于采购人独立操作和维护系统。考核方法采用定期检查、随机抽查、用户反馈等多种方式，对各项服务指标进行量化评估，确保服务质量持续改进。</w:t>
      </w:r>
    </w:p>
    <w:p w14:paraId="07B64B92">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五、投标报价说明</w:t>
      </w:r>
    </w:p>
    <w:p w14:paraId="26FDA341">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本项目招标上限价为</w:t>
      </w:r>
      <w:r>
        <w:rPr>
          <w:rFonts w:hint="eastAsia" w:ascii="仿宋" w:hAnsi="仿宋" w:eastAsia="仿宋" w:cs="仿宋"/>
          <w:color w:val="333333"/>
          <w:kern w:val="0"/>
          <w:sz w:val="24"/>
          <w:szCs w:val="24"/>
          <w:u w:val="none"/>
          <w:lang w:val="en-US" w:eastAsia="zh-CN"/>
        </w:rPr>
        <w:t>19.8</w:t>
      </w:r>
      <w:r>
        <w:rPr>
          <w:rFonts w:hint="eastAsia" w:ascii="仿宋" w:hAnsi="仿宋" w:eastAsia="仿宋" w:cs="仿宋"/>
          <w:color w:val="333333"/>
          <w:kern w:val="0"/>
          <w:sz w:val="24"/>
          <w:szCs w:val="24"/>
        </w:rPr>
        <w:t>万元，报价为一次性报价。</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本合同为含税总价包干，成交供应商收到成交通知后，应在一周内签订合同。</w:t>
      </w:r>
    </w:p>
    <w:p w14:paraId="60CEE356">
      <w:pPr>
        <w:snapToGrid w:val="0"/>
        <w:spacing w:before="156" w:beforeLines="50" w:line="360" w:lineRule="auto"/>
        <w:ind w:firstLine="482" w:firstLineChars="200"/>
        <w:jc w:val="left"/>
        <w:rPr>
          <w:rFonts w:hint="eastAsia" w:ascii="仿宋" w:hAnsi="仿宋" w:eastAsia="仿宋" w:cstheme="minorEastAsia"/>
          <w:b/>
          <w:sz w:val="24"/>
          <w:szCs w:val="24"/>
          <w:lang w:val="en-US" w:eastAsia="zh-CN"/>
        </w:rPr>
      </w:pPr>
      <w:r>
        <w:rPr>
          <w:rFonts w:hint="eastAsia" w:ascii="仿宋" w:hAnsi="仿宋" w:eastAsia="仿宋" w:cstheme="minorEastAsia"/>
          <w:b/>
          <w:sz w:val="24"/>
          <w:szCs w:val="24"/>
          <w:lang w:val="en-US" w:eastAsia="zh-CN"/>
        </w:rPr>
        <w:t>七、付款方式</w:t>
      </w:r>
    </w:p>
    <w:p w14:paraId="06954455">
      <w:pPr>
        <w:ind w:firstLine="480" w:firstLineChars="200"/>
        <w:rPr>
          <w:rFonts w:hint="default" w:ascii="仿宋" w:hAnsi="仿宋" w:eastAsia="仿宋" w:cstheme="minorEastAsia"/>
          <w:sz w:val="24"/>
          <w:szCs w:val="24"/>
          <w:lang w:val="en-US"/>
        </w:rPr>
      </w:pPr>
      <w:r>
        <w:rPr>
          <w:rFonts w:hint="eastAsia" w:ascii="仿宋" w:hAnsi="仿宋" w:eastAsia="仿宋" w:cstheme="minorEastAsia"/>
          <w:sz w:val="24"/>
          <w:szCs w:val="24"/>
        </w:rPr>
        <w:t>合同签订后，</w:t>
      </w:r>
      <w:r>
        <w:rPr>
          <w:rFonts w:hint="eastAsia" w:ascii="仿宋" w:hAnsi="仿宋" w:eastAsia="仿宋" w:cs="仿宋"/>
          <w:color w:val="333333"/>
          <w:kern w:val="0"/>
          <w:sz w:val="24"/>
          <w:szCs w:val="24"/>
          <w:lang w:val="en-US" w:eastAsia="zh-CN"/>
        </w:rPr>
        <w:t>完成本项目开发建设并经甲方验收合格后，乙方开具全额正规税务发票给甲方，乙方通过银行转账方式支付合同金额10%的质保金，然后甲方再支付合同全款。待系统叁年免费运维服务期结束后一次性无息将质保金退还。</w:t>
      </w: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2C71B401">
      <w:pPr>
        <w:snapToGrid w:val="0"/>
        <w:spacing w:line="360" w:lineRule="auto"/>
        <w:ind w:firstLine="482" w:firstLineChars="200"/>
        <w:jc w:val="left"/>
        <w:rPr>
          <w:rFonts w:ascii="仿宋" w:hAnsi="仿宋" w:eastAsia="仿宋"/>
          <w:b/>
          <w:sz w:val="36"/>
          <w:szCs w:val="36"/>
        </w:rPr>
      </w:pPr>
      <w:r>
        <w:rPr>
          <w:rFonts w:hint="eastAsia" w:ascii="仿宋" w:hAnsi="仿宋" w:eastAsia="仿宋" w:cstheme="minorEastAsia"/>
          <w:b/>
          <w:sz w:val="24"/>
          <w:szCs w:val="24"/>
        </w:rPr>
        <w:t>1.参与投标的单位中标后须是湖南省政府采购电子卖场的合格供应商。</w:t>
      </w:r>
    </w:p>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14:paraId="2A57729E">
      <w:pPr>
        <w:spacing w:line="360" w:lineRule="auto"/>
        <w:ind w:firstLine="480" w:firstLineChars="200"/>
      </w:pPr>
      <w:r>
        <w:rPr>
          <w:rFonts w:hint="eastAsia" w:ascii="仿宋" w:hAnsi="仿宋" w:eastAsia="仿宋"/>
          <w:sz w:val="24"/>
          <w:szCs w:val="24"/>
        </w:rPr>
        <w:t>3.4评审时，询比小组各成员应当独立对每个供应商的响应文件进行评价、评分，然后汇总每个供应商项评分因素的得分。</w:t>
      </w:r>
    </w:p>
    <w:p w14:paraId="056FE710">
      <w:pPr>
        <w:pStyle w:val="15"/>
        <w:spacing w:before="0" w:beforeAutospacing="0" w:after="0" w:line="240" w:lineRule="atLeast"/>
        <w:ind w:left="0" w:leftChars="0" w:firstLine="0"/>
        <w:rPr>
          <w:rFonts w:hint="eastAsia" w:ascii="仿宋" w:hAnsi="仿宋" w:eastAsia="仿宋"/>
          <w:b/>
          <w:sz w:val="28"/>
          <w:szCs w:val="28"/>
        </w:rPr>
      </w:pPr>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tbl>
      <w:tblPr>
        <w:tblStyle w:val="17"/>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14:paraId="19934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14:paraId="458ABD28">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14:paraId="707BFE13">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14:paraId="7F0C2ADF">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14:paraId="2380F338">
            <w:pPr>
              <w:jc w:val="center"/>
              <w:rPr>
                <w:rFonts w:hint="eastAsia" w:ascii="仿宋" w:hAnsi="仿宋" w:eastAsia="仿宋"/>
                <w:b/>
                <w:sz w:val="24"/>
                <w:szCs w:val="24"/>
              </w:rPr>
            </w:pPr>
            <w:r>
              <w:rPr>
                <w:rFonts w:hint="eastAsia" w:ascii="仿宋" w:hAnsi="仿宋" w:eastAsia="仿宋"/>
                <w:b/>
                <w:sz w:val="24"/>
                <w:szCs w:val="24"/>
              </w:rPr>
              <w:t>评分标准</w:t>
            </w:r>
          </w:p>
        </w:tc>
      </w:tr>
      <w:tr w14:paraId="79BF7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2AC6FDD5">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14:paraId="5F4667B3">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14:paraId="576D3E37">
            <w:pPr>
              <w:jc w:val="center"/>
              <w:rPr>
                <w:rFonts w:hint="eastAsia" w:ascii="仿宋" w:hAnsi="仿宋" w:eastAsia="仿宋"/>
                <w:kern w:val="0"/>
                <w:sz w:val="24"/>
                <w:szCs w:val="24"/>
              </w:rPr>
            </w:pPr>
            <w:r>
              <w:rPr>
                <w:rFonts w:hint="eastAsia" w:ascii="仿宋" w:hAnsi="仿宋" w:eastAsia="仿宋"/>
                <w:kern w:val="0"/>
                <w:sz w:val="24"/>
                <w:szCs w:val="24"/>
              </w:rPr>
              <w:t>30</w:t>
            </w:r>
          </w:p>
        </w:tc>
        <w:tc>
          <w:tcPr>
            <w:tcW w:w="6237" w:type="dxa"/>
            <w:vAlign w:val="center"/>
          </w:tcPr>
          <w:p w14:paraId="2BC40973">
            <w:pPr>
              <w:jc w:val="left"/>
              <w:rPr>
                <w:rFonts w:hint="eastAsia" w:ascii="仿宋" w:hAnsi="仿宋" w:eastAsia="仿宋"/>
                <w:b/>
                <w:sz w:val="24"/>
                <w:szCs w:val="24"/>
              </w:rPr>
            </w:pPr>
            <w:r>
              <w:rPr>
                <w:rFonts w:hint="eastAsia" w:ascii="仿宋" w:hAnsi="仿宋" w:eastAsia="仿宋" w:cs="宋体"/>
                <w:sz w:val="24"/>
                <w:szCs w:val="24"/>
              </w:rPr>
              <w:t>以经评委会一致认定满足招标文件要求且投标价格最低的投标报价为评标基准价，</w:t>
            </w:r>
            <w:r>
              <w:rPr>
                <w:rFonts w:hint="eastAsia" w:ascii="仿宋" w:hAnsi="仿宋" w:eastAsia="仿宋" w:cs="宋体"/>
                <w:sz w:val="24"/>
                <w:szCs w:val="24"/>
                <w:lang w:val="en-US" w:eastAsia="zh-CN"/>
              </w:rPr>
              <w:t>但</w:t>
            </w:r>
            <w:r>
              <w:rPr>
                <w:rFonts w:hint="eastAsia" w:ascii="仿宋" w:hAnsi="仿宋" w:eastAsia="仿宋" w:cs="宋体"/>
                <w:sz w:val="24"/>
                <w:szCs w:val="24"/>
                <w:lang w:val="en-US"/>
              </w:rPr>
              <w:t>低于成本价的投标报价除外</w:t>
            </w:r>
            <w:r>
              <w:rPr>
                <w:rFonts w:hint="eastAsia" w:ascii="仿宋" w:hAnsi="仿宋" w:eastAsia="仿宋" w:cs="宋体"/>
                <w:sz w:val="24"/>
                <w:szCs w:val="24"/>
                <w:lang w:val="en-US" w:eastAsia="zh-CN"/>
              </w:rPr>
              <w:t>，</w:t>
            </w:r>
            <w:r>
              <w:rPr>
                <w:rFonts w:hint="eastAsia" w:ascii="仿宋" w:hAnsi="仿宋" w:eastAsia="仿宋" w:cs="宋体"/>
                <w:sz w:val="24"/>
                <w:szCs w:val="24"/>
              </w:rPr>
              <w:t>其价格得分计30分。其他投标人的价格得分统一按公式计算：报价得分=（评标基准价/投标报价）×价格权重。</w:t>
            </w:r>
            <w:r>
              <w:rPr>
                <w:rFonts w:hint="eastAsia" w:ascii="仿宋" w:hAnsi="仿宋" w:eastAsia="仿宋" w:cs="宋体"/>
                <w:sz w:val="24"/>
                <w:szCs w:val="24"/>
                <w:lang w:val="en-US"/>
              </w:rPr>
              <w:t>最终得分计算保留小数点后两位。</w:t>
            </w:r>
          </w:p>
        </w:tc>
      </w:tr>
      <w:tr w14:paraId="1060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14:paraId="6A74CDF0">
            <w:pPr>
              <w:jc w:val="center"/>
              <w:rPr>
                <w:rFonts w:hint="eastAsia" w:ascii="仿宋" w:hAnsi="仿宋" w:eastAsia="仿宋"/>
                <w:sz w:val="24"/>
                <w:szCs w:val="24"/>
              </w:rPr>
            </w:pPr>
            <w:r>
              <w:rPr>
                <w:rFonts w:hint="eastAsia" w:ascii="仿宋" w:hAnsi="仿宋" w:eastAsia="仿宋"/>
                <w:sz w:val="24"/>
                <w:szCs w:val="24"/>
              </w:rPr>
              <w:t>2</w:t>
            </w:r>
          </w:p>
        </w:tc>
        <w:tc>
          <w:tcPr>
            <w:tcW w:w="1308" w:type="dxa"/>
            <w:vAlign w:val="center"/>
          </w:tcPr>
          <w:p w14:paraId="64E051A4">
            <w:pPr>
              <w:jc w:val="center"/>
              <w:rPr>
                <w:rFonts w:hint="eastAsia" w:ascii="仿宋" w:hAnsi="仿宋" w:eastAsia="仿宋"/>
                <w:sz w:val="24"/>
                <w:szCs w:val="24"/>
              </w:rPr>
            </w:pPr>
            <w:r>
              <w:rPr>
                <w:rFonts w:hint="eastAsia" w:ascii="仿宋" w:hAnsi="仿宋" w:eastAsia="仿宋"/>
                <w:sz w:val="24"/>
                <w:szCs w:val="24"/>
              </w:rPr>
              <w:t>服务团</w:t>
            </w:r>
            <w:bookmarkStart w:id="9" w:name="_GoBack"/>
            <w:bookmarkEnd w:id="9"/>
            <w:r>
              <w:rPr>
                <w:rFonts w:hint="eastAsia" w:ascii="仿宋" w:hAnsi="仿宋" w:eastAsia="仿宋"/>
                <w:sz w:val="24"/>
                <w:szCs w:val="24"/>
              </w:rPr>
              <w:t>队能力</w:t>
            </w:r>
          </w:p>
        </w:tc>
        <w:tc>
          <w:tcPr>
            <w:tcW w:w="709" w:type="dxa"/>
            <w:vAlign w:val="center"/>
          </w:tcPr>
          <w:p w14:paraId="5B6AC7AA">
            <w:pPr>
              <w:jc w:val="center"/>
              <w:rPr>
                <w:rFonts w:hint="eastAsia" w:ascii="仿宋" w:hAnsi="仿宋" w:eastAsia="仿宋"/>
                <w:sz w:val="24"/>
                <w:szCs w:val="24"/>
              </w:rPr>
            </w:pPr>
            <w:r>
              <w:rPr>
                <w:rFonts w:hint="eastAsia" w:ascii="仿宋" w:hAnsi="仿宋" w:eastAsia="仿宋"/>
                <w:sz w:val="24"/>
                <w:szCs w:val="24"/>
              </w:rPr>
              <w:t>10</w:t>
            </w:r>
          </w:p>
        </w:tc>
        <w:tc>
          <w:tcPr>
            <w:tcW w:w="6237" w:type="dxa"/>
            <w:vAlign w:val="center"/>
          </w:tcPr>
          <w:p w14:paraId="56ED6215">
            <w:pPr>
              <w:jc w:val="left"/>
              <w:rPr>
                <w:rFonts w:hint="eastAsia" w:ascii="仿宋" w:hAnsi="仿宋" w:eastAsia="仿宋" w:cs="宋体"/>
                <w:sz w:val="24"/>
                <w:szCs w:val="24"/>
                <w:lang w:eastAsia="zh-CN"/>
              </w:rPr>
            </w:pPr>
            <w:r>
              <w:rPr>
                <w:rFonts w:hint="eastAsia" w:ascii="仿宋" w:hAnsi="仿宋" w:eastAsia="仿宋" w:cs="宋体"/>
                <w:sz w:val="24"/>
                <w:szCs w:val="24"/>
              </w:rPr>
              <w:t>（1）服务团队中的人员具备中华人民共和国人力资源和社会保障部、工业和信息化部颁发的高级信息系统项目管理师证书。</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4分</w:t>
            </w:r>
            <w:r>
              <w:rPr>
                <w:rFonts w:hint="eastAsia" w:ascii="仿宋" w:hAnsi="仿宋" w:eastAsia="仿宋" w:cs="宋体"/>
                <w:sz w:val="24"/>
                <w:szCs w:val="24"/>
                <w:lang w:eastAsia="zh-CN"/>
              </w:rPr>
              <w:t>）</w:t>
            </w:r>
          </w:p>
          <w:p w14:paraId="4075277A">
            <w:pPr>
              <w:jc w:val="left"/>
              <w:rPr>
                <w:rFonts w:hint="eastAsia" w:ascii="仿宋" w:hAnsi="仿宋" w:eastAsia="仿宋" w:cs="宋体"/>
                <w:sz w:val="24"/>
                <w:szCs w:val="24"/>
                <w:lang w:val="en-US" w:eastAsia="zh-CN"/>
              </w:rPr>
            </w:pPr>
            <w:r>
              <w:rPr>
                <w:rFonts w:hint="eastAsia" w:ascii="仿宋" w:hAnsi="仿宋" w:eastAsia="仿宋" w:cs="宋体"/>
                <w:sz w:val="24"/>
                <w:szCs w:val="24"/>
              </w:rPr>
              <w:t>（2）</w:t>
            </w:r>
            <w:r>
              <w:rPr>
                <w:rFonts w:hint="eastAsia" w:ascii="仿宋" w:hAnsi="仿宋" w:eastAsia="仿宋" w:cs="宋体"/>
                <w:sz w:val="24"/>
                <w:szCs w:val="24"/>
                <w:lang w:val="en-US" w:eastAsia="zh-CN"/>
              </w:rPr>
              <w:t>提供</w:t>
            </w:r>
            <w:r>
              <w:rPr>
                <w:rFonts w:hint="eastAsia" w:ascii="仿宋" w:hAnsi="仿宋" w:eastAsia="仿宋" w:cs="宋体"/>
                <w:sz w:val="24"/>
                <w:szCs w:val="24"/>
                <w:lang w:val="en-US"/>
              </w:rPr>
              <w:t>JAVA面向对象编程类技术证书</w:t>
            </w:r>
            <w:r>
              <w:rPr>
                <w:rFonts w:hint="eastAsia" w:ascii="仿宋" w:hAnsi="仿宋" w:eastAsia="仿宋" w:cs="宋体"/>
                <w:sz w:val="24"/>
                <w:szCs w:val="24"/>
                <w:lang w:val="en-US" w:eastAsia="zh-CN"/>
              </w:rPr>
              <w:t>。（3分）</w:t>
            </w:r>
          </w:p>
          <w:p w14:paraId="5195BC2B">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eastAsia="zh-CN"/>
              </w:rPr>
              <w:t>（3）提供</w:t>
            </w:r>
            <w:r>
              <w:rPr>
                <w:rFonts w:hint="eastAsia" w:ascii="仿宋" w:hAnsi="仿宋" w:eastAsia="仿宋" w:cs="宋体"/>
                <w:sz w:val="24"/>
                <w:szCs w:val="24"/>
                <w:lang w:val="en-US"/>
              </w:rPr>
              <w:t>数据库工程师证书类技术证书</w:t>
            </w:r>
            <w:r>
              <w:rPr>
                <w:rFonts w:hint="eastAsia" w:ascii="仿宋" w:hAnsi="仿宋" w:eastAsia="仿宋" w:cs="宋体"/>
                <w:sz w:val="24"/>
                <w:szCs w:val="24"/>
                <w:lang w:val="en-US" w:eastAsia="zh-CN"/>
              </w:rPr>
              <w:t>。（3分）</w:t>
            </w:r>
          </w:p>
          <w:p w14:paraId="459813C0">
            <w:pPr>
              <w:jc w:val="left"/>
              <w:rPr>
                <w:rFonts w:hint="eastAsia" w:ascii="仿宋" w:hAnsi="仿宋" w:eastAsia="仿宋" w:cs="宋体"/>
                <w:b/>
                <w:bCs/>
                <w:sz w:val="24"/>
                <w:szCs w:val="24"/>
              </w:rPr>
            </w:pPr>
            <w:r>
              <w:rPr>
                <w:rFonts w:hint="eastAsia" w:ascii="仿宋" w:hAnsi="仿宋" w:eastAsia="仿宋" w:cs="宋体"/>
                <w:b/>
                <w:bCs/>
                <w:sz w:val="24"/>
                <w:szCs w:val="24"/>
              </w:rPr>
              <w:t>本项满分10分。</w:t>
            </w:r>
          </w:p>
          <w:p w14:paraId="71B44837">
            <w:pPr>
              <w:jc w:val="left"/>
              <w:rPr>
                <w:rFonts w:hint="eastAsia" w:ascii="仿宋" w:hAnsi="仿宋" w:eastAsia="仿宋" w:cs="宋体"/>
                <w:color w:val="0000FF"/>
                <w:sz w:val="24"/>
                <w:szCs w:val="24"/>
              </w:rPr>
            </w:pPr>
            <w:r>
              <w:rPr>
                <w:rFonts w:hint="eastAsia" w:ascii="仿宋" w:hAnsi="仿宋" w:eastAsia="仿宋" w:cs="宋体"/>
                <w:b/>
                <w:bCs/>
                <w:sz w:val="24"/>
                <w:szCs w:val="24"/>
              </w:rPr>
              <w:t>【评审依据】：1）响应文件中提供以上人员证书扫描件和供应商为其缴纳的近三个月（不含</w:t>
            </w:r>
            <w:r>
              <w:rPr>
                <w:rFonts w:hint="eastAsia" w:ascii="仿宋" w:hAnsi="仿宋" w:eastAsia="仿宋" w:cs="宋体"/>
                <w:b/>
                <w:bCs/>
                <w:sz w:val="24"/>
                <w:szCs w:val="24"/>
                <w:lang w:val="en-US" w:eastAsia="zh-CN"/>
              </w:rPr>
              <w:t>询比</w:t>
            </w:r>
            <w:r>
              <w:rPr>
                <w:rFonts w:hint="eastAsia" w:ascii="仿宋" w:hAnsi="仿宋" w:eastAsia="仿宋" w:cs="宋体"/>
                <w:b/>
                <w:bCs/>
                <w:sz w:val="24"/>
                <w:szCs w:val="24"/>
              </w:rPr>
              <w:t>当月）的社保证明扫描件并加盖供应商公章，未提供或提供的证明材料不齐全的不得分。2）服务团队中人员证书不得复用，否则不予加分。</w:t>
            </w:r>
          </w:p>
        </w:tc>
      </w:tr>
      <w:tr w14:paraId="33335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0" w:type="auto"/>
            <w:vAlign w:val="center"/>
          </w:tcPr>
          <w:p w14:paraId="03C3AD40">
            <w:pPr>
              <w:jc w:val="center"/>
              <w:rPr>
                <w:rFonts w:hint="eastAsia" w:ascii="仿宋" w:hAnsi="仿宋" w:eastAsia="仿宋"/>
                <w:sz w:val="24"/>
                <w:szCs w:val="24"/>
              </w:rPr>
            </w:pPr>
            <w:r>
              <w:rPr>
                <w:rFonts w:hint="eastAsia" w:ascii="仿宋" w:hAnsi="仿宋" w:eastAsia="仿宋"/>
                <w:sz w:val="24"/>
                <w:szCs w:val="24"/>
              </w:rPr>
              <w:t>3</w:t>
            </w:r>
          </w:p>
        </w:tc>
        <w:tc>
          <w:tcPr>
            <w:tcW w:w="1308" w:type="dxa"/>
            <w:vAlign w:val="center"/>
          </w:tcPr>
          <w:p w14:paraId="29E56A44">
            <w:pPr>
              <w:jc w:val="center"/>
              <w:rPr>
                <w:rFonts w:hint="eastAsia" w:ascii="仿宋" w:hAnsi="仿宋" w:eastAsia="仿宋"/>
                <w:sz w:val="24"/>
                <w:szCs w:val="24"/>
              </w:rPr>
            </w:pPr>
            <w:r>
              <w:rPr>
                <w:rFonts w:hint="eastAsia" w:ascii="仿宋" w:hAnsi="仿宋" w:eastAsia="仿宋"/>
                <w:sz w:val="24"/>
                <w:szCs w:val="24"/>
              </w:rPr>
              <w:t>项目整体实施方案</w:t>
            </w:r>
          </w:p>
        </w:tc>
        <w:tc>
          <w:tcPr>
            <w:tcW w:w="709" w:type="dxa"/>
            <w:vAlign w:val="center"/>
          </w:tcPr>
          <w:p w14:paraId="492958E8">
            <w:pPr>
              <w:jc w:val="center"/>
              <w:rPr>
                <w:rFonts w:hint="default" w:ascii="仿宋" w:hAnsi="仿宋" w:eastAsia="仿宋"/>
                <w:sz w:val="24"/>
                <w:szCs w:val="24"/>
                <w:lang w:val="en-US" w:eastAsia="zh-CN"/>
              </w:rPr>
            </w:pPr>
            <w:r>
              <w:rPr>
                <w:rFonts w:hint="eastAsia" w:ascii="仿宋" w:hAnsi="仿宋" w:eastAsia="仿宋"/>
                <w:sz w:val="24"/>
                <w:szCs w:val="24"/>
                <w:lang w:val="en-US" w:eastAsia="zh-CN"/>
              </w:rPr>
              <w:t>10</w:t>
            </w:r>
          </w:p>
        </w:tc>
        <w:tc>
          <w:tcPr>
            <w:tcW w:w="6237" w:type="dxa"/>
            <w:vAlign w:val="center"/>
          </w:tcPr>
          <w:p w14:paraId="13D93BF1">
            <w:pPr>
              <w:jc w:val="left"/>
              <w:rPr>
                <w:rFonts w:hint="eastAsia" w:ascii="仿宋" w:hAnsi="仿宋" w:eastAsia="仿宋" w:cs="宋体"/>
                <w:sz w:val="24"/>
                <w:szCs w:val="24"/>
                <w:lang w:eastAsia="zh-CN"/>
              </w:rPr>
            </w:pPr>
            <w:r>
              <w:rPr>
                <w:rFonts w:hint="eastAsia" w:ascii="仿宋" w:hAnsi="仿宋" w:eastAsia="仿宋" w:cs="宋体"/>
                <w:sz w:val="24"/>
                <w:szCs w:val="24"/>
              </w:rPr>
              <w:t>供应商根据本项目实施特点及技术要求，结合项目所在地现有情况制定实施方案，方案至少应包括：①技术保障措施；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1分</w:t>
            </w:r>
            <w:r>
              <w:rPr>
                <w:rFonts w:hint="eastAsia" w:ascii="仿宋" w:hAnsi="仿宋" w:eastAsia="仿宋" w:cs="宋体"/>
                <w:sz w:val="24"/>
                <w:szCs w:val="24"/>
                <w:lang w:eastAsia="zh-CN"/>
              </w:rPr>
              <w:t>）</w:t>
            </w:r>
            <w:r>
              <w:rPr>
                <w:rFonts w:hint="eastAsia" w:ascii="仿宋" w:hAnsi="仿宋" w:eastAsia="仿宋" w:cs="宋体"/>
                <w:sz w:val="24"/>
                <w:szCs w:val="24"/>
              </w:rPr>
              <w:t>②人员组织保障措施；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0.5分</w:t>
            </w:r>
            <w:r>
              <w:rPr>
                <w:rFonts w:hint="eastAsia" w:ascii="仿宋" w:hAnsi="仿宋" w:eastAsia="仿宋" w:cs="宋体"/>
                <w:sz w:val="24"/>
                <w:szCs w:val="24"/>
                <w:lang w:eastAsia="zh-CN"/>
              </w:rPr>
              <w:t>）</w:t>
            </w:r>
            <w:r>
              <w:rPr>
                <w:rFonts w:hint="eastAsia" w:ascii="仿宋" w:hAnsi="仿宋" w:eastAsia="仿宋" w:cs="宋体"/>
                <w:sz w:val="24"/>
                <w:szCs w:val="24"/>
              </w:rPr>
              <w:t>③进度保障措施；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1.5分</w:t>
            </w:r>
            <w:r>
              <w:rPr>
                <w:rFonts w:hint="eastAsia" w:ascii="仿宋" w:hAnsi="仿宋" w:eastAsia="仿宋" w:cs="宋体"/>
                <w:sz w:val="24"/>
                <w:szCs w:val="24"/>
                <w:lang w:eastAsia="zh-CN"/>
              </w:rPr>
              <w:t>）</w:t>
            </w:r>
            <w:r>
              <w:rPr>
                <w:rFonts w:hint="eastAsia" w:ascii="仿宋" w:hAnsi="仿宋" w:eastAsia="仿宋" w:cs="宋体"/>
                <w:sz w:val="24"/>
                <w:szCs w:val="24"/>
              </w:rPr>
              <w:t>④质量保障措施；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2分</w:t>
            </w:r>
            <w:r>
              <w:rPr>
                <w:rFonts w:hint="eastAsia" w:ascii="仿宋" w:hAnsi="仿宋" w:eastAsia="仿宋" w:cs="宋体"/>
                <w:sz w:val="24"/>
                <w:szCs w:val="24"/>
                <w:lang w:eastAsia="zh-CN"/>
              </w:rPr>
              <w:t>）</w:t>
            </w:r>
            <w:r>
              <w:rPr>
                <w:rFonts w:hint="eastAsia" w:ascii="仿宋" w:hAnsi="仿宋" w:eastAsia="仿宋" w:cs="宋体"/>
                <w:sz w:val="24"/>
                <w:szCs w:val="24"/>
              </w:rPr>
              <w:t>⑤应急处置保障措施；</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2分</w:t>
            </w:r>
            <w:r>
              <w:rPr>
                <w:rFonts w:hint="eastAsia" w:ascii="仿宋" w:hAnsi="仿宋" w:eastAsia="仿宋" w:cs="宋体"/>
                <w:sz w:val="24"/>
                <w:szCs w:val="24"/>
                <w:lang w:eastAsia="zh-CN"/>
              </w:rPr>
              <w:t>）</w:t>
            </w:r>
            <w:r>
              <w:rPr>
                <w:rFonts w:hint="eastAsia" w:ascii="仿宋" w:hAnsi="仿宋" w:eastAsia="仿宋" w:cs="宋体"/>
                <w:sz w:val="24"/>
                <w:szCs w:val="24"/>
              </w:rPr>
              <w:t>⑥售后保障服务。</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3分</w:t>
            </w:r>
            <w:r>
              <w:rPr>
                <w:rFonts w:hint="eastAsia" w:ascii="仿宋" w:hAnsi="仿宋" w:eastAsia="仿宋" w:cs="宋体"/>
                <w:sz w:val="24"/>
                <w:szCs w:val="24"/>
                <w:lang w:eastAsia="zh-CN"/>
              </w:rPr>
              <w:t>）</w:t>
            </w:r>
          </w:p>
          <w:p w14:paraId="6036FD80">
            <w:pPr>
              <w:jc w:val="left"/>
              <w:rPr>
                <w:rFonts w:hint="eastAsia" w:ascii="仿宋" w:hAnsi="仿宋" w:eastAsia="仿宋" w:cs="宋体"/>
                <w:sz w:val="24"/>
                <w:szCs w:val="24"/>
              </w:rPr>
            </w:pPr>
            <w:r>
              <w:rPr>
                <w:rFonts w:hint="eastAsia" w:ascii="仿宋" w:hAnsi="仿宋" w:eastAsia="仿宋" w:cs="宋体"/>
                <w:sz w:val="24"/>
                <w:szCs w:val="24"/>
              </w:rPr>
              <w:t>评审小组根据方案的完整性、合理性及操作性等进行评价，以上①~⑥条方案内容全面、科学合理。</w:t>
            </w:r>
          </w:p>
          <w:p w14:paraId="27705EFD">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10</w:t>
            </w:r>
            <w:r>
              <w:rPr>
                <w:rFonts w:hint="eastAsia" w:ascii="仿宋" w:hAnsi="仿宋" w:eastAsia="仿宋" w:cs="宋体"/>
                <w:b/>
                <w:bCs/>
                <w:sz w:val="24"/>
                <w:szCs w:val="24"/>
              </w:rPr>
              <w:t>分。</w:t>
            </w:r>
          </w:p>
          <w:p w14:paraId="58F6C602">
            <w:pPr>
              <w:jc w:val="left"/>
              <w:rPr>
                <w:rFonts w:hint="eastAsia" w:ascii="仿宋" w:hAnsi="仿宋" w:eastAsia="仿宋" w:cs="宋体"/>
                <w:color w:val="0000FF"/>
                <w:sz w:val="24"/>
                <w:szCs w:val="24"/>
              </w:rPr>
            </w:pPr>
            <w:r>
              <w:rPr>
                <w:rFonts w:hint="eastAsia" w:ascii="仿宋" w:hAnsi="仿宋" w:eastAsia="仿宋" w:cs="宋体"/>
                <w:b/>
                <w:bCs/>
                <w:sz w:val="24"/>
                <w:szCs w:val="24"/>
              </w:rPr>
              <w:t>【评审依据】：响应文件中提供项目整体实施方案，未提供不得分。</w:t>
            </w:r>
          </w:p>
        </w:tc>
      </w:tr>
      <w:tr w14:paraId="60AA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4" w:hRule="atLeast"/>
        </w:trPr>
        <w:tc>
          <w:tcPr>
            <w:tcW w:w="0" w:type="auto"/>
            <w:vAlign w:val="center"/>
          </w:tcPr>
          <w:p w14:paraId="00F2B47F">
            <w:pPr>
              <w:jc w:val="center"/>
              <w:rPr>
                <w:rFonts w:hint="eastAsia" w:ascii="仿宋" w:hAnsi="仿宋" w:eastAsia="仿宋"/>
                <w:sz w:val="24"/>
                <w:szCs w:val="24"/>
              </w:rPr>
            </w:pPr>
            <w:r>
              <w:rPr>
                <w:rFonts w:hint="eastAsia" w:ascii="仿宋" w:hAnsi="仿宋" w:eastAsia="仿宋"/>
                <w:sz w:val="24"/>
                <w:szCs w:val="24"/>
              </w:rPr>
              <w:t>4</w:t>
            </w:r>
          </w:p>
        </w:tc>
        <w:tc>
          <w:tcPr>
            <w:tcW w:w="1308" w:type="dxa"/>
            <w:vAlign w:val="center"/>
          </w:tcPr>
          <w:p w14:paraId="560C63C2">
            <w:pPr>
              <w:jc w:val="center"/>
              <w:rPr>
                <w:rFonts w:hint="default" w:ascii="仿宋" w:hAnsi="仿宋" w:eastAsia="仿宋"/>
                <w:sz w:val="24"/>
                <w:szCs w:val="24"/>
                <w:lang w:val="en-US" w:eastAsia="zh-CN"/>
              </w:rPr>
            </w:pPr>
            <w:r>
              <w:rPr>
                <w:rFonts w:hint="eastAsia" w:ascii="仿宋" w:hAnsi="仿宋" w:eastAsia="仿宋"/>
                <w:sz w:val="24"/>
                <w:szCs w:val="24"/>
                <w:lang w:val="en-US" w:eastAsia="zh-CN"/>
              </w:rPr>
              <w:t>系统设计演示</w:t>
            </w:r>
          </w:p>
        </w:tc>
        <w:tc>
          <w:tcPr>
            <w:tcW w:w="709" w:type="dxa"/>
            <w:vAlign w:val="center"/>
          </w:tcPr>
          <w:p w14:paraId="1BC8D5E5">
            <w:pPr>
              <w:jc w:val="center"/>
              <w:rPr>
                <w:rFonts w:hint="default" w:ascii="仿宋" w:hAnsi="仿宋" w:eastAsia="仿宋"/>
                <w:sz w:val="24"/>
                <w:szCs w:val="24"/>
                <w:lang w:val="en-US" w:eastAsia="zh-CN"/>
              </w:rPr>
            </w:pPr>
            <w:r>
              <w:rPr>
                <w:rFonts w:hint="eastAsia" w:ascii="仿宋" w:hAnsi="仿宋" w:eastAsia="仿宋"/>
                <w:sz w:val="24"/>
                <w:szCs w:val="24"/>
                <w:lang w:val="en-US" w:eastAsia="zh-CN"/>
              </w:rPr>
              <w:t>20</w:t>
            </w:r>
          </w:p>
        </w:tc>
        <w:tc>
          <w:tcPr>
            <w:tcW w:w="6237" w:type="dxa"/>
            <w:vAlign w:val="center"/>
          </w:tcPr>
          <w:p w14:paraId="201A08A7">
            <w:pPr>
              <w:jc w:val="left"/>
              <w:rPr>
                <w:rFonts w:hint="eastAsia" w:ascii="仿宋" w:hAnsi="仿宋" w:eastAsia="仿宋" w:cs="仿宋"/>
                <w:sz w:val="24"/>
                <w:szCs w:val="24"/>
                <w:lang w:val="en-US"/>
              </w:rPr>
            </w:pPr>
            <w:r>
              <w:rPr>
                <w:rFonts w:hint="eastAsia" w:ascii="仿宋" w:hAnsi="仿宋" w:eastAsia="仿宋" w:cs="仿宋"/>
                <w:bCs/>
                <w:kern w:val="2"/>
                <w:sz w:val="21"/>
                <w:szCs w:val="21"/>
                <w:lang w:val="en-US" w:bidi="ar-SA"/>
              </w:rPr>
              <w:t>为</w:t>
            </w:r>
            <w:r>
              <w:rPr>
                <w:rFonts w:hint="eastAsia" w:ascii="仿宋" w:hAnsi="仿宋" w:eastAsia="仿宋" w:cs="仿宋"/>
                <w:sz w:val="24"/>
                <w:szCs w:val="24"/>
                <w:lang w:val="en-US"/>
              </w:rPr>
              <w:t>确保系统功能的真实可靠性,满足招标人实际管理要求,各</w:t>
            </w:r>
            <w:r>
              <w:rPr>
                <w:rFonts w:hint="eastAsia" w:ascii="仿宋" w:hAnsi="仿宋" w:eastAsia="仿宋" w:cs="仿宋"/>
                <w:sz w:val="24"/>
                <w:szCs w:val="24"/>
                <w:lang w:val="en-US" w:eastAsia="zh-CN"/>
              </w:rPr>
              <w:t>供应商</w:t>
            </w:r>
            <w:r>
              <w:rPr>
                <w:rFonts w:hint="eastAsia" w:ascii="仿宋" w:hAnsi="仿宋" w:eastAsia="仿宋" w:cs="仿宋"/>
                <w:sz w:val="24"/>
                <w:szCs w:val="24"/>
                <w:lang w:val="en-US"/>
              </w:rPr>
              <w:t>须打开</w:t>
            </w:r>
            <w:r>
              <w:rPr>
                <w:rFonts w:hint="eastAsia" w:ascii="仿宋" w:hAnsi="仿宋" w:eastAsia="仿宋" w:cs="仿宋"/>
                <w:sz w:val="24"/>
                <w:szCs w:val="24"/>
                <w:lang w:val="en-US" w:eastAsia="zh-CN"/>
              </w:rPr>
              <w:t>智慧党建</w:t>
            </w:r>
            <w:r>
              <w:rPr>
                <w:rFonts w:hint="eastAsia" w:ascii="仿宋" w:hAnsi="仿宋" w:eastAsia="仿宋" w:cs="仿宋"/>
                <w:sz w:val="24"/>
                <w:szCs w:val="24"/>
                <w:lang w:val="en-US"/>
              </w:rPr>
              <w:t>真实环境进行现场用笔记本电脑演示，要求总体演示时长不得超过10分钟。否则视为无效演示。</w:t>
            </w:r>
          </w:p>
          <w:p w14:paraId="37668193">
            <w:pPr>
              <w:jc w:val="left"/>
              <w:rPr>
                <w:rFonts w:hint="eastAsia" w:ascii="仿宋" w:hAnsi="仿宋" w:eastAsia="仿宋" w:cs="宋体"/>
                <w:sz w:val="24"/>
                <w:szCs w:val="24"/>
                <w:lang w:val="en-US" w:eastAsia="zh-CN"/>
              </w:rPr>
            </w:pPr>
            <w:r>
              <w:rPr>
                <w:rFonts w:hint="eastAsia" w:ascii="仿宋" w:hAnsi="仿宋" w:eastAsia="仿宋" w:cs="宋体"/>
                <w:sz w:val="24"/>
                <w:szCs w:val="24"/>
              </w:rPr>
              <w:t>（1）</w:t>
            </w:r>
            <w:r>
              <w:rPr>
                <w:rFonts w:hint="eastAsia" w:ascii="仿宋" w:hAnsi="仿宋" w:eastAsia="仿宋" w:cs="宋体"/>
                <w:sz w:val="24"/>
                <w:szCs w:val="24"/>
                <w:lang w:val="en-US" w:eastAsia="zh-CN"/>
              </w:rPr>
              <w:t>主要</w:t>
            </w:r>
            <w:r>
              <w:rPr>
                <w:rFonts w:hint="eastAsia" w:ascii="仿宋" w:hAnsi="仿宋" w:eastAsia="仿宋" w:cs="宋体"/>
                <w:sz w:val="24"/>
                <w:szCs w:val="24"/>
              </w:rPr>
              <w:t>技术参数</w:t>
            </w:r>
            <w:r>
              <w:rPr>
                <w:rFonts w:hint="eastAsia" w:ascii="仿宋" w:hAnsi="仿宋" w:eastAsia="仿宋" w:cs="宋体"/>
                <w:sz w:val="24"/>
                <w:szCs w:val="24"/>
                <w:lang w:val="en-US"/>
              </w:rPr>
              <w:t>要求</w:t>
            </w:r>
            <w:r>
              <w:rPr>
                <w:rFonts w:hint="eastAsia" w:ascii="仿宋" w:hAnsi="仿宋" w:eastAsia="仿宋" w:cs="宋体"/>
                <w:sz w:val="24"/>
                <w:szCs w:val="24"/>
                <w:lang w:val="en-US" w:eastAsia="zh-CN"/>
              </w:rPr>
              <w:t>供应商</w:t>
            </w:r>
            <w:r>
              <w:rPr>
                <w:rFonts w:hint="eastAsia" w:ascii="仿宋" w:hAnsi="仿宋" w:eastAsia="仿宋" w:cs="宋体"/>
                <w:sz w:val="24"/>
                <w:szCs w:val="24"/>
                <w:lang w:val="en-US"/>
              </w:rPr>
              <w:t>在投标现场进行系统演示。</w:t>
            </w:r>
            <w:r>
              <w:rPr>
                <w:rFonts w:hint="eastAsia" w:ascii="仿宋" w:hAnsi="仿宋" w:eastAsia="仿宋" w:cs="宋体"/>
                <w:sz w:val="24"/>
                <w:szCs w:val="24"/>
                <w:lang w:val="en-US" w:eastAsia="zh-CN"/>
              </w:rPr>
              <w:t>（15分）</w:t>
            </w:r>
          </w:p>
          <w:p w14:paraId="638C9DC0">
            <w:pPr>
              <w:jc w:val="left"/>
              <w:rPr>
                <w:rFonts w:hint="eastAsia" w:ascii="仿宋" w:hAnsi="仿宋" w:eastAsia="仿宋" w:cs="宋体"/>
                <w:sz w:val="24"/>
                <w:szCs w:val="24"/>
                <w:lang w:val="en-US" w:eastAsia="zh-CN"/>
              </w:rPr>
            </w:pPr>
            <w:r>
              <w:rPr>
                <w:rFonts w:hint="eastAsia" w:ascii="仿宋" w:hAnsi="仿宋" w:eastAsia="仿宋" w:cs="宋体"/>
                <w:sz w:val="24"/>
                <w:szCs w:val="24"/>
                <w:lang w:val="en-US"/>
              </w:rPr>
              <w:t>（2）</w:t>
            </w:r>
            <w:r>
              <w:rPr>
                <w:rFonts w:hint="eastAsia" w:ascii="仿宋" w:hAnsi="仿宋" w:eastAsia="仿宋" w:cs="宋体"/>
                <w:sz w:val="24"/>
                <w:szCs w:val="24"/>
                <w:lang w:val="en-US" w:eastAsia="zh-CN"/>
              </w:rPr>
              <w:t>供应商提供的</w:t>
            </w:r>
            <w:r>
              <w:rPr>
                <w:rFonts w:hint="eastAsia" w:ascii="仿宋" w:hAnsi="仿宋" w:eastAsia="仿宋" w:cs="宋体"/>
                <w:sz w:val="24"/>
                <w:szCs w:val="24"/>
                <w:lang w:val="en-US"/>
              </w:rPr>
              <w:t>系统演示界面美观大方，</w:t>
            </w:r>
            <w:r>
              <w:rPr>
                <w:rFonts w:hint="eastAsia" w:ascii="仿宋" w:hAnsi="仿宋" w:eastAsia="仿宋" w:cs="宋体"/>
                <w:sz w:val="24"/>
                <w:szCs w:val="24"/>
                <w:lang w:val="en-US" w:eastAsia="zh-CN"/>
              </w:rPr>
              <w:t>要求</w:t>
            </w:r>
            <w:r>
              <w:rPr>
                <w:rFonts w:hint="eastAsia" w:ascii="仿宋" w:hAnsi="仿宋" w:eastAsia="仿宋" w:cs="宋体"/>
                <w:sz w:val="24"/>
                <w:szCs w:val="24"/>
                <w:lang w:val="en-US"/>
              </w:rPr>
              <w:t>色彩搭配协调，字体、风格完全统一。</w:t>
            </w:r>
            <w:r>
              <w:rPr>
                <w:rFonts w:hint="eastAsia" w:ascii="仿宋" w:hAnsi="仿宋" w:eastAsia="仿宋" w:cs="宋体"/>
                <w:sz w:val="24"/>
                <w:szCs w:val="24"/>
                <w:lang w:val="en-US" w:eastAsia="zh-CN"/>
              </w:rPr>
              <w:t>（10分）</w:t>
            </w:r>
          </w:p>
          <w:p w14:paraId="4DDDDB54">
            <w:pPr>
              <w:jc w:val="left"/>
              <w:rPr>
                <w:rFonts w:hint="eastAsia" w:ascii="仿宋" w:hAnsi="仿宋" w:eastAsia="仿宋" w:cs="宋体"/>
                <w:sz w:val="24"/>
                <w:szCs w:val="24"/>
                <w:lang w:eastAsia="zh-CN"/>
              </w:rPr>
            </w:pPr>
            <w:r>
              <w:rPr>
                <w:rFonts w:hint="eastAsia" w:ascii="仿宋" w:hAnsi="仿宋" w:eastAsia="仿宋" w:cs="宋体"/>
                <w:sz w:val="24"/>
                <w:szCs w:val="24"/>
                <w:lang w:val="en-US"/>
              </w:rPr>
              <w:t>（3）</w:t>
            </w:r>
            <w:r>
              <w:rPr>
                <w:rFonts w:hint="eastAsia" w:ascii="仿宋" w:hAnsi="仿宋" w:eastAsia="仿宋" w:cs="宋体"/>
                <w:sz w:val="24"/>
                <w:szCs w:val="24"/>
                <w:lang w:val="en-US" w:eastAsia="zh-CN"/>
              </w:rPr>
              <w:t>供应商提供的</w:t>
            </w:r>
            <w:r>
              <w:rPr>
                <w:rFonts w:hint="eastAsia" w:ascii="仿宋" w:hAnsi="仿宋" w:eastAsia="仿宋" w:cs="宋体"/>
                <w:sz w:val="24"/>
                <w:szCs w:val="24"/>
                <w:lang w:val="en-US"/>
              </w:rPr>
              <w:t>系统演示</w:t>
            </w:r>
            <w:r>
              <w:rPr>
                <w:rFonts w:hint="eastAsia" w:ascii="仿宋" w:hAnsi="仿宋" w:eastAsia="仿宋" w:cs="宋体"/>
                <w:sz w:val="24"/>
                <w:szCs w:val="24"/>
                <w:lang w:val="en-US" w:eastAsia="zh-CN"/>
              </w:rPr>
              <w:t>要求</w:t>
            </w:r>
            <w:r>
              <w:rPr>
                <w:rFonts w:hint="eastAsia" w:ascii="仿宋" w:hAnsi="仿宋" w:eastAsia="仿宋" w:cs="宋体"/>
                <w:sz w:val="24"/>
                <w:szCs w:val="24"/>
                <w:lang w:val="en-US"/>
              </w:rPr>
              <w:t>成熟稳定，页面响应快捷</w:t>
            </w:r>
            <w:r>
              <w:rPr>
                <w:rFonts w:hint="eastAsia" w:ascii="仿宋" w:hAnsi="仿宋" w:eastAsia="仿宋" w:cs="宋体"/>
                <w:sz w:val="24"/>
                <w:szCs w:val="24"/>
                <w:lang w:val="en-US" w:eastAsia="zh-CN"/>
              </w:rPr>
              <w:t>。（5分）</w:t>
            </w:r>
          </w:p>
          <w:p w14:paraId="3F24AB8B">
            <w:pPr>
              <w:jc w:val="left"/>
              <w:rPr>
                <w:rFonts w:hint="default" w:ascii="仿宋" w:hAnsi="仿宋" w:eastAsia="仿宋" w:cs="宋体"/>
                <w:b/>
                <w:bCs/>
                <w:color w:val="0000FF"/>
                <w:sz w:val="24"/>
                <w:szCs w:val="24"/>
                <w:lang w:val="en-US" w:eastAsia="zh-CN"/>
              </w:rPr>
            </w:pPr>
            <w:r>
              <w:rPr>
                <w:rFonts w:hint="eastAsia" w:ascii="仿宋" w:hAnsi="仿宋" w:eastAsia="仿宋" w:cs="宋体"/>
                <w:b/>
                <w:bCs/>
                <w:sz w:val="24"/>
                <w:szCs w:val="24"/>
              </w:rPr>
              <w:t>【评审依据】：响应文件中提供</w:t>
            </w:r>
            <w:r>
              <w:rPr>
                <w:rFonts w:hint="eastAsia" w:ascii="仿宋" w:hAnsi="仿宋" w:eastAsia="仿宋" w:cs="宋体"/>
                <w:b/>
                <w:bCs/>
                <w:sz w:val="24"/>
                <w:szCs w:val="24"/>
                <w:lang w:val="en-US" w:eastAsia="zh-CN"/>
              </w:rPr>
              <w:t>系统演示</w:t>
            </w:r>
            <w:r>
              <w:rPr>
                <w:rFonts w:hint="eastAsia" w:ascii="仿宋" w:hAnsi="仿宋" w:eastAsia="仿宋" w:cs="宋体"/>
                <w:b/>
                <w:bCs/>
                <w:sz w:val="24"/>
                <w:szCs w:val="24"/>
              </w:rPr>
              <w:t>，未提供不得分。</w:t>
            </w:r>
          </w:p>
        </w:tc>
      </w:tr>
      <w:tr w14:paraId="36A50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7409ECC">
            <w:pPr>
              <w:jc w:val="center"/>
              <w:rPr>
                <w:rFonts w:hint="eastAsia" w:ascii="仿宋" w:hAnsi="仿宋" w:eastAsia="仿宋"/>
                <w:sz w:val="24"/>
                <w:szCs w:val="24"/>
              </w:rPr>
            </w:pPr>
            <w:r>
              <w:rPr>
                <w:rFonts w:hint="eastAsia" w:ascii="仿宋" w:hAnsi="仿宋" w:eastAsia="仿宋"/>
                <w:sz w:val="24"/>
                <w:szCs w:val="24"/>
              </w:rPr>
              <w:t>5</w:t>
            </w:r>
          </w:p>
        </w:tc>
        <w:tc>
          <w:tcPr>
            <w:tcW w:w="1308" w:type="dxa"/>
            <w:vAlign w:val="center"/>
          </w:tcPr>
          <w:p w14:paraId="3532AD2D">
            <w:pPr>
              <w:jc w:val="center"/>
              <w:rPr>
                <w:rFonts w:hint="eastAsia" w:ascii="仿宋" w:hAnsi="仿宋" w:eastAsia="仿宋"/>
                <w:sz w:val="24"/>
                <w:szCs w:val="24"/>
              </w:rPr>
            </w:pPr>
            <w:r>
              <w:rPr>
                <w:rFonts w:hint="eastAsia" w:ascii="仿宋" w:hAnsi="仿宋" w:eastAsia="仿宋"/>
                <w:sz w:val="24"/>
                <w:szCs w:val="24"/>
              </w:rPr>
              <w:t>履约能力</w:t>
            </w:r>
          </w:p>
        </w:tc>
        <w:tc>
          <w:tcPr>
            <w:tcW w:w="709" w:type="dxa"/>
            <w:vAlign w:val="center"/>
          </w:tcPr>
          <w:p w14:paraId="5E0B1F39">
            <w:pPr>
              <w:jc w:val="center"/>
              <w:rPr>
                <w:rFonts w:hint="eastAsia" w:ascii="仿宋" w:hAnsi="仿宋" w:eastAsia="仿宋"/>
                <w:sz w:val="24"/>
                <w:szCs w:val="24"/>
              </w:rPr>
            </w:pPr>
            <w:r>
              <w:rPr>
                <w:rFonts w:hint="eastAsia" w:ascii="仿宋" w:hAnsi="仿宋" w:eastAsia="仿宋"/>
                <w:sz w:val="24"/>
                <w:szCs w:val="24"/>
              </w:rPr>
              <w:t>20</w:t>
            </w:r>
          </w:p>
        </w:tc>
        <w:tc>
          <w:tcPr>
            <w:tcW w:w="6237" w:type="dxa"/>
            <w:vAlign w:val="center"/>
          </w:tcPr>
          <w:p w14:paraId="73B93A38">
            <w:pPr>
              <w:jc w:val="left"/>
              <w:rPr>
                <w:rFonts w:hint="eastAsia" w:ascii="仿宋" w:hAnsi="仿宋" w:eastAsia="仿宋" w:cs="宋体"/>
                <w:sz w:val="24"/>
                <w:szCs w:val="24"/>
              </w:rPr>
            </w:pPr>
            <w:r>
              <w:rPr>
                <w:rFonts w:hint="eastAsia" w:ascii="仿宋" w:hAnsi="仿宋" w:eastAsia="仿宋" w:cs="宋体"/>
                <w:sz w:val="24"/>
                <w:szCs w:val="24"/>
              </w:rPr>
              <w:t>供应商近三年以来承担过类似项目业绩。</w:t>
            </w:r>
          </w:p>
          <w:p w14:paraId="4B478697">
            <w:pPr>
              <w:jc w:val="left"/>
              <w:rPr>
                <w:rFonts w:hint="eastAsia" w:ascii="仿宋" w:hAnsi="仿宋" w:eastAsia="仿宋" w:cs="宋体"/>
                <w:sz w:val="24"/>
                <w:szCs w:val="24"/>
                <w:lang w:eastAsia="zh-CN"/>
              </w:rPr>
            </w:pPr>
            <w:r>
              <w:rPr>
                <w:rFonts w:hint="eastAsia" w:ascii="仿宋" w:hAnsi="仿宋" w:eastAsia="仿宋" w:cs="宋体"/>
                <w:sz w:val="24"/>
                <w:szCs w:val="24"/>
              </w:rPr>
              <w:t>注：</w:t>
            </w:r>
            <w:r>
              <w:rPr>
                <w:rFonts w:hint="eastAsia" w:ascii="仿宋" w:hAnsi="仿宋" w:eastAsia="仿宋" w:cs="宋体"/>
                <w:sz w:val="24"/>
                <w:szCs w:val="24"/>
                <w:lang w:eastAsia="zh-CN"/>
              </w:rPr>
              <w:t>（</w:t>
            </w:r>
            <w:r>
              <w:rPr>
                <w:rFonts w:hint="eastAsia" w:ascii="仿宋" w:hAnsi="仿宋" w:eastAsia="仿宋" w:cs="宋体"/>
                <w:sz w:val="24"/>
                <w:szCs w:val="24"/>
              </w:rPr>
              <w:t>1</w:t>
            </w:r>
            <w:r>
              <w:rPr>
                <w:rFonts w:hint="eastAsia" w:ascii="仿宋" w:hAnsi="仿宋" w:eastAsia="仿宋" w:cs="宋体"/>
                <w:sz w:val="24"/>
                <w:szCs w:val="24"/>
                <w:lang w:eastAsia="zh-CN"/>
              </w:rPr>
              <w:t>）</w:t>
            </w:r>
            <w:r>
              <w:rPr>
                <w:rFonts w:hint="eastAsia" w:ascii="仿宋" w:hAnsi="仿宋" w:eastAsia="仿宋" w:cs="宋体"/>
                <w:sz w:val="24"/>
                <w:szCs w:val="24"/>
              </w:rPr>
              <w:t>完整的业绩应具备中标公告截图、合同、验收报告；</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3分</w:t>
            </w:r>
            <w:r>
              <w:rPr>
                <w:rFonts w:hint="eastAsia" w:ascii="仿宋" w:hAnsi="仿宋" w:eastAsia="仿宋" w:cs="宋体"/>
                <w:sz w:val="24"/>
                <w:szCs w:val="24"/>
                <w:lang w:eastAsia="zh-CN"/>
              </w:rPr>
              <w:t>）</w:t>
            </w:r>
          </w:p>
          <w:p w14:paraId="43CAC9B7">
            <w:pPr>
              <w:jc w:val="left"/>
              <w:rPr>
                <w:rFonts w:hint="eastAsia" w:ascii="仿宋" w:hAnsi="仿宋" w:eastAsia="仿宋" w:cs="宋体"/>
                <w:sz w:val="24"/>
                <w:szCs w:val="24"/>
                <w:lang w:eastAsia="zh-CN"/>
              </w:rPr>
            </w:pPr>
            <w:r>
              <w:rPr>
                <w:rFonts w:hint="eastAsia" w:ascii="仿宋" w:hAnsi="仿宋" w:eastAsia="仿宋" w:cs="宋体"/>
                <w:sz w:val="24"/>
                <w:szCs w:val="24"/>
                <w:lang w:eastAsia="zh-CN"/>
              </w:rPr>
              <w:t>（</w:t>
            </w:r>
            <w:r>
              <w:rPr>
                <w:rFonts w:hint="eastAsia" w:ascii="仿宋" w:hAnsi="仿宋" w:eastAsia="仿宋" w:cs="宋体"/>
                <w:sz w:val="24"/>
                <w:szCs w:val="24"/>
              </w:rPr>
              <w:t>2</w:t>
            </w:r>
            <w:r>
              <w:rPr>
                <w:rFonts w:hint="eastAsia" w:ascii="仿宋" w:hAnsi="仿宋" w:eastAsia="仿宋" w:cs="宋体"/>
                <w:sz w:val="24"/>
                <w:szCs w:val="24"/>
                <w:lang w:eastAsia="zh-CN"/>
              </w:rPr>
              <w:t>）</w:t>
            </w:r>
            <w:r>
              <w:rPr>
                <w:rFonts w:hint="eastAsia" w:ascii="仿宋" w:hAnsi="仿宋" w:eastAsia="仿宋" w:cs="宋体"/>
                <w:sz w:val="24"/>
                <w:szCs w:val="24"/>
              </w:rPr>
              <w:t>合同内容必须包含合同首页、合同签订时间、双方签字盖章页、详细的设备清单；</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3分</w:t>
            </w:r>
            <w:r>
              <w:rPr>
                <w:rFonts w:hint="eastAsia" w:ascii="仿宋" w:hAnsi="仿宋" w:eastAsia="仿宋" w:cs="宋体"/>
                <w:sz w:val="24"/>
                <w:szCs w:val="24"/>
                <w:lang w:eastAsia="zh-CN"/>
              </w:rPr>
              <w:t>）</w:t>
            </w:r>
          </w:p>
          <w:p w14:paraId="4145B10C">
            <w:pPr>
              <w:jc w:val="left"/>
              <w:rPr>
                <w:rFonts w:hint="eastAsia" w:ascii="仿宋" w:hAnsi="仿宋" w:eastAsia="仿宋" w:cs="宋体"/>
                <w:sz w:val="24"/>
                <w:szCs w:val="24"/>
                <w:lang w:eastAsia="zh-CN"/>
              </w:rPr>
            </w:pPr>
            <w:r>
              <w:rPr>
                <w:rFonts w:hint="eastAsia" w:ascii="仿宋" w:hAnsi="仿宋" w:eastAsia="仿宋" w:cs="宋体"/>
                <w:sz w:val="24"/>
                <w:szCs w:val="24"/>
                <w:lang w:eastAsia="zh-CN"/>
              </w:rPr>
              <w:t>（</w:t>
            </w:r>
            <w:r>
              <w:rPr>
                <w:rFonts w:hint="eastAsia" w:ascii="仿宋" w:hAnsi="仿宋" w:eastAsia="仿宋" w:cs="宋体"/>
                <w:sz w:val="24"/>
                <w:szCs w:val="24"/>
              </w:rPr>
              <w:t>3</w:t>
            </w:r>
            <w:r>
              <w:rPr>
                <w:rFonts w:hint="eastAsia" w:ascii="仿宋" w:hAnsi="仿宋" w:eastAsia="仿宋" w:cs="宋体"/>
                <w:sz w:val="24"/>
                <w:szCs w:val="24"/>
                <w:lang w:eastAsia="zh-CN"/>
              </w:rPr>
              <w:t>）</w:t>
            </w:r>
            <w:r>
              <w:rPr>
                <w:rFonts w:hint="eastAsia" w:ascii="仿宋" w:hAnsi="仿宋" w:eastAsia="仿宋" w:cs="宋体"/>
                <w:sz w:val="24"/>
                <w:szCs w:val="24"/>
              </w:rPr>
              <w:t>在标书中附清晰且完整的复印件。</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3分</w:t>
            </w:r>
            <w:r>
              <w:rPr>
                <w:rFonts w:hint="eastAsia" w:ascii="仿宋" w:hAnsi="仿宋" w:eastAsia="仿宋" w:cs="宋体"/>
                <w:sz w:val="24"/>
                <w:szCs w:val="24"/>
                <w:lang w:eastAsia="zh-CN"/>
              </w:rPr>
              <w:t>）</w:t>
            </w:r>
          </w:p>
          <w:p w14:paraId="6ED7F4D3">
            <w:pPr>
              <w:jc w:val="left"/>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（4）其他相应履约能力（1分）</w:t>
            </w:r>
          </w:p>
          <w:p w14:paraId="77C6FDE7">
            <w:pPr>
              <w:jc w:val="left"/>
              <w:rPr>
                <w:rFonts w:hint="eastAsia" w:ascii="仿宋" w:hAnsi="仿宋" w:eastAsia="仿宋" w:cs="宋体"/>
                <w:b/>
                <w:bCs/>
                <w:sz w:val="24"/>
                <w:szCs w:val="24"/>
              </w:rPr>
            </w:pPr>
            <w:r>
              <w:rPr>
                <w:rFonts w:hint="eastAsia" w:ascii="仿宋" w:hAnsi="仿宋" w:eastAsia="仿宋" w:cs="宋体"/>
                <w:b/>
                <w:bCs/>
                <w:sz w:val="24"/>
                <w:szCs w:val="24"/>
              </w:rPr>
              <w:t>本项满分20分。</w:t>
            </w:r>
          </w:p>
          <w:p w14:paraId="6E335612">
            <w:pPr>
              <w:jc w:val="left"/>
              <w:rPr>
                <w:rFonts w:hint="eastAsia" w:ascii="仿宋" w:hAnsi="仿宋" w:eastAsia="仿宋" w:cs="宋体"/>
                <w:color w:val="0000FF"/>
                <w:sz w:val="24"/>
                <w:szCs w:val="24"/>
              </w:rPr>
            </w:pPr>
            <w:r>
              <w:rPr>
                <w:rFonts w:hint="eastAsia" w:ascii="仿宋" w:hAnsi="仿宋" w:eastAsia="仿宋" w:cs="宋体"/>
                <w:b/>
                <w:bCs/>
                <w:sz w:val="24"/>
                <w:szCs w:val="24"/>
              </w:rPr>
              <w:t>【评审依据】：响应文件中提供合同复印件并加盖供应商公章。（合同复印件需提供合同首页、标的或内容所在页、签字盖章页）</w:t>
            </w:r>
          </w:p>
        </w:tc>
      </w:tr>
      <w:tr w14:paraId="7BA49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AE758F9">
            <w:pPr>
              <w:jc w:val="center"/>
              <w:rPr>
                <w:rFonts w:hint="eastAsia" w:ascii="仿宋" w:hAnsi="仿宋" w:eastAsia="仿宋"/>
                <w:sz w:val="24"/>
                <w:szCs w:val="24"/>
              </w:rPr>
            </w:pPr>
            <w:r>
              <w:rPr>
                <w:rFonts w:hint="eastAsia" w:ascii="仿宋" w:hAnsi="仿宋" w:eastAsia="仿宋"/>
                <w:sz w:val="24"/>
                <w:szCs w:val="24"/>
              </w:rPr>
              <w:t>6</w:t>
            </w:r>
          </w:p>
        </w:tc>
        <w:tc>
          <w:tcPr>
            <w:tcW w:w="1308" w:type="dxa"/>
            <w:vAlign w:val="center"/>
          </w:tcPr>
          <w:p w14:paraId="4A9F7F08">
            <w:pPr>
              <w:jc w:val="center"/>
              <w:rPr>
                <w:rFonts w:hint="eastAsia" w:ascii="仿宋" w:hAnsi="仿宋" w:eastAsia="仿宋"/>
                <w:sz w:val="24"/>
                <w:szCs w:val="24"/>
              </w:rPr>
            </w:pPr>
            <w:r>
              <w:rPr>
                <w:rFonts w:hint="eastAsia" w:ascii="仿宋" w:hAnsi="仿宋" w:eastAsia="仿宋"/>
                <w:sz w:val="24"/>
                <w:szCs w:val="24"/>
              </w:rPr>
              <w:t>企业综合实力</w:t>
            </w:r>
          </w:p>
        </w:tc>
        <w:tc>
          <w:tcPr>
            <w:tcW w:w="709" w:type="dxa"/>
            <w:vAlign w:val="center"/>
          </w:tcPr>
          <w:p w14:paraId="618B4AAE">
            <w:pPr>
              <w:jc w:val="center"/>
              <w:rPr>
                <w:rFonts w:hint="eastAsia" w:ascii="仿宋" w:hAnsi="仿宋" w:eastAsia="仿宋"/>
                <w:sz w:val="24"/>
                <w:szCs w:val="24"/>
              </w:rPr>
            </w:pPr>
            <w:r>
              <w:rPr>
                <w:rFonts w:hint="eastAsia" w:ascii="仿宋" w:hAnsi="仿宋" w:eastAsia="仿宋"/>
                <w:sz w:val="24"/>
                <w:szCs w:val="24"/>
              </w:rPr>
              <w:t>10</w:t>
            </w:r>
          </w:p>
        </w:tc>
        <w:tc>
          <w:tcPr>
            <w:tcW w:w="6237" w:type="dxa"/>
            <w:vAlign w:val="center"/>
          </w:tcPr>
          <w:p w14:paraId="534F8200">
            <w:pPr>
              <w:jc w:val="left"/>
              <w:rPr>
                <w:rFonts w:hint="eastAsia" w:ascii="仿宋" w:hAnsi="仿宋" w:eastAsia="仿宋" w:cs="宋体"/>
                <w:sz w:val="24"/>
                <w:szCs w:val="24"/>
                <w:lang w:val="en-US"/>
              </w:rPr>
            </w:pPr>
            <w:r>
              <w:rPr>
                <w:rFonts w:hint="eastAsia" w:ascii="仿宋" w:hAnsi="仿宋" w:eastAsia="仿宋" w:cs="宋体"/>
                <w:sz w:val="24"/>
                <w:szCs w:val="24"/>
                <w:lang w:val="en-US"/>
              </w:rPr>
              <w:t>供应商提供ISO20000信息技术服务管理体系认</w:t>
            </w:r>
            <w:r>
              <w:rPr>
                <w:rFonts w:hint="eastAsia" w:ascii="仿宋" w:hAnsi="仿宋" w:eastAsia="仿宋" w:cs="宋体"/>
                <w:sz w:val="24"/>
                <w:szCs w:val="24"/>
                <w:lang w:val="en-US" w:eastAsia="zh-CN"/>
              </w:rPr>
              <w:t>证（2分）、</w:t>
            </w:r>
            <w:r>
              <w:rPr>
                <w:rFonts w:hint="eastAsia" w:ascii="仿宋" w:hAnsi="仿宋" w:eastAsia="仿宋" w:cs="宋体"/>
                <w:sz w:val="24"/>
                <w:szCs w:val="24"/>
                <w:lang w:val="en-US"/>
              </w:rPr>
              <w:t>ISO27001信息安全管理体系认证</w:t>
            </w:r>
            <w:r>
              <w:rPr>
                <w:rFonts w:hint="eastAsia" w:ascii="仿宋" w:hAnsi="仿宋" w:eastAsia="仿宋" w:cs="宋体"/>
                <w:sz w:val="24"/>
                <w:szCs w:val="24"/>
                <w:lang w:val="en-US" w:eastAsia="zh-CN"/>
              </w:rPr>
              <w:t>（2分）、</w:t>
            </w:r>
            <w:r>
              <w:rPr>
                <w:rFonts w:hint="eastAsia" w:ascii="仿宋" w:hAnsi="仿宋" w:eastAsia="仿宋" w:cs="宋体"/>
                <w:sz w:val="24"/>
                <w:szCs w:val="24"/>
                <w:lang w:val="en-US"/>
              </w:rPr>
              <w:t>软件企业认证证书</w:t>
            </w:r>
            <w:r>
              <w:rPr>
                <w:rFonts w:hint="eastAsia" w:ascii="仿宋" w:hAnsi="仿宋" w:eastAsia="仿宋" w:cs="宋体"/>
                <w:sz w:val="24"/>
                <w:szCs w:val="24"/>
                <w:lang w:val="en-US" w:eastAsia="zh-CN"/>
              </w:rPr>
              <w:t>（2分）</w:t>
            </w:r>
            <w:r>
              <w:rPr>
                <w:rFonts w:hint="eastAsia" w:ascii="仿宋" w:hAnsi="仿宋" w:eastAsia="仿宋" w:cs="宋体"/>
                <w:sz w:val="24"/>
                <w:szCs w:val="24"/>
                <w:lang w:val="en-US"/>
              </w:rPr>
              <w:t>、质量管理体系认证证书</w:t>
            </w:r>
            <w:r>
              <w:rPr>
                <w:rFonts w:hint="eastAsia" w:ascii="仿宋" w:hAnsi="仿宋" w:eastAsia="仿宋" w:cs="宋体"/>
                <w:sz w:val="24"/>
                <w:szCs w:val="24"/>
                <w:lang w:val="en-US" w:eastAsia="zh-CN"/>
              </w:rPr>
              <w:t>相关资质证书（2分）、其他相关佐证（2分）</w:t>
            </w:r>
            <w:r>
              <w:rPr>
                <w:rFonts w:hint="eastAsia" w:ascii="仿宋" w:hAnsi="仿宋" w:eastAsia="仿宋" w:cs="宋体"/>
                <w:sz w:val="24"/>
                <w:szCs w:val="24"/>
                <w:lang w:val="en-US"/>
              </w:rPr>
              <w:t>。</w:t>
            </w:r>
          </w:p>
          <w:p w14:paraId="44621BA7">
            <w:pPr>
              <w:jc w:val="left"/>
              <w:rPr>
                <w:rFonts w:hint="eastAsia" w:ascii="仿宋" w:hAnsi="仿宋" w:eastAsia="仿宋" w:cs="宋体"/>
                <w:b/>
                <w:bCs/>
                <w:color w:val="0000FF"/>
                <w:sz w:val="24"/>
                <w:szCs w:val="24"/>
              </w:rPr>
            </w:pPr>
            <w:r>
              <w:rPr>
                <w:rFonts w:hint="eastAsia" w:ascii="仿宋" w:hAnsi="仿宋" w:eastAsia="仿宋" w:cs="宋体"/>
                <w:b/>
                <w:bCs/>
                <w:sz w:val="24"/>
                <w:szCs w:val="24"/>
              </w:rPr>
              <w:t>本项满分10分。</w:t>
            </w:r>
          </w:p>
        </w:tc>
      </w:tr>
    </w:tbl>
    <w:p w14:paraId="6FA0C1A2">
      <w:pPr>
        <w:pStyle w:val="15"/>
        <w:ind w:left="0" w:leftChars="0" w:firstLine="0"/>
        <w:jc w:val="center"/>
        <w:rPr>
          <w:rFonts w:hint="eastAsia" w:ascii="宋体" w:hAnsi="宋体" w:eastAsia="仿宋" w:cs="宋体"/>
          <w:b/>
          <w:color w:val="333333"/>
          <w:kern w:val="0"/>
          <w:sz w:val="36"/>
          <w:szCs w:val="36"/>
        </w:rPr>
      </w:pPr>
    </w:p>
    <w:p w14:paraId="3B3EC3F2">
      <w:pPr>
        <w:pStyle w:val="15"/>
        <w:ind w:left="0" w:leftChars="0" w:firstLine="0"/>
        <w:jc w:val="center"/>
        <w:rPr>
          <w:rFonts w:hint="eastAsia" w:ascii="宋体" w:hAnsi="宋体" w:eastAsia="仿宋" w:cs="宋体"/>
          <w:b/>
          <w:color w:val="333333"/>
          <w:kern w:val="0"/>
          <w:sz w:val="36"/>
          <w:szCs w:val="36"/>
        </w:rPr>
      </w:pPr>
    </w:p>
    <w:p w14:paraId="56ADE473">
      <w:pPr>
        <w:pStyle w:val="15"/>
        <w:ind w:left="0" w:leftChars="0" w:firstLine="0"/>
        <w:jc w:val="center"/>
        <w:rPr>
          <w:rFonts w:hint="eastAsia" w:ascii="宋体" w:hAnsi="宋体" w:eastAsia="仿宋" w:cs="宋体"/>
          <w:b/>
          <w:color w:val="333333"/>
          <w:kern w:val="0"/>
          <w:sz w:val="36"/>
          <w:szCs w:val="36"/>
        </w:rPr>
      </w:pPr>
    </w:p>
    <w:p w14:paraId="775EBA7D">
      <w:pPr>
        <w:pStyle w:val="15"/>
        <w:ind w:left="0" w:leftChars="0" w:firstLine="0"/>
        <w:jc w:val="center"/>
        <w:rPr>
          <w:rFonts w:hint="eastAsia" w:ascii="宋体" w:hAnsi="宋体" w:eastAsia="仿宋" w:cs="宋体"/>
          <w:b/>
          <w:color w:val="333333"/>
          <w:kern w:val="0"/>
          <w:sz w:val="36"/>
          <w:szCs w:val="36"/>
        </w:rPr>
      </w:pPr>
    </w:p>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14:paraId="083C3535">
      <w:pPr>
        <w:pStyle w:val="15"/>
        <w:spacing w:before="0" w:beforeAutospacing="0" w:after="0" w:line="360" w:lineRule="auto"/>
        <w:ind w:left="0" w:leftChars="0" w:firstLine="482" w:firstLineChars="200"/>
        <w:jc w:val="left"/>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26A326CD">
      <w:pPr>
        <w:pStyle w:val="15"/>
        <w:ind w:left="0" w:leftChars="0" w:firstLine="0"/>
      </w:pPr>
    </w:p>
    <w:p w14:paraId="3D5D23B6">
      <w:pPr>
        <w:pStyle w:val="15"/>
        <w:ind w:left="0" w:leftChars="0" w:firstLine="0"/>
        <w:jc w:val="center"/>
        <w:rPr>
          <w:rFonts w:hint="eastAsia" w:ascii="宋体" w:hAnsi="宋体" w:eastAsia="仿宋" w:cs="宋体"/>
          <w:b/>
          <w:color w:val="333333"/>
          <w:kern w:val="0"/>
          <w:sz w:val="36"/>
          <w:szCs w:val="36"/>
        </w:rPr>
      </w:pPr>
    </w:p>
    <w:p w14:paraId="283D7807">
      <w:pPr>
        <w:pStyle w:val="15"/>
        <w:ind w:left="0" w:leftChars="0" w:firstLine="0"/>
        <w:jc w:val="center"/>
        <w:rPr>
          <w:rFonts w:hint="eastAsia" w:ascii="宋体" w:hAnsi="宋体" w:eastAsia="仿宋" w:cs="宋体"/>
          <w:b/>
          <w:color w:val="333333"/>
          <w:kern w:val="0"/>
          <w:sz w:val="36"/>
          <w:szCs w:val="36"/>
        </w:rPr>
      </w:pPr>
    </w:p>
    <w:p w14:paraId="1EC5F4D5">
      <w:pPr>
        <w:pStyle w:val="15"/>
        <w:ind w:left="0" w:leftChars="0" w:firstLine="0"/>
        <w:jc w:val="center"/>
        <w:rPr>
          <w:rFonts w:hint="eastAsia" w:ascii="宋体" w:hAnsi="宋体" w:eastAsia="仿宋" w:cs="宋体"/>
          <w:b/>
          <w:color w:val="333333"/>
          <w:kern w:val="0"/>
          <w:sz w:val="36"/>
          <w:szCs w:val="36"/>
        </w:rPr>
      </w:pPr>
    </w:p>
    <w:p w14:paraId="12D8F400">
      <w:pPr>
        <w:pStyle w:val="15"/>
        <w:ind w:left="0" w:leftChars="0" w:firstLine="0"/>
        <w:jc w:val="both"/>
        <w:rPr>
          <w:rFonts w:hint="eastAsia" w:ascii="宋体" w:hAnsi="宋体" w:eastAsia="仿宋" w:cs="宋体"/>
          <w:b/>
          <w:color w:val="333333"/>
          <w:kern w:val="0"/>
          <w:sz w:val="36"/>
          <w:szCs w:val="36"/>
        </w:rPr>
      </w:pPr>
    </w:p>
    <w:p w14:paraId="3AE8D964">
      <w:pPr>
        <w:rPr>
          <w:rFonts w:hint="eastAsia" w:ascii="宋体" w:hAnsi="宋体" w:eastAsia="仿宋" w:cs="宋体"/>
          <w:b/>
          <w:color w:val="333333"/>
          <w:kern w:val="0"/>
          <w:sz w:val="36"/>
          <w:szCs w:val="36"/>
        </w:rPr>
      </w:pPr>
    </w:p>
    <w:p w14:paraId="095DB677">
      <w:pPr>
        <w:rPr>
          <w:rFonts w:hint="eastAsia" w:ascii="宋体" w:hAnsi="宋体" w:eastAsia="仿宋" w:cs="宋体"/>
          <w:b/>
          <w:color w:val="333333"/>
          <w:kern w:val="0"/>
          <w:sz w:val="36"/>
          <w:szCs w:val="36"/>
        </w:rPr>
      </w:pPr>
    </w:p>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6BA60C6A">
      <w:pPr>
        <w:pStyle w:val="10"/>
        <w:adjustRightInd w:val="0"/>
        <w:snapToGrid w:val="0"/>
        <w:spacing w:line="360" w:lineRule="auto"/>
        <w:rPr>
          <w:rFonts w:hint="eastAsia" w:ascii="仿宋_GB2312" w:hAnsi="宋体" w:eastAsia="仿宋_GB2312"/>
          <w:b/>
        </w:rPr>
      </w:pPr>
    </w:p>
    <w:p w14:paraId="62A79616">
      <w:pPr>
        <w:pStyle w:val="10"/>
        <w:adjustRightInd w:val="0"/>
        <w:snapToGrid w:val="0"/>
        <w:spacing w:line="360" w:lineRule="auto"/>
        <w:rPr>
          <w:rFonts w:hint="eastAsia" w:ascii="仿宋_GB2312" w:hAnsi="宋体" w:eastAsia="仿宋_GB2312"/>
          <w:b/>
        </w:rPr>
      </w:pPr>
    </w:p>
    <w:p w14:paraId="6DD6EEE2">
      <w:pPr>
        <w:pStyle w:val="10"/>
        <w:adjustRightInd w:val="0"/>
        <w:snapToGrid w:val="0"/>
        <w:spacing w:line="360" w:lineRule="auto"/>
        <w:rPr>
          <w:rFonts w:hint="eastAsia" w:ascii="仿宋_GB2312" w:hAnsi="宋体" w:eastAsia="仿宋_GB2312"/>
          <w:b/>
        </w:rPr>
      </w:pPr>
    </w:p>
    <w:p w14:paraId="06435182">
      <w:pPr>
        <w:pStyle w:val="10"/>
        <w:adjustRightInd w:val="0"/>
        <w:snapToGrid w:val="0"/>
        <w:spacing w:line="360" w:lineRule="auto"/>
        <w:rPr>
          <w:rFonts w:hint="eastAsia" w:ascii="仿宋_GB2312" w:hAnsi="宋体" w:eastAsia="仿宋_GB2312"/>
          <w:b/>
        </w:rPr>
      </w:pPr>
    </w:p>
    <w:p w14:paraId="498F2D02">
      <w:pPr>
        <w:pStyle w:val="10"/>
        <w:adjustRightInd w:val="0"/>
        <w:snapToGrid w:val="0"/>
        <w:spacing w:line="360" w:lineRule="auto"/>
        <w:rPr>
          <w:rFonts w:hint="eastAsia" w:ascii="仿宋_GB2312" w:hAnsi="宋体" w:eastAsia="仿宋_GB2312"/>
          <w:b/>
        </w:rPr>
      </w:pPr>
    </w:p>
    <w:p w14:paraId="52CC3873">
      <w:pPr>
        <w:pStyle w:val="10"/>
        <w:adjustRightInd w:val="0"/>
        <w:snapToGrid w:val="0"/>
        <w:spacing w:line="360" w:lineRule="auto"/>
        <w:rPr>
          <w:rFonts w:hint="eastAsia" w:ascii="仿宋_GB2312" w:hAnsi="宋体" w:eastAsia="仿宋_GB2312"/>
          <w:b/>
        </w:rPr>
      </w:pPr>
    </w:p>
    <w:p w14:paraId="296D97C2">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106A9744">
      <w:pPr>
        <w:adjustRightInd w:val="0"/>
        <w:snapToGrid w:val="0"/>
        <w:spacing w:line="360" w:lineRule="auto"/>
        <w:ind w:right="24"/>
        <w:rPr>
          <w:rFonts w:hint="eastAsia" w:ascii="仿宋" w:hAnsi="仿宋" w:eastAsia="仿宋"/>
          <w:bCs/>
          <w:sz w:val="24"/>
        </w:rPr>
      </w:pPr>
    </w:p>
    <w:p w14:paraId="53E8A92D">
      <w:pPr>
        <w:adjustRightInd w:val="0"/>
        <w:snapToGrid w:val="0"/>
        <w:spacing w:line="360" w:lineRule="auto"/>
        <w:ind w:right="24"/>
        <w:rPr>
          <w:rFonts w:hint="eastAsia" w:ascii="仿宋_GB2312" w:hAnsi="华文中宋" w:eastAsia="仿宋_GB2312"/>
          <w:bCs/>
          <w:sz w:val="24"/>
        </w:rPr>
      </w:pP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lang w:val="en-US" w:eastAsia="zh-CN"/>
        </w:rPr>
        <w:t xml:space="preserve">         </w:t>
      </w:r>
      <w:r>
        <w:rPr>
          <w:rFonts w:hint="eastAsia" w:ascii="仿宋" w:hAnsi="仿宋" w:eastAsia="仿宋"/>
          <w:sz w:val="24"/>
          <w:szCs w:val="24"/>
          <w:u w:val="single"/>
        </w:rPr>
        <w:t>项目</w:t>
      </w:r>
      <w:r>
        <w:rPr>
          <w:rFonts w:hint="eastAsia" w:ascii="仿宋" w:hAnsi="仿宋" w:eastAsia="仿宋"/>
          <w:sz w:val="24"/>
          <w:szCs w:val="24"/>
        </w:rPr>
        <w:t>询比文件，清楚文件中关于本项目的相关采购需求。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方正舒体"/>
    <w:panose1 w:val="02000000000000000000"/>
    <w:charset w:val="86"/>
    <w:family w:val="script"/>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5F8648"/>
    <w:multiLevelType w:val="singleLevel"/>
    <w:tmpl w:val="A05F8648"/>
    <w:lvl w:ilvl="0" w:tentative="0">
      <w:start w:val="1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567A9"/>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8B1"/>
    <w:rsid w:val="00357989"/>
    <w:rsid w:val="003603F2"/>
    <w:rsid w:val="00363043"/>
    <w:rsid w:val="00375975"/>
    <w:rsid w:val="003906B4"/>
    <w:rsid w:val="003A53A1"/>
    <w:rsid w:val="003A55E6"/>
    <w:rsid w:val="003A750D"/>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D1D88"/>
    <w:rsid w:val="004D4DC1"/>
    <w:rsid w:val="004D5431"/>
    <w:rsid w:val="004F194E"/>
    <w:rsid w:val="004F6837"/>
    <w:rsid w:val="005038E5"/>
    <w:rsid w:val="00510C43"/>
    <w:rsid w:val="005213BF"/>
    <w:rsid w:val="005347BC"/>
    <w:rsid w:val="0053775C"/>
    <w:rsid w:val="00544120"/>
    <w:rsid w:val="00547D86"/>
    <w:rsid w:val="005503FB"/>
    <w:rsid w:val="005504CB"/>
    <w:rsid w:val="0055219A"/>
    <w:rsid w:val="00564560"/>
    <w:rsid w:val="00574D7B"/>
    <w:rsid w:val="00575A9B"/>
    <w:rsid w:val="00585E27"/>
    <w:rsid w:val="0059459F"/>
    <w:rsid w:val="005A062C"/>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A0F71"/>
    <w:rsid w:val="008A5442"/>
    <w:rsid w:val="008B7B0E"/>
    <w:rsid w:val="008C3DAB"/>
    <w:rsid w:val="008C5A1E"/>
    <w:rsid w:val="008C6777"/>
    <w:rsid w:val="008C7219"/>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7910591"/>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CB87A80"/>
    <w:rsid w:val="2D460049"/>
    <w:rsid w:val="3163566D"/>
    <w:rsid w:val="31D8203D"/>
    <w:rsid w:val="31FA2FC3"/>
    <w:rsid w:val="3248523C"/>
    <w:rsid w:val="353327D7"/>
    <w:rsid w:val="35A3072E"/>
    <w:rsid w:val="35BA60CE"/>
    <w:rsid w:val="38CA49CD"/>
    <w:rsid w:val="39D54C2E"/>
    <w:rsid w:val="3A731769"/>
    <w:rsid w:val="3B3140E6"/>
    <w:rsid w:val="3B8763FC"/>
    <w:rsid w:val="3B9A7EC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CA58AE"/>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6DC6D4D"/>
    <w:rsid w:val="68B735CD"/>
    <w:rsid w:val="6A400653"/>
    <w:rsid w:val="6A7F45BF"/>
    <w:rsid w:val="6B5A68F5"/>
    <w:rsid w:val="6B5F3C40"/>
    <w:rsid w:val="6BBF5D79"/>
    <w:rsid w:val="6BC9041D"/>
    <w:rsid w:val="6DAB7F02"/>
    <w:rsid w:val="700A6B6E"/>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 w:val="7FAE6F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 w:type="character" w:customStyle="1" w:styleId="42">
    <w:name w:val="font41"/>
    <w:basedOn w:val="18"/>
    <w:qFormat/>
    <w:uiPriority w:val="0"/>
    <w:rPr>
      <w:rFonts w:hint="eastAsia" w:ascii="微软雅黑" w:hAnsi="微软雅黑" w:eastAsia="微软雅黑" w:cs="微软雅黑"/>
      <w:color w:val="000000"/>
      <w:sz w:val="20"/>
      <w:szCs w:val="20"/>
      <w:u w:val="none"/>
    </w:rPr>
  </w:style>
  <w:style w:type="paragraph" w:customStyle="1" w:styleId="43">
    <w:name w:val=" Char1 Char Char Char Char Char Char Char"/>
    <w:basedOn w:val="1"/>
    <w:qFormat/>
    <w:uiPriority w:val="0"/>
    <w:rPr>
      <w:rFonts w:ascii="Tahoma" w:hAnsi="Tahoma"/>
      <w:sz w:val="24"/>
      <w:szCs w:val="20"/>
    </w:rPr>
  </w:style>
  <w:style w:type="character" w:customStyle="1" w:styleId="44">
    <w:name w:val="font71"/>
    <w:basedOn w:val="18"/>
    <w:qFormat/>
    <w:uiPriority w:val="0"/>
    <w:rPr>
      <w:rFonts w:hint="eastAsia" w:ascii="微软雅黑" w:hAnsi="微软雅黑" w:eastAsia="微软雅黑" w:cs="微软雅黑"/>
      <w:color w:val="FF0000"/>
      <w:sz w:val="20"/>
      <w:szCs w:val="20"/>
      <w:u w:val="none"/>
    </w:rPr>
  </w:style>
  <w:style w:type="character" w:customStyle="1" w:styleId="45">
    <w:name w:val="font81"/>
    <w:basedOn w:val="18"/>
    <w:qFormat/>
    <w:uiPriority w:val="0"/>
    <w:rPr>
      <w:rFonts w:hint="eastAsia" w:ascii="微软雅黑" w:hAnsi="微软雅黑" w:eastAsia="微软雅黑" w:cs="微软雅黑"/>
      <w:color w:val="7030A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23</Pages>
  <Words>4455</Words>
  <Characters>4563</Characters>
  <Lines>31</Lines>
  <Paragraphs>9</Paragraphs>
  <TotalTime>0</TotalTime>
  <ScaleCrop>false</ScaleCrop>
  <LinksUpToDate>false</LinksUpToDate>
  <CharactersWithSpaces>4646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2025-01-19T03:35:00Z</dcterms:created>
  <dc:creator>china</dc:creator>
  <cp:lastModifiedBy></cp:lastModifiedBy>
  <cp:lastPrinted>2020-08-24T02:17:00Z</cp:lastPrinted>
  <dcterms:modified xsi:type="dcterms:W3CDTF">2025-06-18T02:54:14Z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D860382AF4FD4FC19936ADF9EFDD953B_13</vt:lpwstr>
  </property>
  <property fmtid="{D5CDD505-2E9C-101B-9397-08002B2CF9AE}" pid="4" name="KSOTemplateDocerSaveRecord">
    <vt:lpwstr>eyJoZGlkIjoiNjExNjA1MzY4NDcxNDhlNGIwYWUzMzQ5YTk5ZTk5ZTUiLCJ1c2VySWQiOiI0OTQ3NjU2MzMifQ==</vt:lpwstr>
  </property>
</Properties>
</file>