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hint="eastAsia" w:ascii="仿宋_GB2312" w:hAnsi="华文中宋" w:eastAsia="仿宋_GB2312"/>
          <w:b/>
          <w:sz w:val="84"/>
          <w:szCs w:val="84"/>
        </w:rPr>
      </w:pPr>
    </w:p>
    <w:p w14:paraId="01FFE299">
      <w:pPr>
        <w:pStyle w:val="10"/>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0"/>
        <w:adjustRightInd w:val="0"/>
        <w:snapToGrid w:val="0"/>
        <w:spacing w:line="360" w:lineRule="auto"/>
        <w:ind w:left="846" w:leftChars="403" w:firstLine="157" w:firstLineChars="49"/>
        <w:rPr>
          <w:rFonts w:hint="eastAsia" w:ascii="黑体" w:hAnsi="黑体" w:eastAsia="黑体"/>
          <w:b/>
          <w:sz w:val="32"/>
          <w:szCs w:val="32"/>
        </w:rPr>
      </w:pPr>
    </w:p>
    <w:p w14:paraId="1D8F80E4">
      <w:pPr>
        <w:pStyle w:val="10"/>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10"/>
        <w:adjustRightInd w:val="0"/>
        <w:snapToGrid w:val="0"/>
        <w:spacing w:line="360" w:lineRule="auto"/>
        <w:ind w:left="846" w:leftChars="403" w:firstLine="157" w:firstLineChars="49"/>
        <w:rPr>
          <w:rFonts w:hint="eastAsia" w:ascii="黑体" w:hAnsi="黑体" w:eastAsia="黑体"/>
          <w:b/>
          <w:sz w:val="32"/>
          <w:szCs w:val="32"/>
        </w:rPr>
      </w:pPr>
    </w:p>
    <w:p w14:paraId="6505A8CE">
      <w:pPr>
        <w:pStyle w:val="10"/>
        <w:adjustRightInd w:val="0"/>
        <w:snapToGrid w:val="0"/>
        <w:spacing w:line="360" w:lineRule="auto"/>
        <w:ind w:left="846" w:leftChars="403" w:firstLine="157" w:firstLineChars="49"/>
        <w:rPr>
          <w:rFonts w:hint="eastAsia" w:ascii="黑体" w:hAnsi="黑体" w:eastAsia="黑体"/>
          <w:b/>
          <w:sz w:val="32"/>
          <w:szCs w:val="32"/>
        </w:rPr>
      </w:pPr>
    </w:p>
    <w:p w14:paraId="1DD4CC30">
      <w:pPr>
        <w:pStyle w:val="10"/>
        <w:adjustRightInd w:val="0"/>
        <w:snapToGrid w:val="0"/>
        <w:spacing w:line="360" w:lineRule="auto"/>
        <w:ind w:left="846" w:leftChars="403" w:firstLine="157" w:firstLineChars="49"/>
        <w:rPr>
          <w:rFonts w:hint="eastAsia" w:ascii="黑体" w:hAnsi="黑体" w:eastAsia="黑体"/>
          <w:b/>
          <w:sz w:val="32"/>
          <w:szCs w:val="32"/>
        </w:rPr>
      </w:pPr>
    </w:p>
    <w:p w14:paraId="6E018500">
      <w:pPr>
        <w:pStyle w:val="40"/>
        <w:ind w:firstLine="320" w:firstLineChars="100"/>
        <w:jc w:val="both"/>
        <w:rPr>
          <w:rFonts w:hint="eastAsia" w:ascii="黑体" w:hAnsi="黑体" w:eastAsia="黑体"/>
          <w:kern w:val="0"/>
          <w:sz w:val="32"/>
          <w:szCs w:val="32"/>
        </w:rPr>
      </w:pPr>
      <w:r>
        <w:rPr>
          <w:rFonts w:ascii="黑体" w:hAnsi="黑体" w:eastAsia="黑体"/>
          <w:sz w:val="32"/>
          <w:szCs w:val="32"/>
        </w:rPr>
        <w:t>采购项目名称：</w:t>
      </w:r>
      <w:r>
        <w:rPr>
          <w:rFonts w:hint="eastAsia" w:ascii="黑体" w:hAnsi="黑体" w:eastAsia="黑体"/>
          <w:kern w:val="0"/>
          <w:sz w:val="32"/>
          <w:szCs w:val="32"/>
        </w:rPr>
        <w:t>毛泽东思想和中国特色社会主义理论体系概论课程教学能力提升培训酒店食宿及会场</w:t>
      </w:r>
      <w:r>
        <w:rPr>
          <w:rFonts w:hint="eastAsia" w:ascii="黑体" w:hAnsi="黑体" w:eastAsia="黑体"/>
          <w:kern w:val="0"/>
          <w:sz w:val="32"/>
          <w:szCs w:val="32"/>
          <w:lang w:val="en-US" w:eastAsia="zh-CN"/>
        </w:rPr>
        <w:t>租赁</w:t>
      </w:r>
      <w:r>
        <w:rPr>
          <w:rFonts w:hint="eastAsia" w:ascii="黑体" w:hAnsi="黑体" w:eastAsia="黑体"/>
          <w:kern w:val="0"/>
          <w:sz w:val="32"/>
          <w:szCs w:val="32"/>
        </w:rPr>
        <w:t>服务项目</w:t>
      </w:r>
    </w:p>
    <w:p w14:paraId="3286CA34">
      <w:pPr>
        <w:pStyle w:val="10"/>
        <w:adjustRightInd w:val="0"/>
        <w:snapToGrid w:val="0"/>
        <w:spacing w:before="156" w:beforeLines="50" w:after="156" w:afterLines="50"/>
        <w:ind w:left="2559" w:leftChars="152" w:hanging="2240" w:hangingChars="700"/>
        <w:rPr>
          <w:rFonts w:hint="eastAsia" w:ascii="黑体" w:hAnsi="黑体" w:eastAsia="黑体"/>
          <w:sz w:val="32"/>
          <w:szCs w:val="32"/>
        </w:rPr>
      </w:pPr>
    </w:p>
    <w:p w14:paraId="5A6E2449">
      <w:pPr>
        <w:pStyle w:val="10"/>
        <w:adjustRightInd w:val="0"/>
        <w:snapToGrid w:val="0"/>
        <w:spacing w:before="156" w:beforeLines="50" w:after="156" w:afterLines="50"/>
        <w:rPr>
          <w:rFonts w:hint="eastAsia" w:ascii="黑体" w:hAnsi="黑体" w:eastAsia="黑体"/>
          <w:sz w:val="32"/>
          <w:szCs w:val="32"/>
        </w:rPr>
      </w:pPr>
    </w:p>
    <w:p w14:paraId="6B5B6E03">
      <w:pPr>
        <w:pStyle w:val="10"/>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10"/>
        <w:adjustRightInd w:val="0"/>
        <w:snapToGrid w:val="0"/>
        <w:spacing w:line="440" w:lineRule="exact"/>
        <w:jc w:val="center"/>
        <w:rPr>
          <w:rFonts w:hint="eastAsia" w:ascii="黑体" w:hAnsi="黑体" w:eastAsia="黑体"/>
          <w:b/>
          <w:sz w:val="32"/>
        </w:rPr>
      </w:pPr>
    </w:p>
    <w:p w14:paraId="12277452">
      <w:pPr>
        <w:pStyle w:val="10"/>
        <w:adjustRightInd w:val="0"/>
        <w:snapToGrid w:val="0"/>
        <w:spacing w:line="440" w:lineRule="exact"/>
        <w:jc w:val="center"/>
        <w:rPr>
          <w:rFonts w:hint="eastAsia" w:ascii="黑体" w:hAnsi="黑体" w:eastAsia="黑体"/>
          <w:b/>
          <w:sz w:val="32"/>
        </w:rPr>
      </w:pPr>
    </w:p>
    <w:p w14:paraId="263E19F8">
      <w:pPr>
        <w:pStyle w:val="10"/>
        <w:adjustRightInd w:val="0"/>
        <w:snapToGrid w:val="0"/>
        <w:spacing w:line="440" w:lineRule="exact"/>
        <w:jc w:val="center"/>
        <w:rPr>
          <w:rFonts w:hint="eastAsia" w:ascii="黑体" w:hAnsi="黑体" w:eastAsia="黑体"/>
          <w:b/>
          <w:sz w:val="32"/>
        </w:rPr>
      </w:pPr>
    </w:p>
    <w:p w14:paraId="00E611DA">
      <w:pPr>
        <w:pStyle w:val="10"/>
        <w:adjustRightInd w:val="0"/>
        <w:snapToGrid w:val="0"/>
        <w:spacing w:line="440" w:lineRule="exact"/>
        <w:jc w:val="center"/>
        <w:rPr>
          <w:rFonts w:hint="eastAsia" w:ascii="黑体" w:hAnsi="黑体" w:eastAsia="黑体"/>
          <w:b/>
          <w:sz w:val="32"/>
        </w:rPr>
      </w:pPr>
    </w:p>
    <w:p w14:paraId="5BD02E6F">
      <w:pPr>
        <w:pStyle w:val="10"/>
        <w:adjustRightInd w:val="0"/>
        <w:snapToGrid w:val="0"/>
        <w:spacing w:line="440" w:lineRule="exact"/>
        <w:jc w:val="center"/>
        <w:rPr>
          <w:rFonts w:hint="eastAsia" w:ascii="黑体" w:hAnsi="黑体" w:eastAsia="黑体"/>
          <w:b/>
          <w:sz w:val="32"/>
        </w:rPr>
      </w:pPr>
    </w:p>
    <w:p w14:paraId="51D3F09C">
      <w:pPr>
        <w:pStyle w:val="10"/>
        <w:adjustRightInd w:val="0"/>
        <w:snapToGrid w:val="0"/>
        <w:spacing w:line="440" w:lineRule="exact"/>
        <w:jc w:val="center"/>
        <w:rPr>
          <w:rFonts w:hint="eastAsia" w:ascii="黑体" w:hAnsi="黑体" w:eastAsia="黑体"/>
          <w:b/>
          <w:sz w:val="32"/>
        </w:rPr>
      </w:pPr>
    </w:p>
    <w:p w14:paraId="33437265">
      <w:pPr>
        <w:pStyle w:val="10"/>
        <w:adjustRightInd w:val="0"/>
        <w:snapToGrid w:val="0"/>
        <w:spacing w:line="440" w:lineRule="exact"/>
        <w:jc w:val="center"/>
        <w:rPr>
          <w:rFonts w:hint="eastAsia" w:ascii="黑体" w:hAnsi="黑体" w:eastAsia="黑体"/>
          <w:b/>
          <w:sz w:val="32"/>
        </w:rPr>
      </w:pPr>
    </w:p>
    <w:p w14:paraId="646F9A24">
      <w:pPr>
        <w:pStyle w:val="10"/>
        <w:adjustRightInd w:val="0"/>
        <w:snapToGrid w:val="0"/>
        <w:spacing w:line="440" w:lineRule="exact"/>
        <w:jc w:val="center"/>
        <w:rPr>
          <w:rFonts w:hint="eastAsia" w:ascii="黑体" w:hAnsi="黑体" w:eastAsia="黑体"/>
          <w:b/>
          <w:sz w:val="32"/>
        </w:rPr>
      </w:pPr>
    </w:p>
    <w:p w14:paraId="3BDBB089">
      <w:pPr>
        <w:pStyle w:val="10"/>
        <w:adjustRightInd w:val="0"/>
        <w:snapToGrid w:val="0"/>
        <w:spacing w:line="440" w:lineRule="exact"/>
        <w:jc w:val="center"/>
        <w:rPr>
          <w:rFonts w:hint="eastAsia" w:ascii="黑体" w:hAnsi="黑体" w:eastAsia="黑体"/>
          <w:b/>
          <w:sz w:val="32"/>
        </w:rPr>
      </w:pPr>
    </w:p>
    <w:p w14:paraId="287A2B02">
      <w:pPr>
        <w:spacing w:line="360" w:lineRule="auto"/>
        <w:jc w:val="center"/>
        <w:rPr>
          <w:rFonts w:hint="eastAsia" w:ascii="黑体" w:hAnsi="黑体" w:eastAsia="黑体"/>
          <w:sz w:val="32"/>
          <w:szCs w:val="32"/>
        </w:rPr>
      </w:pPr>
      <w:r>
        <w:rPr>
          <w:rFonts w:hint="eastAsia" w:ascii="黑体" w:hAnsi="黑体" w:eastAsia="黑体"/>
          <w:sz w:val="32"/>
          <w:szCs w:val="32"/>
        </w:rPr>
        <w:t>二0二</w:t>
      </w:r>
      <w:r>
        <w:rPr>
          <w:rFonts w:hint="eastAsia" w:ascii="黑体" w:hAnsi="黑体" w:eastAsia="黑体"/>
          <w:sz w:val="32"/>
          <w:szCs w:val="32"/>
          <w:lang w:val="en-US" w:eastAsia="zh-CN"/>
        </w:rPr>
        <w:t>六</w:t>
      </w:r>
      <w:r>
        <w:rPr>
          <w:rFonts w:ascii="黑体" w:hAnsi="黑体" w:eastAsia="黑体"/>
          <w:sz w:val="32"/>
          <w:szCs w:val="32"/>
        </w:rPr>
        <w:t>年</w:t>
      </w:r>
      <w:r>
        <w:rPr>
          <w:rFonts w:hint="eastAsia" w:ascii="黑体" w:hAnsi="黑体" w:eastAsia="黑体"/>
          <w:sz w:val="32"/>
          <w:szCs w:val="32"/>
          <w:lang w:val="en-US" w:eastAsia="zh-CN"/>
        </w:rPr>
        <w:t>六</w:t>
      </w:r>
      <w:r>
        <w:rPr>
          <w:rFonts w:ascii="黑体" w:hAnsi="黑体" w:eastAsia="黑体"/>
          <w:sz w:val="32"/>
          <w:szCs w:val="32"/>
        </w:rPr>
        <w:t>月</w:t>
      </w:r>
    </w:p>
    <w:p w14:paraId="3FD890A2">
      <w:pPr>
        <w:pStyle w:val="16"/>
      </w:pPr>
    </w:p>
    <w:p w14:paraId="40E4DFFA">
      <w:pPr>
        <w:pStyle w:val="16"/>
        <w:rPr>
          <w:szCs w:val="22"/>
        </w:rPr>
      </w:pPr>
    </w:p>
    <w:p w14:paraId="7B9246B4">
      <w:pPr>
        <w:jc w:val="center"/>
        <w:outlineLvl w:val="0"/>
        <w:rPr>
          <w:rFonts w:hint="eastAsia" w:ascii="黑体" w:hAnsi="黑体" w:eastAsia="黑体" w:cs="Times New Roman"/>
          <w:b/>
          <w:sz w:val="36"/>
          <w:szCs w:val="36"/>
        </w:rPr>
      </w:pPr>
      <w:r>
        <w:rPr>
          <w:rFonts w:hint="eastAsia" w:ascii="黑体" w:hAnsi="黑体" w:eastAsia="黑体" w:cs="Times New Roman"/>
          <w:b/>
          <w:sz w:val="36"/>
          <w:szCs w:val="36"/>
        </w:rPr>
        <w:t>湖南铁道职业技术学院</w:t>
      </w:r>
    </w:p>
    <w:p w14:paraId="1268CB5B">
      <w:pPr>
        <w:jc w:val="center"/>
        <w:outlineLvl w:val="0"/>
        <w:rPr>
          <w:rFonts w:hint="eastAsia" w:ascii="黑体" w:hAnsi="黑体" w:eastAsia="黑体" w:cs="Times New Roman"/>
          <w:b/>
          <w:sz w:val="36"/>
          <w:szCs w:val="36"/>
        </w:rPr>
      </w:pPr>
      <w:r>
        <w:rPr>
          <w:rFonts w:hint="eastAsia" w:ascii="黑体" w:hAnsi="黑体" w:eastAsia="黑体" w:cs="Times New Roman"/>
          <w:b/>
          <w:sz w:val="36"/>
          <w:szCs w:val="36"/>
        </w:rPr>
        <w:t>毛泽东思想和中国特色社会主义理论体系概论课程教学能力提升培训酒店食宿及会场</w:t>
      </w:r>
      <w:r>
        <w:rPr>
          <w:rFonts w:hint="eastAsia" w:ascii="黑体" w:hAnsi="黑体" w:eastAsia="黑体" w:cs="Times New Roman"/>
          <w:b/>
          <w:sz w:val="36"/>
          <w:szCs w:val="36"/>
          <w:lang w:val="en-US" w:eastAsia="zh-CN"/>
        </w:rPr>
        <w:t>租赁</w:t>
      </w:r>
      <w:r>
        <w:rPr>
          <w:rFonts w:hint="eastAsia" w:ascii="黑体" w:hAnsi="黑体" w:eastAsia="黑体" w:cs="Times New Roman"/>
          <w:b/>
          <w:sz w:val="36"/>
          <w:szCs w:val="36"/>
        </w:rPr>
        <w:t>服务项目</w:t>
      </w:r>
    </w:p>
    <w:p w14:paraId="6EAB8857">
      <w:pPr>
        <w:jc w:val="center"/>
        <w:outlineLvl w:val="0"/>
        <w:rPr>
          <w:rFonts w:hint="eastAsia" w:ascii="黑体" w:hAnsi="黑体" w:eastAsia="黑体" w:cs="Times New Roman"/>
          <w:b/>
          <w:sz w:val="36"/>
          <w:szCs w:val="36"/>
        </w:rPr>
      </w:pPr>
      <w:r>
        <w:rPr>
          <w:rFonts w:hint="eastAsia" w:ascii="黑体" w:hAnsi="黑体" w:eastAsia="黑体" w:cs="Times New Roman"/>
          <w:b/>
          <w:sz w:val="36"/>
          <w:szCs w:val="36"/>
        </w:rPr>
        <w:t>询比采购公告</w:t>
      </w:r>
    </w:p>
    <w:p w14:paraId="7CF0BBEE">
      <w:pPr>
        <w:pStyle w:val="16"/>
        <w:snapToGrid w:val="0"/>
        <w:spacing w:before="0" w:beforeAutospacing="0" w:after="0" w:line="360" w:lineRule="auto"/>
        <w:ind w:left="0" w:leftChars="0" w:firstLine="480" w:firstLineChars="200"/>
        <w:jc w:val="left"/>
        <w:rPr>
          <w:rFonts w:ascii="仿宋" w:hAnsi="仿宋" w:eastAsia="仿宋"/>
          <w:sz w:val="24"/>
          <w:szCs w:val="24"/>
        </w:rPr>
      </w:pPr>
    </w:p>
    <w:p w14:paraId="0FA957A0">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湖南铁道职业技术学院</w:t>
      </w:r>
      <w:r>
        <w:rPr>
          <w:rFonts w:hint="eastAsia" w:ascii="仿宋" w:hAnsi="仿宋" w:eastAsia="仿宋"/>
          <w:sz w:val="24"/>
          <w:szCs w:val="24"/>
          <w:u w:val="none"/>
        </w:rPr>
        <w:t>毛泽东思想和中国特色社会主义理论体系概论课程教学能力提升培训项目酒店食宿及会场</w:t>
      </w:r>
      <w:r>
        <w:rPr>
          <w:rFonts w:hint="eastAsia" w:ascii="仿宋" w:hAnsi="仿宋" w:eastAsia="仿宋"/>
          <w:sz w:val="24"/>
          <w:szCs w:val="24"/>
          <w:u w:val="none"/>
          <w:lang w:val="en-US" w:eastAsia="zh-CN"/>
        </w:rPr>
        <w:t>租赁</w:t>
      </w:r>
      <w:r>
        <w:rPr>
          <w:rFonts w:hint="eastAsia" w:ascii="仿宋" w:hAnsi="仿宋" w:eastAsia="仿宋"/>
          <w:sz w:val="24"/>
          <w:szCs w:val="24"/>
          <w:u w:val="none"/>
        </w:rPr>
        <w:t>服务项目</w:t>
      </w:r>
      <w:r>
        <w:rPr>
          <w:rFonts w:hint="eastAsia" w:ascii="仿宋" w:hAnsi="仿宋" w:eastAsia="仿宋"/>
          <w:sz w:val="24"/>
          <w:szCs w:val="24"/>
        </w:rPr>
        <w:t>需进行采购，现采用发布公告方式，邀请符合资格条件的供应商参与采购活动。</w:t>
      </w:r>
    </w:p>
    <w:p w14:paraId="474761BB">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31662_WPSOffice_Level2"/>
      <w:bookmarkStart w:id="1" w:name="_Toc4659"/>
      <w:bookmarkStart w:id="2" w:name="_Toc3564"/>
      <w:bookmarkStart w:id="3" w:name="_Toc26475"/>
      <w:bookmarkStart w:id="4" w:name="_Toc17794_WPSOffice_Level2"/>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4EF1E5F4">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1.项目名称</w:t>
      </w:r>
      <w:r>
        <w:rPr>
          <w:rFonts w:hint="eastAsia" w:ascii="仿宋" w:hAnsi="仿宋" w:eastAsia="仿宋"/>
          <w:sz w:val="24"/>
          <w:szCs w:val="24"/>
          <w:lang w:val="en-US" w:eastAsia="zh-CN"/>
        </w:rPr>
        <w:t>:</w:t>
      </w:r>
      <w:r>
        <w:rPr>
          <w:rFonts w:hint="eastAsia" w:ascii="仿宋" w:hAnsi="仿宋" w:eastAsia="仿宋"/>
          <w:sz w:val="24"/>
          <w:szCs w:val="24"/>
          <w:u w:val="none"/>
        </w:rPr>
        <w:t>毛泽东思想和中国特色社会主义理论体系概论课程教学能力提升培训项目酒店食宿及会场</w:t>
      </w:r>
      <w:r>
        <w:rPr>
          <w:rFonts w:hint="eastAsia" w:ascii="仿宋" w:hAnsi="仿宋" w:eastAsia="仿宋"/>
          <w:sz w:val="24"/>
          <w:szCs w:val="24"/>
          <w:u w:val="none"/>
          <w:lang w:val="en-US" w:eastAsia="zh-CN"/>
        </w:rPr>
        <w:t>租赁</w:t>
      </w:r>
      <w:r>
        <w:rPr>
          <w:rFonts w:hint="eastAsia" w:ascii="仿宋" w:hAnsi="仿宋" w:eastAsia="仿宋"/>
          <w:sz w:val="24"/>
          <w:szCs w:val="24"/>
          <w:u w:val="none"/>
        </w:rPr>
        <w:t>服务</w:t>
      </w:r>
      <w:r>
        <w:rPr>
          <w:rFonts w:hint="eastAsia" w:ascii="仿宋" w:hAnsi="仿宋" w:eastAsia="仿宋"/>
          <w:sz w:val="24"/>
          <w:szCs w:val="24"/>
        </w:rPr>
        <w:t>项目</w:t>
      </w:r>
    </w:p>
    <w:p w14:paraId="44784280">
      <w:pPr>
        <w:widowControl/>
        <w:spacing w:line="360" w:lineRule="auto"/>
        <w:ind w:firstLine="480" w:firstLineChars="200"/>
        <w:jc w:val="left"/>
        <w:rPr>
          <w:rFonts w:hint="eastAsia" w:ascii="仿宋" w:hAnsi="仿宋" w:eastAsia="仿宋"/>
          <w:sz w:val="24"/>
          <w:szCs w:val="24"/>
        </w:rPr>
      </w:pPr>
      <w:r>
        <w:rPr>
          <w:rFonts w:hint="eastAsia" w:ascii="仿宋" w:hAnsi="仿宋" w:eastAsia="仿宋"/>
          <w:sz w:val="24"/>
          <w:szCs w:val="24"/>
        </w:rPr>
        <w:t>2.项目概况:</w:t>
      </w:r>
      <w:r>
        <w:rPr>
          <w:rFonts w:hint="eastAsia" w:ascii="仿宋" w:hAnsi="仿宋" w:eastAsia="仿宋" w:cs="Times New Roman"/>
          <w:kern w:val="2"/>
          <w:sz w:val="24"/>
          <w:szCs w:val="24"/>
          <w:u w:val="none"/>
          <w:lang w:val="en-US" w:eastAsia="zh-CN" w:bidi="ar-SA"/>
        </w:rPr>
        <w:t>本项目为2026年国家级培训项目毛泽东思想和中国特色社会主义理论体系概论课程教学能力提升培训,培训对象为高职院校毛泽东思想和中国特色社会主义理论体系概论课教师,培训实施采用理论+实践的培训方式,培训围绕高职《毛泽东思想和中国特色社会主义理论体系概论》教学核心，设置课程体系构建与课堂教学设计打磨、优质课示范观摩与现场教学指导、教研课题研究、教学育人成果挖掘、红色基地实践研修学习等模块。</w:t>
      </w:r>
    </w:p>
    <w:p w14:paraId="5BF0E805">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3.服务内容：</w:t>
      </w:r>
      <w:r>
        <w:rPr>
          <w:rFonts w:hint="eastAsia" w:ascii="仿宋" w:hAnsi="仿宋" w:eastAsia="仿宋" w:cs="Times New Roman"/>
          <w:kern w:val="2"/>
          <w:sz w:val="24"/>
          <w:szCs w:val="24"/>
          <w:u w:val="none"/>
          <w:lang w:val="en-US" w:eastAsia="zh-CN" w:bidi="ar-SA"/>
        </w:rPr>
        <w:t>为培训学员及工作人员在培训期间提供客房住宿服务、餐饮及培训会场等服务（约50名培训学员、培训时长10天），</w:t>
      </w:r>
      <w:r>
        <w:rPr>
          <w:rFonts w:hint="eastAsia" w:ascii="仿宋" w:hAnsi="仿宋" w:eastAsia="仿宋"/>
          <w:sz w:val="24"/>
          <w:szCs w:val="24"/>
        </w:rPr>
        <w:t>具体内容详见采购文件（见附件）。</w:t>
      </w:r>
    </w:p>
    <w:p w14:paraId="71947C1A">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4</w:t>
      </w:r>
      <w:r>
        <w:rPr>
          <w:rFonts w:hint="eastAsia" w:ascii="仿宋" w:hAnsi="仿宋" w:eastAsia="仿宋"/>
          <w:sz w:val="24"/>
          <w:szCs w:val="24"/>
        </w:rPr>
        <w:t>.采购预算：</w:t>
      </w:r>
      <w:r>
        <w:rPr>
          <w:rFonts w:hint="eastAsia" w:ascii="仿宋" w:hAnsi="仿宋" w:eastAsia="仿宋"/>
          <w:sz w:val="24"/>
          <w:szCs w:val="24"/>
          <w:u w:val="none"/>
          <w:lang w:val="en-US" w:eastAsia="zh-CN"/>
        </w:rPr>
        <w:t>11.338</w:t>
      </w:r>
      <w:r>
        <w:rPr>
          <w:rFonts w:ascii="仿宋" w:hAnsi="仿宋" w:eastAsia="仿宋"/>
          <w:sz w:val="24"/>
          <w:szCs w:val="24"/>
          <w:u w:val="none"/>
        </w:rPr>
        <w:t>万元</w:t>
      </w:r>
    </w:p>
    <w:p w14:paraId="453272DD">
      <w:pPr>
        <w:pStyle w:val="16"/>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62ECA4F5">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14:paraId="24CC3B8F">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（1）具有独立承担民事责任的能力；</w:t>
      </w:r>
    </w:p>
    <w:p w14:paraId="58A3351A">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（2）具有良好的商业信誉和健全的财务会计制度；</w:t>
      </w:r>
    </w:p>
    <w:p w14:paraId="069569FD">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（3）具有履行合同所必需的设备和专业技术能力；</w:t>
      </w:r>
    </w:p>
    <w:p w14:paraId="060D3645">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（4）有依法缴纳税收的良好记录；</w:t>
      </w:r>
    </w:p>
    <w:p w14:paraId="77978083">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（5）参加采购活动前三年内，在经营活动中没有重大违法记录；</w:t>
      </w:r>
    </w:p>
    <w:p w14:paraId="3AB4EB51">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（6）法律、行政法规规定的其他条件。</w:t>
      </w:r>
    </w:p>
    <w:p w14:paraId="2089C5EC">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bookmarkStart w:id="5" w:name="_Toc58335831"/>
      <w:r>
        <w:rPr>
          <w:rFonts w:hint="eastAsia" w:ascii="仿宋" w:hAnsi="仿宋" w:eastAsia="仿宋"/>
          <w:sz w:val="24"/>
          <w:szCs w:val="24"/>
        </w:rPr>
        <w:t>2、特定资格条件</w:t>
      </w:r>
    </w:p>
    <w:p w14:paraId="5D952BB8">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投标人须自有经营场所用于本项目接待，提供有效期内：①旅馆业特种行业许可证；②食品经营许可证；③公共场所卫生许可证；④公众聚集场所投入使用、营业前消防安全检查合格意见书，确保经营场所符合国家住宿、餐饮经营卫生、消防规范标准。</w:t>
      </w:r>
    </w:p>
    <w:p w14:paraId="4B673CBE">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3、不接受联合体投标</w:t>
      </w:r>
    </w:p>
    <w:p w14:paraId="773A98C1">
      <w:pPr>
        <w:pStyle w:val="16"/>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三、响应文件提交的截止时间、开启时间及地点</w:t>
      </w:r>
      <w:bookmarkEnd w:id="5"/>
    </w:p>
    <w:p w14:paraId="054E6273">
      <w:pPr>
        <w:pStyle w:val="16"/>
        <w:snapToGrid w:val="0"/>
        <w:spacing w:before="0" w:beforeAutospacing="0" w:after="0" w:line="360" w:lineRule="auto"/>
        <w:ind w:left="0" w:leftChars="0" w:firstLine="480" w:firstLineChars="200"/>
        <w:jc w:val="left"/>
        <w:rPr>
          <w:rFonts w:hint="eastAsia" w:ascii="仿宋" w:hAnsi="仿宋" w:eastAsia="仿宋"/>
          <w:sz w:val="24"/>
          <w:szCs w:val="24"/>
          <w:highlight w:val="none"/>
          <w:u w:val="none"/>
        </w:rPr>
      </w:pPr>
      <w:r>
        <w:rPr>
          <w:rFonts w:hint="eastAsia" w:ascii="仿宋" w:hAnsi="仿宋" w:eastAsia="仿宋"/>
          <w:sz w:val="24"/>
          <w:szCs w:val="24"/>
          <w:highlight w:val="none"/>
          <w:u w:val="none"/>
        </w:rPr>
        <w:t>1．首次响应文件的提交截止时间：202</w:t>
      </w:r>
      <w:r>
        <w:rPr>
          <w:rFonts w:hint="eastAsia" w:ascii="仿宋" w:hAnsi="仿宋" w:eastAsia="仿宋"/>
          <w:sz w:val="24"/>
          <w:szCs w:val="24"/>
          <w:highlight w:val="none"/>
          <w:u w:val="none"/>
          <w:lang w:val="en-US" w:eastAsia="zh-CN"/>
        </w:rPr>
        <w:t>6</w:t>
      </w:r>
      <w:r>
        <w:rPr>
          <w:rFonts w:hint="eastAsia" w:ascii="仿宋" w:hAnsi="仿宋" w:eastAsia="仿宋"/>
          <w:sz w:val="24"/>
          <w:szCs w:val="24"/>
          <w:highlight w:val="none"/>
          <w:u w:val="none"/>
        </w:rPr>
        <w:t>年</w:t>
      </w:r>
      <w:r>
        <w:rPr>
          <w:rFonts w:hint="eastAsia" w:ascii="仿宋" w:hAnsi="仿宋" w:eastAsia="仿宋"/>
          <w:sz w:val="24"/>
          <w:szCs w:val="24"/>
          <w:highlight w:val="none"/>
          <w:u w:val="none"/>
          <w:lang w:val="en-US" w:eastAsia="zh-CN"/>
        </w:rPr>
        <w:t>6</w:t>
      </w:r>
      <w:r>
        <w:rPr>
          <w:rFonts w:hint="eastAsia" w:ascii="仿宋" w:hAnsi="仿宋" w:eastAsia="仿宋"/>
          <w:sz w:val="24"/>
          <w:szCs w:val="24"/>
          <w:highlight w:val="none"/>
          <w:u w:val="none"/>
        </w:rPr>
        <w:t>月</w:t>
      </w:r>
      <w:r>
        <w:rPr>
          <w:rFonts w:hint="eastAsia" w:ascii="仿宋" w:hAnsi="仿宋" w:eastAsia="仿宋"/>
          <w:sz w:val="24"/>
          <w:szCs w:val="24"/>
          <w:highlight w:val="none"/>
          <w:u w:val="none"/>
          <w:lang w:val="en-US" w:eastAsia="zh-CN"/>
        </w:rPr>
        <w:t>26</w:t>
      </w:r>
      <w:r>
        <w:rPr>
          <w:rFonts w:hint="eastAsia" w:ascii="仿宋" w:hAnsi="仿宋" w:eastAsia="仿宋"/>
          <w:sz w:val="24"/>
          <w:szCs w:val="24"/>
          <w:highlight w:val="none"/>
          <w:u w:val="none"/>
        </w:rPr>
        <w:t>日</w:t>
      </w:r>
      <w:r>
        <w:rPr>
          <w:rFonts w:hint="eastAsia" w:ascii="仿宋" w:hAnsi="仿宋" w:eastAsia="仿宋"/>
          <w:sz w:val="24"/>
          <w:szCs w:val="24"/>
          <w:highlight w:val="none"/>
          <w:u w:val="none"/>
          <w:lang w:val="en-US" w:eastAsia="zh-CN"/>
        </w:rPr>
        <w:t>14</w:t>
      </w:r>
      <w:r>
        <w:rPr>
          <w:rFonts w:hint="eastAsia" w:ascii="仿宋" w:hAnsi="仿宋" w:eastAsia="仿宋"/>
          <w:sz w:val="24"/>
          <w:szCs w:val="24"/>
          <w:highlight w:val="none"/>
          <w:u w:val="none"/>
        </w:rPr>
        <w:t>时</w:t>
      </w:r>
    </w:p>
    <w:p w14:paraId="5FCFB0A5">
      <w:pPr>
        <w:pStyle w:val="16"/>
        <w:snapToGrid w:val="0"/>
        <w:spacing w:before="0" w:beforeAutospacing="0" w:after="0" w:line="360" w:lineRule="auto"/>
        <w:ind w:left="0" w:leftChars="0" w:firstLine="480" w:firstLineChars="200"/>
        <w:jc w:val="left"/>
        <w:rPr>
          <w:rFonts w:hint="eastAsia" w:ascii="仿宋" w:hAnsi="仿宋" w:eastAsia="仿宋"/>
          <w:sz w:val="24"/>
          <w:szCs w:val="24"/>
          <w:highlight w:val="none"/>
          <w:u w:val="none"/>
        </w:rPr>
      </w:pPr>
      <w:r>
        <w:rPr>
          <w:rFonts w:hint="eastAsia" w:ascii="仿宋" w:hAnsi="仿宋" w:eastAsia="仿宋"/>
          <w:sz w:val="24"/>
          <w:szCs w:val="24"/>
          <w:highlight w:val="none"/>
          <w:u w:val="none"/>
        </w:rPr>
        <w:t>2．首次响应文件的开启时间：202</w:t>
      </w:r>
      <w:r>
        <w:rPr>
          <w:rFonts w:hint="eastAsia" w:ascii="仿宋" w:hAnsi="仿宋" w:eastAsia="仿宋"/>
          <w:sz w:val="24"/>
          <w:szCs w:val="24"/>
          <w:highlight w:val="none"/>
          <w:u w:val="none"/>
          <w:lang w:val="en-US" w:eastAsia="zh-CN"/>
        </w:rPr>
        <w:t>6</w:t>
      </w:r>
      <w:r>
        <w:rPr>
          <w:rFonts w:hint="eastAsia" w:ascii="仿宋" w:hAnsi="仿宋" w:eastAsia="仿宋"/>
          <w:sz w:val="24"/>
          <w:szCs w:val="24"/>
          <w:highlight w:val="none"/>
          <w:u w:val="none"/>
        </w:rPr>
        <w:t>年</w:t>
      </w:r>
      <w:r>
        <w:rPr>
          <w:rFonts w:hint="eastAsia" w:ascii="仿宋" w:hAnsi="仿宋" w:eastAsia="仿宋"/>
          <w:sz w:val="24"/>
          <w:szCs w:val="24"/>
          <w:highlight w:val="none"/>
          <w:u w:val="none"/>
          <w:lang w:val="en-US" w:eastAsia="zh-CN"/>
        </w:rPr>
        <w:t>6</w:t>
      </w:r>
      <w:r>
        <w:rPr>
          <w:rFonts w:hint="eastAsia" w:ascii="仿宋" w:hAnsi="仿宋" w:eastAsia="仿宋"/>
          <w:sz w:val="24"/>
          <w:szCs w:val="24"/>
          <w:highlight w:val="none"/>
          <w:u w:val="none"/>
        </w:rPr>
        <w:t>月</w:t>
      </w:r>
      <w:r>
        <w:rPr>
          <w:rFonts w:hint="eastAsia" w:ascii="仿宋" w:hAnsi="仿宋" w:eastAsia="仿宋"/>
          <w:sz w:val="24"/>
          <w:szCs w:val="24"/>
          <w:highlight w:val="none"/>
          <w:u w:val="none"/>
          <w:lang w:val="en-US" w:eastAsia="zh-CN"/>
        </w:rPr>
        <w:t>26</w:t>
      </w:r>
      <w:r>
        <w:rPr>
          <w:rFonts w:hint="eastAsia" w:ascii="仿宋" w:hAnsi="仿宋" w:eastAsia="仿宋"/>
          <w:sz w:val="24"/>
          <w:szCs w:val="24"/>
          <w:highlight w:val="none"/>
          <w:u w:val="none"/>
        </w:rPr>
        <w:t>日</w:t>
      </w:r>
      <w:r>
        <w:rPr>
          <w:rFonts w:hint="eastAsia" w:ascii="仿宋" w:hAnsi="仿宋" w:eastAsia="仿宋"/>
          <w:sz w:val="24"/>
          <w:szCs w:val="24"/>
          <w:highlight w:val="none"/>
          <w:u w:val="none"/>
          <w:lang w:val="en-US" w:eastAsia="zh-CN"/>
        </w:rPr>
        <w:t>14</w:t>
      </w:r>
      <w:r>
        <w:rPr>
          <w:rFonts w:hint="eastAsia" w:ascii="仿宋" w:hAnsi="仿宋" w:eastAsia="仿宋"/>
          <w:sz w:val="24"/>
          <w:szCs w:val="24"/>
          <w:highlight w:val="none"/>
          <w:u w:val="none"/>
        </w:rPr>
        <w:t>时</w:t>
      </w:r>
    </w:p>
    <w:p w14:paraId="63DB6ACB">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3．首次响应文件的开启地点：湖南铁道职业技术学院</w:t>
      </w:r>
    </w:p>
    <w:p w14:paraId="35D4FC64">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6" w:name="_Toc58335832"/>
      <w:r>
        <w:rPr>
          <w:rFonts w:hint="eastAsia" w:ascii="仿宋" w:hAnsi="仿宋" w:eastAsia="仿宋" w:cs="宋体"/>
          <w:bCs w:val="0"/>
          <w:kern w:val="0"/>
          <w:sz w:val="24"/>
          <w:szCs w:val="24"/>
        </w:rPr>
        <w:t>四、公告期限</w:t>
      </w:r>
      <w:bookmarkEnd w:id="6"/>
    </w:p>
    <w:p w14:paraId="20F5FB5A">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14:paraId="0C946E80">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14:paraId="0487828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14:paraId="39A62B23">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1．采购项目</w:t>
      </w:r>
    </w:p>
    <w:p w14:paraId="3FA64961">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联系人姓名：</w:t>
      </w:r>
      <w:r>
        <w:rPr>
          <w:rFonts w:hint="eastAsia" w:ascii="仿宋" w:hAnsi="仿宋" w:eastAsia="仿宋" w:cstheme="minorEastAsia"/>
          <w:sz w:val="24"/>
          <w:szCs w:val="24"/>
          <w:lang w:val="en-US" w:eastAsia="zh-CN"/>
        </w:rPr>
        <w:t>张老师</w:t>
      </w:r>
    </w:p>
    <w:p w14:paraId="3B375338">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电 话：</w:t>
      </w:r>
      <w:r>
        <w:rPr>
          <w:rFonts w:hint="eastAsia" w:ascii="仿宋" w:hAnsi="仿宋" w:eastAsia="仿宋" w:cstheme="minorEastAsia"/>
          <w:sz w:val="24"/>
          <w:szCs w:val="24"/>
          <w:lang w:val="en-US" w:eastAsia="zh-CN"/>
        </w:rPr>
        <w:t>15580862204</w:t>
      </w:r>
    </w:p>
    <w:p w14:paraId="77569E67">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6AF78A14">
      <w:pPr>
        <w:ind w:firstLine="480" w:firstLineChars="200"/>
        <w:rPr>
          <w:rFonts w:ascii="仿宋" w:hAnsi="仿宋" w:eastAsia="仿宋"/>
          <w:b/>
          <w:sz w:val="36"/>
          <w:szCs w:val="36"/>
        </w:rPr>
      </w:pPr>
      <w:r>
        <w:rPr>
          <w:rFonts w:hint="eastAsia" w:ascii="仿宋" w:hAnsi="仿宋" w:eastAsia="仿宋" w:cstheme="minorEastAsia"/>
          <w:sz w:val="24"/>
          <w:szCs w:val="24"/>
        </w:rPr>
        <w:t>地 址：株洲市</w:t>
      </w:r>
      <w:r>
        <w:rPr>
          <w:rFonts w:hint="eastAsia" w:ascii="仿宋" w:hAnsi="仿宋" w:eastAsia="仿宋" w:cstheme="minorEastAsia"/>
          <w:sz w:val="24"/>
          <w:szCs w:val="24"/>
          <w:lang w:val="en-US" w:eastAsia="zh-CN"/>
        </w:rPr>
        <w:t>云龙示范区职教城大学智慧路1号</w:t>
      </w:r>
    </w:p>
    <w:p w14:paraId="611302C1">
      <w:pPr>
        <w:pStyle w:val="16"/>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38292FCB">
      <w:pPr>
        <w:adjustRightInd w:val="0"/>
        <w:snapToGrid w:val="0"/>
        <w:spacing w:line="360" w:lineRule="auto"/>
        <w:ind w:firstLine="480" w:firstLineChars="20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1．项目名称：</w:t>
      </w:r>
      <w:r>
        <w:rPr>
          <w:rFonts w:hint="eastAsia" w:ascii="仿宋" w:hAnsi="仿宋" w:eastAsia="仿宋" w:cs="仿宋"/>
          <w:color w:val="333333"/>
          <w:kern w:val="0"/>
          <w:sz w:val="24"/>
          <w:szCs w:val="24"/>
          <w:u w:val="none"/>
        </w:rPr>
        <w:t>毛泽东思想和中国特色社会主义理论体系概论课程教学能力提升培训项目酒店食宿及会场</w:t>
      </w:r>
      <w:r>
        <w:rPr>
          <w:rFonts w:hint="eastAsia" w:ascii="仿宋" w:hAnsi="仿宋" w:eastAsia="仿宋" w:cs="仿宋"/>
          <w:color w:val="333333"/>
          <w:kern w:val="0"/>
          <w:sz w:val="24"/>
          <w:szCs w:val="24"/>
          <w:u w:val="none"/>
          <w:lang w:val="en-US" w:eastAsia="zh-CN"/>
        </w:rPr>
        <w:t>租赁</w:t>
      </w:r>
      <w:r>
        <w:rPr>
          <w:rFonts w:hint="eastAsia" w:ascii="仿宋" w:hAnsi="仿宋" w:eastAsia="仿宋" w:cs="仿宋"/>
          <w:color w:val="333333"/>
          <w:kern w:val="0"/>
          <w:sz w:val="24"/>
          <w:szCs w:val="24"/>
          <w:u w:val="none"/>
        </w:rPr>
        <w:t>服务项目</w:t>
      </w:r>
    </w:p>
    <w:p w14:paraId="5A3630E4">
      <w:pPr>
        <w:pStyle w:val="41"/>
        <w:adjustRightInd w:val="0"/>
        <w:snapToGrid w:val="0"/>
        <w:spacing w:line="360" w:lineRule="auto"/>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2．服务期限：</w:t>
      </w:r>
      <w:r>
        <w:rPr>
          <w:rFonts w:hint="eastAsia" w:ascii="仿宋" w:hAnsi="仿宋" w:eastAsia="仿宋" w:cs="仿宋"/>
          <w:color w:val="333333"/>
          <w:kern w:val="0"/>
          <w:sz w:val="24"/>
          <w:szCs w:val="24"/>
          <w:u w:val="none"/>
          <w:lang w:val="en-US" w:eastAsia="zh-CN"/>
        </w:rPr>
        <w:t>10天</w:t>
      </w:r>
      <w:r>
        <w:rPr>
          <w:rFonts w:hint="eastAsia" w:ascii="仿宋" w:hAnsi="仿宋" w:eastAsia="仿宋" w:cs="仿宋"/>
          <w:color w:val="333333"/>
          <w:kern w:val="0"/>
          <w:sz w:val="24"/>
          <w:szCs w:val="24"/>
          <w:u w:val="none"/>
        </w:rPr>
        <w:t>。</w:t>
      </w:r>
    </w:p>
    <w:p w14:paraId="6EDA09F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二、服务内容及要求</w:t>
      </w:r>
    </w:p>
    <w:p w14:paraId="6D9A1C1F">
      <w:pPr>
        <w:snapToGrid w:val="0"/>
        <w:spacing w:before="156" w:beforeLines="50" w:line="360" w:lineRule="auto"/>
        <w:ind w:firstLine="482" w:firstLineChars="200"/>
        <w:jc w:val="left"/>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（一）住宿服务</w:t>
      </w:r>
    </w:p>
    <w:p w14:paraId="3D71BA04">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1.为参训人员快速办理入住、退房手续，提供24小时前台服务；</w:t>
      </w:r>
    </w:p>
    <w:p w14:paraId="4EF9EF6A">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2.每日完成客房清洁，按规定更换床上用品、一次性洗漱用品；</w:t>
      </w:r>
    </w:p>
    <w:p w14:paraId="656285AE">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3.接到客房设备故障报修后及时维修处置；</w:t>
      </w:r>
    </w:p>
    <w:p w14:paraId="0FAF4BB1">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4.提供叫醒、行李寄存等个性化服务；</w:t>
      </w:r>
    </w:p>
    <w:p w14:paraId="5E40C652">
      <w:pPr>
        <w:pStyle w:val="41"/>
        <w:spacing w:line="520" w:lineRule="exact"/>
        <w:ind w:firstLine="480"/>
        <w:rPr>
          <w:rFonts w:hint="eastAsia" w:eastAsia="宋体"/>
          <w:sz w:val="24"/>
          <w:lang w:val="en-US" w:eastAsia="zh-CN"/>
        </w:rPr>
      </w:pPr>
      <w:r>
        <w:rPr>
          <w:rFonts w:hint="eastAsia" w:ascii="仿宋" w:hAnsi="仿宋" w:eastAsia="仿宋" w:cs="仿宋"/>
          <w:color w:val="333333"/>
          <w:kern w:val="0"/>
          <w:sz w:val="24"/>
          <w:szCs w:val="24"/>
        </w:rPr>
        <w:t>5.住宿区域配齐消防、监控设备，安排专人巡逻值守，保障住宿安全。</w:t>
      </w:r>
    </w:p>
    <w:p w14:paraId="2CF6B5A7">
      <w:pPr>
        <w:keepNext w:val="0"/>
        <w:keepLines w:val="0"/>
        <w:pageBreakBefore w:val="0"/>
        <w:widowControl w:val="0"/>
        <w:numPr>
          <w:ilvl w:val="0"/>
          <w:numId w:val="0"/>
        </w:numPr>
        <w:tabs>
          <w:tab w:val="left" w:pos="-200"/>
        </w:tabs>
        <w:kinsoku/>
        <w:wordWrap/>
        <w:overflowPunct/>
        <w:topLinePunct w:val="0"/>
        <w:autoSpaceDE/>
        <w:autoSpaceDN/>
        <w:bidi w:val="0"/>
        <w:adjustRightInd/>
        <w:snapToGrid/>
        <w:spacing w:before="156" w:beforeLines="50" w:line="360" w:lineRule="auto"/>
        <w:ind w:firstLine="482" w:firstLineChars="200"/>
        <w:textAlignment w:val="auto"/>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（二）餐饮服务</w:t>
      </w:r>
    </w:p>
    <w:p w14:paraId="260B9EC2">
      <w:pPr>
        <w:keepNext w:val="0"/>
        <w:keepLines w:val="0"/>
        <w:pageBreakBefore w:val="0"/>
        <w:widowControl w:val="0"/>
        <w:numPr>
          <w:ilvl w:val="0"/>
          <w:numId w:val="0"/>
        </w:numPr>
        <w:tabs>
          <w:tab w:val="left" w:pos="-200"/>
        </w:tabs>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1.根据学校培训日程制定供餐计划，按时提供早、中、晚餐；</w:t>
      </w:r>
    </w:p>
    <w:p w14:paraId="26D64F9F">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2.严格把控食材品质，保证食材新鲜、卫生、安全；</w:t>
      </w:r>
    </w:p>
    <w:p w14:paraId="06B943C2">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3.主动收集学员用餐反馈，及时优化菜品口味与品类，兼顾特殊饮食需求；</w:t>
      </w:r>
    </w:p>
    <w:p w14:paraId="0C691769">
      <w:pPr>
        <w:pStyle w:val="41"/>
        <w:spacing w:line="520" w:lineRule="exact"/>
        <w:ind w:firstLine="480"/>
        <w:rPr>
          <w:rFonts w:hint="eastAsia" w:ascii="仿宋" w:hAnsi="仿宋" w:eastAsia="仿宋" w:cs="仿宋"/>
          <w:b/>
          <w:bCs/>
          <w:color w:val="333333"/>
          <w:kern w:val="0"/>
          <w:sz w:val="24"/>
          <w:szCs w:val="24"/>
          <w:lang w:val="en-US" w:eastAsia="zh-CN" w:bidi="ar-SA"/>
        </w:rPr>
      </w:pPr>
      <w:r>
        <w:rPr>
          <w:rFonts w:hint="eastAsia" w:ascii="仿宋" w:hAnsi="仿宋" w:eastAsia="仿宋" w:cs="仿宋"/>
          <w:color w:val="333333"/>
          <w:kern w:val="0"/>
          <w:sz w:val="24"/>
          <w:szCs w:val="24"/>
        </w:rPr>
        <w:t>4.严格落实食品留样、卫生消杀制度，规范厨房及餐厅操作流程，留存完整记录。</w:t>
      </w:r>
    </w:p>
    <w:p w14:paraId="36B3D7E2">
      <w:pPr>
        <w:keepNext w:val="0"/>
        <w:keepLines w:val="0"/>
        <w:pageBreakBefore w:val="0"/>
        <w:widowControl w:val="0"/>
        <w:numPr>
          <w:ilvl w:val="0"/>
          <w:numId w:val="0"/>
        </w:numPr>
        <w:tabs>
          <w:tab w:val="left" w:pos="-200"/>
        </w:tabs>
        <w:kinsoku/>
        <w:wordWrap/>
        <w:overflowPunct/>
        <w:topLinePunct w:val="0"/>
        <w:autoSpaceDE/>
        <w:autoSpaceDN/>
        <w:bidi w:val="0"/>
        <w:adjustRightInd/>
        <w:snapToGrid/>
        <w:spacing w:before="156" w:beforeLines="50" w:line="360" w:lineRule="auto"/>
        <w:ind w:firstLine="482" w:firstLineChars="200"/>
        <w:textAlignment w:val="auto"/>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（三）会场服务</w:t>
      </w:r>
    </w:p>
    <w:p w14:paraId="2C6DD08B">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1.根据培训需求完成会场布置、桌椅摆放、设备调试工作；</w:t>
      </w:r>
    </w:p>
    <w:p w14:paraId="0BE63D5D">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2.培训期间安排专人负责设备操作、现场秩序维护，提供茶水、茶歇等配套服务；</w:t>
      </w:r>
    </w:p>
    <w:p w14:paraId="1ACCDC99">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3.第一时间处置设备故障及各类突发情况；</w:t>
      </w:r>
    </w:p>
    <w:p w14:paraId="03577C77">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4.培训结束后及时完成会场清理、设备回收、场地消杀工作。</w:t>
      </w:r>
    </w:p>
    <w:p w14:paraId="14CAD9F5">
      <w:pPr>
        <w:pStyle w:val="41"/>
        <w:spacing w:line="520" w:lineRule="exact"/>
        <w:ind w:left="0" w:leftChars="0" w:firstLine="482" w:firstLineChars="200"/>
        <w:rPr>
          <w:rFonts w:hint="eastAsia" w:ascii="仿宋" w:hAnsi="仿宋" w:eastAsia="仿宋" w:cs="仿宋"/>
          <w:b/>
          <w:bCs/>
          <w:color w:val="auto"/>
          <w:kern w:val="0"/>
          <w:sz w:val="24"/>
          <w:szCs w:val="24"/>
          <w:lang w:val="en-US" w:eastAsia="zh-CN"/>
        </w:rPr>
      </w:pPr>
      <w:r>
        <w:rPr>
          <w:rFonts w:hint="eastAsia" w:ascii="仿宋" w:hAnsi="仿宋" w:eastAsia="仿宋" w:cs="仿宋"/>
          <w:b/>
          <w:bCs/>
          <w:color w:val="auto"/>
          <w:kern w:val="0"/>
          <w:sz w:val="24"/>
          <w:szCs w:val="24"/>
          <w:lang w:eastAsia="zh-CN"/>
        </w:rPr>
        <w:t>（</w:t>
      </w:r>
      <w:r>
        <w:rPr>
          <w:rFonts w:hint="eastAsia" w:ascii="仿宋" w:hAnsi="仿宋" w:eastAsia="仿宋" w:cs="仿宋"/>
          <w:b/>
          <w:bCs/>
          <w:color w:val="auto"/>
          <w:kern w:val="0"/>
          <w:sz w:val="24"/>
          <w:szCs w:val="24"/>
          <w:lang w:val="en-US" w:eastAsia="zh-CN"/>
        </w:rPr>
        <w:t>四</w:t>
      </w:r>
      <w:r>
        <w:rPr>
          <w:rFonts w:hint="eastAsia" w:ascii="仿宋" w:hAnsi="仿宋" w:eastAsia="仿宋" w:cs="仿宋"/>
          <w:b/>
          <w:bCs/>
          <w:color w:val="auto"/>
          <w:kern w:val="0"/>
          <w:sz w:val="24"/>
          <w:szCs w:val="24"/>
          <w:lang w:eastAsia="zh-CN"/>
        </w:rPr>
        <w:t>）</w:t>
      </w:r>
      <w:r>
        <w:rPr>
          <w:rFonts w:hint="eastAsia" w:ascii="仿宋" w:hAnsi="仿宋" w:eastAsia="仿宋" w:cs="仿宋"/>
          <w:b/>
          <w:bCs/>
          <w:color w:val="auto"/>
          <w:kern w:val="0"/>
          <w:sz w:val="24"/>
          <w:szCs w:val="24"/>
          <w:lang w:val="en-US" w:eastAsia="zh-CN"/>
        </w:rPr>
        <w:t>位置要求</w:t>
      </w:r>
    </w:p>
    <w:p w14:paraId="3AE885D6">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auto"/>
          <w:kern w:val="0"/>
          <w:sz w:val="24"/>
          <w:szCs w:val="24"/>
          <w:lang w:val="en-US" w:eastAsia="zh-CN"/>
        </w:rPr>
        <w:t>为方便开展本校培训服务、对接教师和学员，本项目服务和实施场地须位于株洲市主城区（包括天元区、芦淞区、荷塘区、石峰区、云龙区），投标人中标后提供的酒店经营场所须坐落于上述区域内，并满足采购人日常培训通勤、集中管理需求，若中标人提供的酒店不在上述区域，采购人有权取消中标资格，不予签订合同。</w:t>
      </w:r>
    </w:p>
    <w:p w14:paraId="130BDE4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三、服务质量要求：</w:t>
      </w:r>
    </w:p>
    <w:p w14:paraId="7D1957CA">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（一）硬件要求</w:t>
      </w:r>
    </w:p>
    <w:p w14:paraId="5049DE09">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1.住宿条件</w:t>
      </w:r>
    </w:p>
    <w:p w14:paraId="3CD7F0A3">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标准双人间数量不少于50间，单间客房建筑面积不低于20平方米；客房内配齐空调、液晶电视、无线网络、独立卫浴等设施，所有设备完好、正常使用。</w:t>
      </w:r>
    </w:p>
    <w:p w14:paraId="4337703C">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2.餐饮条件</w:t>
      </w:r>
    </w:p>
    <w:p w14:paraId="40D99187">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拥有可同时容</w:t>
      </w:r>
      <w:r>
        <w:rPr>
          <w:rFonts w:hint="eastAsia" w:ascii="仿宋" w:hAnsi="仿宋" w:eastAsia="仿宋" w:cs="仿宋"/>
          <w:kern w:val="0"/>
          <w:sz w:val="24"/>
          <w:szCs w:val="24"/>
        </w:rPr>
        <w:t>纳120人及以上就餐的专用餐厅，厨房设备齐全、布局规范；食材采购渠道正规、可溯源；可提供早、中、晚三餐，每餐菜品（含主食、副食、汤品）至少10-12种，菜品搭</w:t>
      </w:r>
      <w:r>
        <w:rPr>
          <w:rFonts w:hint="eastAsia" w:ascii="仿宋" w:hAnsi="仿宋" w:eastAsia="仿宋" w:cs="仿宋"/>
          <w:color w:val="333333"/>
          <w:kern w:val="0"/>
          <w:sz w:val="24"/>
          <w:szCs w:val="24"/>
        </w:rPr>
        <w:t>配营养均衡、品类丰富。</w:t>
      </w:r>
    </w:p>
    <w:p w14:paraId="75B0B8D0">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3.会场条件</w:t>
      </w:r>
    </w:p>
    <w:p w14:paraId="0B122B4B">
      <w:pPr>
        <w:pStyle w:val="41"/>
        <w:spacing w:line="520" w:lineRule="exact"/>
        <w:ind w:firstLine="480"/>
        <w:rPr>
          <w:rFonts w:hint="eastAsia" w:ascii="仿宋" w:hAnsi="仿宋" w:eastAsia="仿宋" w:cs="仿宋"/>
          <w:color w:val="000000" w:themeColor="text1"/>
          <w:kern w:val="0"/>
          <w:sz w:val="24"/>
          <w:szCs w:val="24"/>
          <w:lang w:val="en-US" w:eastAsia="zh-CN"/>
          <w14:textFill>
            <w14:solidFill>
              <w14:schemeClr w14:val="tx1"/>
            </w14:solidFill>
          </w14:textFill>
        </w:rPr>
      </w:pPr>
      <w:r>
        <w:rPr>
          <w:rFonts w:hint="eastAsia" w:ascii="宋体" w:hAnsi="宋体" w:eastAsia="宋体" w:cs="宋体"/>
          <w:b/>
          <w:bCs/>
          <w:color w:val="000000" w:themeColor="text1"/>
          <w:spacing w:val="6"/>
          <w:kern w:val="0"/>
          <w:sz w:val="21"/>
          <w:szCs w:val="21"/>
          <w:lang w:val="en-US"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（1）</w:t>
      </w:r>
      <w:r>
        <w:rPr>
          <w:rFonts w:hint="eastAsia" w:ascii="仿宋" w:hAnsi="仿宋" w:eastAsia="仿宋" w:cs="仿宋"/>
          <w:b w:val="0"/>
          <w:bCs w:val="0"/>
          <w:color w:val="000000" w:themeColor="text1"/>
          <w:kern w:val="0"/>
          <w:sz w:val="24"/>
          <w:szCs w:val="24"/>
          <w:lang w:val="en-US" w:eastAsia="zh-CN"/>
          <w14:textFill>
            <w14:solidFill>
              <w14:schemeClr w14:val="tx1"/>
            </w14:solidFill>
          </w14:textFill>
        </w:rPr>
        <w:t>须</w:t>
      </w:r>
      <w:r>
        <w:rPr>
          <w:rFonts w:hint="eastAsia" w:ascii="仿宋" w:hAnsi="仿宋" w:eastAsia="仿宋" w:cs="仿宋"/>
          <w:b w:val="0"/>
          <w:bCs w:val="0"/>
          <w:color w:val="000000" w:themeColor="text1"/>
          <w:kern w:val="0"/>
          <w:sz w:val="24"/>
          <w:szCs w:val="24"/>
          <w14:textFill>
            <w14:solidFill>
              <w14:schemeClr w14:val="tx1"/>
            </w14:solidFill>
          </w14:textFill>
        </w:rPr>
        <w:t>配备3处面积大于60㎡、可容纳60人以上的小型培训会场。</w:t>
      </w:r>
    </w:p>
    <w:p w14:paraId="59E7B447">
      <w:pPr>
        <w:pStyle w:val="41"/>
        <w:spacing w:line="520" w:lineRule="exact"/>
        <w:ind w:firstLine="480"/>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（2）需</w:t>
      </w:r>
      <w:r>
        <w:rPr>
          <w:rFonts w:hint="eastAsia" w:ascii="仿宋" w:hAnsi="仿宋" w:eastAsia="仿宋" w:cs="仿宋"/>
          <w:color w:val="auto"/>
          <w:kern w:val="0"/>
          <w:sz w:val="24"/>
          <w:szCs w:val="24"/>
        </w:rPr>
        <w:t>配备1处面积大于1</w:t>
      </w:r>
      <w:r>
        <w:rPr>
          <w:rFonts w:hint="eastAsia" w:ascii="仿宋" w:hAnsi="仿宋" w:eastAsia="仿宋" w:cs="仿宋"/>
          <w:color w:val="auto"/>
          <w:kern w:val="0"/>
          <w:sz w:val="24"/>
          <w:szCs w:val="24"/>
          <w:lang w:val="en-US" w:eastAsia="zh-CN"/>
        </w:rPr>
        <w:t>8</w:t>
      </w:r>
      <w:r>
        <w:rPr>
          <w:rFonts w:hint="eastAsia" w:ascii="仿宋" w:hAnsi="仿宋" w:eastAsia="仿宋" w:cs="仿宋"/>
          <w:color w:val="auto"/>
          <w:kern w:val="0"/>
          <w:sz w:val="24"/>
          <w:szCs w:val="24"/>
        </w:rPr>
        <w:t>0㎡、可容纳150人以上的</w:t>
      </w:r>
      <w:r>
        <w:rPr>
          <w:rFonts w:hint="eastAsia" w:ascii="仿宋" w:hAnsi="仿宋" w:eastAsia="仿宋" w:cs="仿宋"/>
          <w:color w:val="auto"/>
          <w:kern w:val="0"/>
          <w:sz w:val="24"/>
          <w:szCs w:val="24"/>
          <w:lang w:val="en-US" w:eastAsia="zh-CN"/>
        </w:rPr>
        <w:t>中</w:t>
      </w:r>
      <w:r>
        <w:rPr>
          <w:rFonts w:hint="eastAsia" w:ascii="仿宋" w:hAnsi="仿宋" w:eastAsia="仿宋" w:cs="仿宋"/>
          <w:color w:val="auto"/>
          <w:kern w:val="0"/>
          <w:sz w:val="24"/>
          <w:szCs w:val="24"/>
        </w:rPr>
        <w:t>型培训会场</w:t>
      </w:r>
      <w:r>
        <w:rPr>
          <w:rFonts w:hint="eastAsia" w:ascii="仿宋" w:hAnsi="仿宋" w:eastAsia="仿宋" w:cs="仿宋"/>
          <w:color w:val="auto"/>
          <w:kern w:val="0"/>
          <w:sz w:val="24"/>
          <w:szCs w:val="24"/>
          <w:lang w:eastAsia="zh-CN"/>
        </w:rPr>
        <w:t>。</w:t>
      </w:r>
    </w:p>
    <w:p w14:paraId="41CF2488">
      <w:pPr>
        <w:pStyle w:val="41"/>
        <w:spacing w:line="520" w:lineRule="exact"/>
        <w:ind w:firstLine="48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3</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所有会场配齐专业音响、LED电子屏、无线麦克风、成套桌椅等设施，可满足教学、会议、小组研讨等使用需求。</w:t>
      </w:r>
    </w:p>
    <w:p w14:paraId="35EA1E25">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（二）住宿质量要求</w:t>
      </w:r>
    </w:p>
    <w:p w14:paraId="71934595">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客房装修整洁舒适，设施定期维保；客房卫生符合国家卫生标准，无异味、污渍、蚊虫；布草及洗漱用品选用优质产品，严格执行更换清洗制度。</w:t>
      </w:r>
    </w:p>
    <w:p w14:paraId="39E164A8">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（三）餐饮质量要求</w:t>
      </w:r>
    </w:p>
    <w:p w14:paraId="16DF60DE">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所有菜品符合食品安全标准，口味适口；食材采购索证索票齐全；服务人员着装统一、服务规范热情。</w:t>
      </w:r>
    </w:p>
    <w:p w14:paraId="1293E457">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（四）会场质量要求</w:t>
      </w:r>
    </w:p>
    <w:p w14:paraId="4EABA037">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会场安静整洁、通风良好、温度适宜；音视频、显示设备运行稳定，画面、声音清晰；现场服务人员熟练操作各类设备，具备应急处置能力。</w:t>
      </w:r>
    </w:p>
    <w:p w14:paraId="292E4A2E">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（五）安全管理要求</w:t>
      </w:r>
    </w:p>
    <w:p w14:paraId="34FF4262">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建立完善安全管理制度，定期检修消防、监控等安防设备；制定突发事件应急预案并定期组织演练。</w:t>
      </w:r>
    </w:p>
    <w:p w14:paraId="236E3F0A">
      <w:pPr>
        <w:pStyle w:val="41"/>
        <w:spacing w:line="520" w:lineRule="exact"/>
        <w:ind w:firstLine="480"/>
        <w:rPr>
          <w:rFonts w:hint="default" w:ascii="仿宋" w:hAnsi="仿宋" w:eastAsia="仿宋" w:cs="仿宋"/>
          <w:color w:val="000000" w:themeColor="text1"/>
          <w:kern w:val="0"/>
          <w:sz w:val="21"/>
          <w:szCs w:val="21"/>
          <w:lang w:val="en-US" w:eastAsia="zh-CN"/>
          <w14:textFill>
            <w14:solidFill>
              <w14:schemeClr w14:val="tx1"/>
            </w14:solidFill>
          </w14:textFill>
        </w:rPr>
      </w:pPr>
      <w:r>
        <w:rPr>
          <w:rFonts w:hint="eastAsia" w:ascii="宋体" w:hAnsi="宋体" w:eastAsia="宋体" w:cs="宋体"/>
          <w:b/>
          <w:bCs/>
          <w:color w:val="000000" w:themeColor="text1"/>
          <w:spacing w:val="6"/>
          <w:kern w:val="0"/>
          <w:sz w:val="21"/>
          <w:szCs w:val="21"/>
          <w:lang w:val="en-US" w:eastAsia="zh-CN"/>
          <w14:textFill>
            <w14:solidFill>
              <w14:schemeClr w14:val="tx1"/>
            </w14:solidFill>
          </w14:textFill>
        </w:rPr>
        <w:t>说明：标注★为供应商必须完全响应的实质性需求。</w:t>
      </w:r>
    </w:p>
    <w:p w14:paraId="3C7DCFAE">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四、服务质量检查考核标准和方法：</w:t>
      </w:r>
    </w:p>
    <w:p w14:paraId="1A14DA72">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（一）评分标准</w:t>
      </w:r>
    </w:p>
    <w:p w14:paraId="2D0D0C59">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1.住宿服务</w:t>
      </w:r>
    </w:p>
    <w:p w14:paraId="689F905D">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客房设施故障未及时修复，每处扣2分；客房卫生不达标，每间次扣1分；未按规定更换客房用品，每次扣2分；未提供约定个性化服务，每次扣3分。</w:t>
      </w:r>
    </w:p>
    <w:p w14:paraId="4C723E6A">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2.餐饮服务</w:t>
      </w:r>
    </w:p>
    <w:p w14:paraId="55D1414C">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菜品出现质量问题，每例扣5分；未响应特殊饮食需求，每次扣3分；餐厅、厨房卫生不达标，每次扣2分；未按规定留样或记录不全，每次扣2分。</w:t>
      </w:r>
    </w:p>
    <w:p w14:paraId="57C2E3D0">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3.会场服务</w:t>
      </w:r>
    </w:p>
    <w:p w14:paraId="6AAA8F48">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会场设备调试不到位影响培训开展，每次扣3分；服务人员未及时处置现场问题，每次扣2分；培训结束未及时清理会场，每次扣1分。</w:t>
      </w:r>
    </w:p>
    <w:p w14:paraId="2C47AC80">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4.安全管理</w:t>
      </w:r>
    </w:p>
    <w:p w14:paraId="54B18131">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安全管理制度不健全，扣5分；安防设备故障未及时修复，每次扣3分；未制定应急预案或未组织演练，扣5分；发生安全事故，视情节扣10—20分。</w:t>
      </w:r>
    </w:p>
    <w:p w14:paraId="38B614B6">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（二）考核方式</w:t>
      </w:r>
    </w:p>
    <w:p w14:paraId="3C4550C6">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1.日常检查</w:t>
      </w:r>
    </w:p>
    <w:p w14:paraId="4A38A0C8">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采购人安排专人开展定期或不定期现场检查，并留存书面记录。</w:t>
      </w:r>
    </w:p>
    <w:p w14:paraId="797D0539">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2.学员评价</w:t>
      </w:r>
    </w:p>
    <w:p w14:paraId="4C3E637A">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每期培训结束后组织学员问卷调查，综合满意度低于80%的，每降低1个百分点扣2分。</w:t>
      </w:r>
    </w:p>
    <w:p w14:paraId="107B1E42">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3.综合考核</w:t>
      </w:r>
    </w:p>
    <w:p w14:paraId="7A64EDA2">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单期培训班结束后开展综合考评，结合日常检查与学员评价计分。年度综合考核总分低于80分，采购人有权终止合作合同；年度得分在80—90分之间，要求限期整改。</w:t>
      </w:r>
    </w:p>
    <w:p w14:paraId="07B64B92">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14:paraId="35635DC8">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本项目招标上</w:t>
      </w:r>
      <w:r>
        <w:rPr>
          <w:rFonts w:hint="eastAsia" w:ascii="仿宋" w:hAnsi="仿宋" w:eastAsia="仿宋" w:cs="仿宋"/>
          <w:color w:val="333333"/>
          <w:kern w:val="0"/>
          <w:sz w:val="24"/>
          <w:szCs w:val="24"/>
          <w:u w:val="none"/>
        </w:rPr>
        <w:t>限价为</w:t>
      </w:r>
      <w:r>
        <w:rPr>
          <w:rFonts w:hint="eastAsia" w:ascii="仿宋" w:hAnsi="仿宋" w:eastAsia="仿宋" w:cs="仿宋"/>
          <w:color w:val="333333"/>
          <w:kern w:val="0"/>
          <w:sz w:val="24"/>
          <w:szCs w:val="24"/>
          <w:u w:val="none"/>
          <w:lang w:val="en-US" w:eastAsia="zh-CN"/>
        </w:rPr>
        <w:t>11.338</w:t>
      </w:r>
      <w:r>
        <w:rPr>
          <w:rFonts w:hint="eastAsia" w:ascii="仿宋" w:hAnsi="仿宋" w:eastAsia="仿宋" w:cs="仿宋"/>
          <w:color w:val="333333"/>
          <w:kern w:val="0"/>
          <w:sz w:val="24"/>
          <w:szCs w:val="24"/>
          <w:u w:val="none"/>
        </w:rPr>
        <w:t>万</w:t>
      </w:r>
      <w:r>
        <w:rPr>
          <w:rFonts w:hint="eastAsia" w:ascii="仿宋" w:hAnsi="仿宋" w:eastAsia="仿宋" w:cs="仿宋"/>
          <w:color w:val="333333"/>
          <w:kern w:val="0"/>
          <w:sz w:val="24"/>
          <w:szCs w:val="24"/>
        </w:rPr>
        <w:t>元，报价为一次性分细项报价。</w:t>
      </w:r>
    </w:p>
    <w:p w14:paraId="51335566">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分项预算如下表所示。</w:t>
      </w:r>
    </w:p>
    <w:tbl>
      <w:tblPr>
        <w:tblStyle w:val="18"/>
        <w:tblW w:w="84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559"/>
        <w:gridCol w:w="1701"/>
        <w:gridCol w:w="851"/>
        <w:gridCol w:w="968"/>
        <w:gridCol w:w="1186"/>
        <w:gridCol w:w="1351"/>
      </w:tblGrid>
      <w:tr w14:paraId="7473A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09A689DC">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序号</w:t>
            </w:r>
          </w:p>
        </w:tc>
        <w:tc>
          <w:tcPr>
            <w:tcW w:w="1559" w:type="dxa"/>
            <w:vAlign w:val="center"/>
          </w:tcPr>
          <w:p w14:paraId="55036A8D">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名称</w:t>
            </w:r>
          </w:p>
        </w:tc>
        <w:tc>
          <w:tcPr>
            <w:tcW w:w="1701" w:type="dxa"/>
            <w:vAlign w:val="center"/>
          </w:tcPr>
          <w:p w14:paraId="6028D77D">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规格</w:t>
            </w:r>
          </w:p>
        </w:tc>
        <w:tc>
          <w:tcPr>
            <w:tcW w:w="851" w:type="dxa"/>
            <w:vAlign w:val="center"/>
          </w:tcPr>
          <w:p w14:paraId="19DFADDB">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单位</w:t>
            </w:r>
          </w:p>
        </w:tc>
        <w:tc>
          <w:tcPr>
            <w:tcW w:w="968" w:type="dxa"/>
            <w:vAlign w:val="center"/>
          </w:tcPr>
          <w:p w14:paraId="351D5D10">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数量</w:t>
            </w:r>
          </w:p>
        </w:tc>
        <w:tc>
          <w:tcPr>
            <w:tcW w:w="1186" w:type="dxa"/>
            <w:vAlign w:val="center"/>
          </w:tcPr>
          <w:p w14:paraId="4287F29F">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单价(元)</w:t>
            </w:r>
          </w:p>
        </w:tc>
        <w:tc>
          <w:tcPr>
            <w:tcW w:w="1351" w:type="dxa"/>
            <w:vAlign w:val="center"/>
          </w:tcPr>
          <w:p w14:paraId="13FDE1D6">
            <w:pPr>
              <w:keepNext w:val="0"/>
              <w:keepLines w:val="0"/>
              <w:widowControl/>
              <w:suppressLineNumbers w:val="0"/>
              <w:spacing w:before="0" w:beforeAutospacing="0" w:after="0" w:afterAutospacing="0" w:line="300" w:lineRule="exact"/>
              <w:ind w:left="0" w:leftChars="0" w:right="0" w:right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总价(元)</w:t>
            </w:r>
          </w:p>
        </w:tc>
      </w:tr>
      <w:tr w14:paraId="47C58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13C20725">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1</w:t>
            </w:r>
          </w:p>
        </w:tc>
        <w:tc>
          <w:tcPr>
            <w:tcW w:w="1559" w:type="dxa"/>
            <w:vAlign w:val="center"/>
          </w:tcPr>
          <w:p w14:paraId="1598C354">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住宿</w:t>
            </w:r>
          </w:p>
        </w:tc>
        <w:tc>
          <w:tcPr>
            <w:tcW w:w="1701" w:type="dxa"/>
            <w:vAlign w:val="center"/>
          </w:tcPr>
          <w:p w14:paraId="6CFE2F01">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标双</w:t>
            </w:r>
          </w:p>
        </w:tc>
        <w:tc>
          <w:tcPr>
            <w:tcW w:w="851" w:type="dxa"/>
            <w:vAlign w:val="center"/>
          </w:tcPr>
          <w:p w14:paraId="6E5E3358">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间</w:t>
            </w:r>
          </w:p>
        </w:tc>
        <w:tc>
          <w:tcPr>
            <w:tcW w:w="968" w:type="dxa"/>
            <w:vAlign w:val="center"/>
          </w:tcPr>
          <w:p w14:paraId="2EE4AC15">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default" w:ascii="仿宋" w:hAnsi="仿宋" w:eastAsia="仿宋" w:cs="仿宋"/>
                <w:color w:val="333333"/>
                <w:kern w:val="0"/>
                <w:szCs w:val="21"/>
                <w:lang w:val="en-US" w:eastAsia="zh-CN"/>
              </w:rPr>
            </w:pPr>
            <w:r>
              <w:rPr>
                <w:rFonts w:hint="eastAsia" w:ascii="仿宋" w:hAnsi="仿宋" w:eastAsia="仿宋" w:cs="仿宋"/>
                <w:color w:val="333333"/>
                <w:kern w:val="0"/>
                <w:sz w:val="21"/>
                <w:szCs w:val="21"/>
                <w:lang w:val="en-US" w:eastAsia="zh-CN" w:bidi="ar"/>
              </w:rPr>
              <w:t>254</w:t>
            </w:r>
          </w:p>
        </w:tc>
        <w:tc>
          <w:tcPr>
            <w:tcW w:w="1186" w:type="dxa"/>
            <w:vAlign w:val="center"/>
          </w:tcPr>
          <w:p w14:paraId="15AA77E0">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220.00</w:t>
            </w:r>
          </w:p>
        </w:tc>
        <w:tc>
          <w:tcPr>
            <w:tcW w:w="1351" w:type="dxa"/>
            <w:vAlign w:val="center"/>
          </w:tcPr>
          <w:p w14:paraId="25F80F62">
            <w:pPr>
              <w:keepNext w:val="0"/>
              <w:keepLines w:val="0"/>
              <w:widowControl/>
              <w:suppressLineNumbers w:val="0"/>
              <w:spacing w:before="0" w:beforeAutospacing="0" w:after="0" w:afterAutospacing="0" w:line="300" w:lineRule="exact"/>
              <w:ind w:left="0" w:leftChars="0" w:right="0" w:right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55880.00</w:t>
            </w:r>
          </w:p>
        </w:tc>
      </w:tr>
      <w:tr w14:paraId="50E6D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7F2B3B56">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2</w:t>
            </w:r>
          </w:p>
        </w:tc>
        <w:tc>
          <w:tcPr>
            <w:tcW w:w="1559" w:type="dxa"/>
            <w:vAlign w:val="center"/>
          </w:tcPr>
          <w:p w14:paraId="38905B36">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餐饮</w:t>
            </w:r>
          </w:p>
        </w:tc>
        <w:tc>
          <w:tcPr>
            <w:tcW w:w="1701" w:type="dxa"/>
            <w:vAlign w:val="center"/>
          </w:tcPr>
          <w:p w14:paraId="6F3FD796">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标准</w:t>
            </w:r>
          </w:p>
        </w:tc>
        <w:tc>
          <w:tcPr>
            <w:tcW w:w="851" w:type="dxa"/>
            <w:vAlign w:val="center"/>
          </w:tcPr>
          <w:p w14:paraId="7F3E8F8C">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餐</w:t>
            </w:r>
          </w:p>
        </w:tc>
        <w:tc>
          <w:tcPr>
            <w:tcW w:w="968" w:type="dxa"/>
            <w:vAlign w:val="center"/>
          </w:tcPr>
          <w:p w14:paraId="1E15EA05">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default" w:ascii="仿宋" w:hAnsi="仿宋" w:eastAsia="仿宋" w:cs="仿宋"/>
                <w:color w:val="333333"/>
                <w:kern w:val="0"/>
                <w:szCs w:val="21"/>
                <w:lang w:val="en-US" w:eastAsia="zh-CN"/>
              </w:rPr>
            </w:pPr>
            <w:r>
              <w:rPr>
                <w:rFonts w:hint="eastAsia" w:ascii="仿宋" w:hAnsi="仿宋" w:eastAsia="仿宋" w:cs="仿宋"/>
                <w:color w:val="333333"/>
                <w:kern w:val="0"/>
                <w:sz w:val="21"/>
                <w:szCs w:val="21"/>
                <w:lang w:val="en-US" w:eastAsia="zh-CN" w:bidi="ar"/>
              </w:rPr>
              <w:t>970</w:t>
            </w:r>
          </w:p>
        </w:tc>
        <w:tc>
          <w:tcPr>
            <w:tcW w:w="1186" w:type="dxa"/>
            <w:vAlign w:val="center"/>
          </w:tcPr>
          <w:p w14:paraId="49BF748B">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50.00</w:t>
            </w:r>
          </w:p>
        </w:tc>
        <w:tc>
          <w:tcPr>
            <w:tcW w:w="1351" w:type="dxa"/>
            <w:vAlign w:val="center"/>
          </w:tcPr>
          <w:p w14:paraId="4C78E979">
            <w:pPr>
              <w:keepNext w:val="0"/>
              <w:keepLines w:val="0"/>
              <w:widowControl/>
              <w:suppressLineNumbers w:val="0"/>
              <w:spacing w:before="0" w:beforeAutospacing="0" w:after="0" w:afterAutospacing="0" w:line="300" w:lineRule="exact"/>
              <w:ind w:left="0" w:leftChars="0" w:right="0" w:right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48500.00</w:t>
            </w:r>
          </w:p>
        </w:tc>
      </w:tr>
      <w:tr w14:paraId="2D222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41F4E0DB">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3</w:t>
            </w:r>
          </w:p>
        </w:tc>
        <w:tc>
          <w:tcPr>
            <w:tcW w:w="1559" w:type="dxa"/>
            <w:vAlign w:val="center"/>
          </w:tcPr>
          <w:p w14:paraId="6A62FC09">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中型教学场地</w:t>
            </w:r>
          </w:p>
        </w:tc>
        <w:tc>
          <w:tcPr>
            <w:tcW w:w="1701" w:type="dxa"/>
            <w:vAlign w:val="center"/>
          </w:tcPr>
          <w:p w14:paraId="2DBA0260">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auto"/>
                <w:kern w:val="0"/>
                <w:szCs w:val="21"/>
              </w:rPr>
            </w:pPr>
            <w:r>
              <w:rPr>
                <w:rFonts w:hint="eastAsia" w:ascii="仿宋" w:hAnsi="仿宋" w:eastAsia="仿宋" w:cs="仿宋"/>
                <w:kern w:val="0"/>
                <w:sz w:val="21"/>
                <w:szCs w:val="21"/>
                <w:lang w:val="en-US" w:eastAsia="zh-CN" w:bidi="ar"/>
              </w:rPr>
              <w:t>180平米以上</w:t>
            </w:r>
          </w:p>
        </w:tc>
        <w:tc>
          <w:tcPr>
            <w:tcW w:w="851" w:type="dxa"/>
            <w:vAlign w:val="center"/>
          </w:tcPr>
          <w:p w14:paraId="53F9EB06">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default" w:ascii="仿宋" w:hAnsi="仿宋" w:eastAsia="仿宋" w:cs="仿宋"/>
                <w:color w:val="auto"/>
                <w:kern w:val="0"/>
                <w:szCs w:val="21"/>
                <w:lang w:val="en-US" w:eastAsia="zh-CN"/>
              </w:rPr>
            </w:pPr>
            <w:r>
              <w:rPr>
                <w:rFonts w:hint="eastAsia" w:ascii="仿宋" w:hAnsi="仿宋" w:eastAsia="仿宋" w:cs="仿宋"/>
                <w:kern w:val="0"/>
                <w:sz w:val="21"/>
                <w:szCs w:val="21"/>
                <w:lang w:val="en-US" w:eastAsia="zh-CN" w:bidi="ar"/>
              </w:rPr>
              <w:t>天</w:t>
            </w:r>
          </w:p>
        </w:tc>
        <w:tc>
          <w:tcPr>
            <w:tcW w:w="968" w:type="dxa"/>
            <w:vAlign w:val="center"/>
          </w:tcPr>
          <w:p w14:paraId="35BA3054">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default" w:ascii="仿宋" w:hAnsi="仿宋" w:eastAsia="仿宋" w:cs="仿宋"/>
                <w:color w:val="333333"/>
                <w:kern w:val="0"/>
                <w:szCs w:val="21"/>
                <w:lang w:val="en-US" w:eastAsia="zh-CN"/>
              </w:rPr>
            </w:pPr>
            <w:r>
              <w:rPr>
                <w:rFonts w:hint="eastAsia" w:ascii="仿宋" w:hAnsi="仿宋" w:eastAsia="仿宋" w:cs="仿宋"/>
                <w:color w:val="333333"/>
                <w:kern w:val="0"/>
                <w:sz w:val="21"/>
                <w:szCs w:val="21"/>
                <w:lang w:val="en-US" w:eastAsia="zh-CN" w:bidi="ar"/>
              </w:rPr>
              <w:t>9</w:t>
            </w:r>
          </w:p>
        </w:tc>
        <w:tc>
          <w:tcPr>
            <w:tcW w:w="1186" w:type="dxa"/>
            <w:vAlign w:val="center"/>
          </w:tcPr>
          <w:p w14:paraId="42DCD69D">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800.00</w:t>
            </w:r>
          </w:p>
        </w:tc>
        <w:tc>
          <w:tcPr>
            <w:tcW w:w="1351" w:type="dxa"/>
            <w:vAlign w:val="center"/>
          </w:tcPr>
          <w:p w14:paraId="3E2B41F6">
            <w:pPr>
              <w:keepNext w:val="0"/>
              <w:keepLines w:val="0"/>
              <w:widowControl/>
              <w:suppressLineNumbers w:val="0"/>
              <w:spacing w:before="0" w:beforeAutospacing="0" w:after="0" w:afterAutospacing="0" w:line="300" w:lineRule="exact"/>
              <w:ind w:left="0" w:leftChars="0" w:right="0" w:right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7200.00</w:t>
            </w:r>
          </w:p>
        </w:tc>
      </w:tr>
      <w:tr w14:paraId="5C7A0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0CE3E3E3">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4</w:t>
            </w:r>
          </w:p>
        </w:tc>
        <w:tc>
          <w:tcPr>
            <w:tcW w:w="1559" w:type="dxa"/>
            <w:vAlign w:val="center"/>
          </w:tcPr>
          <w:p w14:paraId="1DAA3490">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小型教学场地</w:t>
            </w:r>
          </w:p>
        </w:tc>
        <w:tc>
          <w:tcPr>
            <w:tcW w:w="1701" w:type="dxa"/>
            <w:vAlign w:val="center"/>
          </w:tcPr>
          <w:p w14:paraId="4E8B5AE5">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auto"/>
                <w:kern w:val="0"/>
                <w:szCs w:val="21"/>
              </w:rPr>
            </w:pPr>
            <w:r>
              <w:rPr>
                <w:rFonts w:hint="eastAsia" w:ascii="仿宋" w:hAnsi="仿宋" w:eastAsia="仿宋" w:cs="仿宋"/>
                <w:kern w:val="0"/>
                <w:sz w:val="21"/>
                <w:szCs w:val="21"/>
                <w:lang w:val="en-US" w:eastAsia="zh-CN" w:bidi="ar"/>
              </w:rPr>
              <w:t>60-180平米</w:t>
            </w:r>
          </w:p>
        </w:tc>
        <w:tc>
          <w:tcPr>
            <w:tcW w:w="851" w:type="dxa"/>
            <w:vAlign w:val="center"/>
          </w:tcPr>
          <w:p w14:paraId="532AED84">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default" w:ascii="仿宋" w:hAnsi="仿宋" w:eastAsia="仿宋" w:cs="仿宋"/>
                <w:color w:val="auto"/>
                <w:kern w:val="0"/>
                <w:szCs w:val="21"/>
                <w:lang w:val="en-US" w:eastAsia="zh-CN"/>
              </w:rPr>
            </w:pPr>
            <w:r>
              <w:rPr>
                <w:rFonts w:hint="eastAsia" w:ascii="仿宋" w:hAnsi="仿宋" w:eastAsia="仿宋" w:cs="仿宋"/>
                <w:kern w:val="0"/>
                <w:sz w:val="21"/>
                <w:szCs w:val="21"/>
                <w:lang w:val="en-US" w:eastAsia="zh-CN" w:bidi="ar"/>
              </w:rPr>
              <w:t>天</w:t>
            </w:r>
          </w:p>
        </w:tc>
        <w:tc>
          <w:tcPr>
            <w:tcW w:w="968" w:type="dxa"/>
            <w:vAlign w:val="center"/>
          </w:tcPr>
          <w:p w14:paraId="30E6B121">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default" w:ascii="仿宋" w:hAnsi="仿宋" w:eastAsia="仿宋" w:cs="仿宋"/>
                <w:color w:val="333333"/>
                <w:kern w:val="0"/>
                <w:szCs w:val="21"/>
                <w:lang w:val="en-US" w:eastAsia="zh-CN"/>
              </w:rPr>
            </w:pPr>
            <w:r>
              <w:rPr>
                <w:rFonts w:hint="eastAsia" w:ascii="仿宋" w:hAnsi="仿宋" w:eastAsia="仿宋" w:cs="仿宋"/>
                <w:color w:val="333333"/>
                <w:kern w:val="0"/>
                <w:sz w:val="21"/>
                <w:szCs w:val="21"/>
                <w:lang w:val="en-US" w:eastAsia="zh-CN" w:bidi="ar"/>
              </w:rPr>
              <w:t>3</w:t>
            </w:r>
          </w:p>
        </w:tc>
        <w:tc>
          <w:tcPr>
            <w:tcW w:w="1186" w:type="dxa"/>
            <w:vAlign w:val="center"/>
          </w:tcPr>
          <w:p w14:paraId="1D26001A">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600.00</w:t>
            </w:r>
          </w:p>
        </w:tc>
        <w:tc>
          <w:tcPr>
            <w:tcW w:w="1351" w:type="dxa"/>
            <w:vAlign w:val="center"/>
          </w:tcPr>
          <w:p w14:paraId="55DEB95D">
            <w:pPr>
              <w:keepNext w:val="0"/>
              <w:keepLines w:val="0"/>
              <w:widowControl/>
              <w:suppressLineNumbers w:val="0"/>
              <w:spacing w:before="0" w:beforeAutospacing="0" w:after="0" w:afterAutospacing="0" w:line="300" w:lineRule="exact"/>
              <w:ind w:left="0" w:leftChars="0" w:right="0" w:right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1800.00</w:t>
            </w:r>
          </w:p>
        </w:tc>
      </w:tr>
      <w:tr w14:paraId="5B971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2F490B85">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p>
        </w:tc>
        <w:tc>
          <w:tcPr>
            <w:tcW w:w="1559" w:type="dxa"/>
            <w:vAlign w:val="center"/>
          </w:tcPr>
          <w:p w14:paraId="204BB254">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p>
        </w:tc>
        <w:tc>
          <w:tcPr>
            <w:tcW w:w="1701" w:type="dxa"/>
            <w:vAlign w:val="center"/>
          </w:tcPr>
          <w:p w14:paraId="41BD75AD">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p>
        </w:tc>
        <w:tc>
          <w:tcPr>
            <w:tcW w:w="851" w:type="dxa"/>
            <w:vAlign w:val="center"/>
          </w:tcPr>
          <w:p w14:paraId="1C584704">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p>
        </w:tc>
        <w:tc>
          <w:tcPr>
            <w:tcW w:w="968" w:type="dxa"/>
            <w:vAlign w:val="center"/>
          </w:tcPr>
          <w:p w14:paraId="01A91DC7">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合计（元）</w:t>
            </w:r>
          </w:p>
        </w:tc>
        <w:tc>
          <w:tcPr>
            <w:tcW w:w="1186" w:type="dxa"/>
            <w:vAlign w:val="center"/>
          </w:tcPr>
          <w:p w14:paraId="4FE80D0B">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p>
        </w:tc>
        <w:tc>
          <w:tcPr>
            <w:tcW w:w="1351" w:type="dxa"/>
            <w:vAlign w:val="center"/>
          </w:tcPr>
          <w:p w14:paraId="14495038">
            <w:pPr>
              <w:keepNext w:val="0"/>
              <w:keepLines w:val="0"/>
              <w:widowControl/>
              <w:suppressLineNumbers w:val="0"/>
              <w:spacing w:before="0" w:beforeAutospacing="0" w:after="0" w:afterAutospacing="0" w:line="300" w:lineRule="exact"/>
              <w:ind w:left="0" w:leftChars="0" w:right="0" w:right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113380.00</w:t>
            </w:r>
          </w:p>
        </w:tc>
      </w:tr>
    </w:tbl>
    <w:p w14:paraId="1D15B2DA">
      <w:pPr>
        <w:snapToGrid w:val="0"/>
        <w:spacing w:before="156" w:beforeLines="50" w:line="360" w:lineRule="auto"/>
        <w:ind w:firstLine="480" w:firstLineChars="200"/>
        <w:jc w:val="left"/>
        <w:rPr>
          <w:rFonts w:hint="eastAsia" w:ascii="仿宋" w:hAnsi="仿宋" w:eastAsia="仿宋" w:cstheme="minorEastAsia"/>
          <w:b w:val="0"/>
          <w:bCs/>
          <w:sz w:val="24"/>
          <w:szCs w:val="24"/>
          <w:lang w:val="en-US" w:eastAsia="zh-CN"/>
        </w:rPr>
      </w:pPr>
    </w:p>
    <w:p w14:paraId="2D3BB43D">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5A5DF9AD">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theme="minorEastAsia"/>
          <w:kern w:val="2"/>
          <w:sz w:val="24"/>
          <w:szCs w:val="24"/>
          <w:lang w:val="en-US" w:eastAsia="zh-CN" w:bidi="ar-SA"/>
        </w:rPr>
        <w:t>本合同价格以最终中标单价为准，按实际服务数量据实结算，最终实际总价不得超过采购预算总价。成交供应商收到成交通知后，应在一周内签订合同。</w:t>
      </w:r>
    </w:p>
    <w:p w14:paraId="60CEE356">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七、付款方式</w:t>
      </w:r>
    </w:p>
    <w:p w14:paraId="596973C6">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单期培训班结束后，供应商在10个工作日内提交完整费用明细清单及正规发票，采购人审核无误后，一次性支付该期全部服务费用。</w:t>
      </w:r>
    </w:p>
    <w:p w14:paraId="1F3C6598">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具体以签订的合同为准。</w:t>
      </w:r>
    </w:p>
    <w:p w14:paraId="0CE05F5F">
      <w:pPr>
        <w:pStyle w:val="7"/>
        <w:rPr>
          <w:rFonts w:hint="eastAsia" w:ascii="仿宋" w:hAnsi="仿宋" w:eastAsia="仿宋"/>
          <w:b/>
          <w:sz w:val="36"/>
          <w:szCs w:val="36"/>
        </w:rPr>
      </w:pPr>
    </w:p>
    <w:p w14:paraId="41299599">
      <w:pPr>
        <w:rPr>
          <w:rFonts w:hint="eastAsia"/>
        </w:rPr>
      </w:pPr>
    </w:p>
    <w:p w14:paraId="7FE399E4">
      <w:pPr>
        <w:pStyle w:val="16"/>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55243EF8">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1.询比小组</w:t>
      </w:r>
    </w:p>
    <w:p w14:paraId="17CB497B">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56D33DE6">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47628288">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14:paraId="09189720">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1B9DBDF1">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61EB8160">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57CB3C33">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14:paraId="3E6626CA">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064D1714">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3.4评审时，询比小组各成员应当独立对每个供应商的响应文件进行评价、评分，然后汇总每个供应商项评分因素的得分。</w:t>
      </w:r>
    </w:p>
    <w:p w14:paraId="056FE710">
      <w:pPr>
        <w:pStyle w:val="16"/>
        <w:spacing w:before="0" w:beforeAutospacing="0" w:after="0" w:line="240" w:lineRule="atLeast"/>
        <w:ind w:left="0" w:leftChars="0" w:firstLine="0"/>
        <w:jc w:val="center"/>
        <w:rPr>
          <w:rFonts w:hint="eastAsia"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2"/>
        <w:gridCol w:w="583"/>
        <w:gridCol w:w="1357"/>
        <w:gridCol w:w="827"/>
        <w:gridCol w:w="5033"/>
      </w:tblGrid>
      <w:tr w14:paraId="79D19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424" w:type="pct"/>
            <w:vAlign w:val="center"/>
          </w:tcPr>
          <w:p w14:paraId="59AFEDA7">
            <w:pPr>
              <w:keepNext w:val="0"/>
              <w:keepLines w:val="0"/>
              <w:suppressLineNumbers w:val="0"/>
              <w:spacing w:before="0" w:beforeAutospacing="0" w:after="0" w:afterAutospacing="0"/>
              <w:ind w:left="0" w:right="0"/>
              <w:jc w:val="center"/>
              <w:rPr>
                <w:rFonts w:hint="eastAsia" w:ascii="仿宋" w:hAnsi="仿宋" w:eastAsia="仿宋"/>
                <w:b/>
                <w:sz w:val="24"/>
                <w:szCs w:val="24"/>
              </w:rPr>
            </w:pPr>
            <w:r>
              <w:rPr>
                <w:rFonts w:hint="eastAsia" w:ascii="仿宋" w:hAnsi="仿宋" w:eastAsia="仿宋"/>
                <w:b/>
                <w:kern w:val="0"/>
                <w:sz w:val="24"/>
                <w:szCs w:val="24"/>
              </w:rPr>
              <w:t>序号</w:t>
            </w:r>
          </w:p>
        </w:tc>
        <w:tc>
          <w:tcPr>
            <w:tcW w:w="1138" w:type="pct"/>
            <w:gridSpan w:val="2"/>
            <w:vAlign w:val="center"/>
          </w:tcPr>
          <w:p w14:paraId="0C748504">
            <w:pPr>
              <w:keepNext w:val="0"/>
              <w:keepLines w:val="0"/>
              <w:suppressLineNumbers w:val="0"/>
              <w:spacing w:before="0" w:beforeAutospacing="0" w:after="0" w:afterAutospacing="0"/>
              <w:ind w:left="0" w:right="0"/>
              <w:jc w:val="center"/>
              <w:rPr>
                <w:rFonts w:hint="eastAsia" w:ascii="仿宋" w:hAnsi="仿宋" w:eastAsia="仿宋"/>
                <w:b/>
                <w:sz w:val="24"/>
                <w:szCs w:val="24"/>
              </w:rPr>
            </w:pPr>
            <w:r>
              <w:rPr>
                <w:rFonts w:hint="eastAsia" w:ascii="仿宋" w:hAnsi="仿宋" w:eastAsia="仿宋"/>
                <w:b/>
                <w:kern w:val="0"/>
                <w:sz w:val="24"/>
                <w:szCs w:val="24"/>
              </w:rPr>
              <w:t>评审因素</w:t>
            </w:r>
          </w:p>
        </w:tc>
        <w:tc>
          <w:tcPr>
            <w:tcW w:w="485" w:type="pct"/>
            <w:vAlign w:val="center"/>
          </w:tcPr>
          <w:p w14:paraId="4F2F7146">
            <w:pPr>
              <w:keepNext w:val="0"/>
              <w:keepLines w:val="0"/>
              <w:suppressLineNumbers w:val="0"/>
              <w:spacing w:before="0" w:beforeAutospacing="0" w:after="0" w:afterAutospacing="0"/>
              <w:ind w:left="0" w:right="0"/>
              <w:jc w:val="center"/>
              <w:rPr>
                <w:rFonts w:hint="eastAsia" w:ascii="仿宋" w:hAnsi="仿宋" w:eastAsia="仿宋"/>
                <w:b/>
                <w:sz w:val="24"/>
                <w:szCs w:val="24"/>
              </w:rPr>
            </w:pPr>
            <w:r>
              <w:rPr>
                <w:rFonts w:hint="eastAsia" w:ascii="仿宋" w:hAnsi="仿宋" w:eastAsia="仿宋"/>
                <w:b/>
                <w:kern w:val="0"/>
                <w:sz w:val="24"/>
                <w:szCs w:val="24"/>
              </w:rPr>
              <w:t>权值</w:t>
            </w:r>
          </w:p>
        </w:tc>
        <w:tc>
          <w:tcPr>
            <w:tcW w:w="2953" w:type="pct"/>
            <w:vAlign w:val="center"/>
          </w:tcPr>
          <w:p w14:paraId="46B85A0E">
            <w:pPr>
              <w:keepNext w:val="0"/>
              <w:keepLines w:val="0"/>
              <w:suppressLineNumbers w:val="0"/>
              <w:spacing w:before="0" w:beforeAutospacing="0" w:after="0" w:afterAutospacing="0"/>
              <w:ind w:left="0" w:right="0"/>
              <w:jc w:val="center"/>
              <w:rPr>
                <w:rFonts w:hint="eastAsia" w:ascii="仿宋" w:hAnsi="仿宋" w:eastAsia="仿宋"/>
                <w:b/>
                <w:sz w:val="24"/>
                <w:szCs w:val="24"/>
              </w:rPr>
            </w:pPr>
            <w:r>
              <w:rPr>
                <w:rFonts w:hint="eastAsia" w:ascii="仿宋" w:hAnsi="仿宋" w:eastAsia="仿宋"/>
                <w:b/>
                <w:sz w:val="24"/>
                <w:szCs w:val="24"/>
              </w:rPr>
              <w:t>评分标准</w:t>
            </w:r>
          </w:p>
        </w:tc>
      </w:tr>
      <w:tr w14:paraId="4A69B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424" w:type="pct"/>
            <w:vAlign w:val="center"/>
          </w:tcPr>
          <w:p w14:paraId="62BC2181">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仿宋" w:hAnsi="仿宋" w:eastAsia="仿宋" w:cs="宋体"/>
                <w:sz w:val="24"/>
                <w:szCs w:val="24"/>
              </w:rPr>
              <w:t>1</w:t>
            </w:r>
          </w:p>
        </w:tc>
        <w:tc>
          <w:tcPr>
            <w:tcW w:w="342" w:type="pct"/>
            <w:vMerge w:val="restart"/>
            <w:vAlign w:val="center"/>
          </w:tcPr>
          <w:p w14:paraId="3D60390E">
            <w:pPr>
              <w:keepNext w:val="0"/>
              <w:keepLines w:val="0"/>
              <w:suppressLineNumbers w:val="0"/>
              <w:spacing w:before="0" w:beforeAutospacing="0" w:after="0" w:afterAutospacing="0"/>
              <w:ind w:left="0" w:right="0"/>
              <w:jc w:val="center"/>
              <w:rPr>
                <w:rFonts w:hint="eastAsia" w:ascii="宋体" w:hAnsi="宋体" w:cs="宋体"/>
                <w:szCs w:val="21"/>
              </w:rPr>
            </w:pPr>
            <w:r>
              <w:rPr>
                <w:rFonts w:hint="eastAsia" w:ascii="宋体" w:hAnsi="宋体" w:cs="宋体"/>
                <w:szCs w:val="21"/>
              </w:rPr>
              <w:t>报价</w:t>
            </w:r>
          </w:p>
        </w:tc>
        <w:tc>
          <w:tcPr>
            <w:tcW w:w="796" w:type="pct"/>
            <w:vAlign w:val="center"/>
          </w:tcPr>
          <w:p w14:paraId="7D8E7FFA">
            <w:pPr>
              <w:keepNext w:val="0"/>
              <w:keepLines w:val="0"/>
              <w:suppressLineNumbers w:val="0"/>
              <w:spacing w:before="0" w:beforeAutospacing="0" w:after="0" w:afterAutospacing="0"/>
              <w:ind w:left="0" w:right="0"/>
              <w:jc w:val="center"/>
              <w:rPr>
                <w:rFonts w:hint="eastAsia" w:ascii="宋体" w:hAnsi="宋体" w:cs="宋体"/>
                <w:szCs w:val="21"/>
              </w:rPr>
            </w:pPr>
            <w:r>
              <w:rPr>
                <w:rFonts w:hint="eastAsia" w:ascii="宋体" w:hAnsi="宋体" w:cs="宋体"/>
                <w:szCs w:val="21"/>
              </w:rPr>
              <w:t>住宿报价</w:t>
            </w:r>
          </w:p>
        </w:tc>
        <w:tc>
          <w:tcPr>
            <w:tcW w:w="485" w:type="pct"/>
            <w:vAlign w:val="center"/>
          </w:tcPr>
          <w:p w14:paraId="3AB271F7">
            <w:pPr>
              <w:keepNext w:val="0"/>
              <w:keepLines w:val="0"/>
              <w:suppressLineNumbers w:val="0"/>
              <w:spacing w:before="0" w:beforeAutospacing="0" w:after="0" w:afterAutospacing="0"/>
              <w:ind w:left="0" w:right="0"/>
              <w:jc w:val="center"/>
              <w:rPr>
                <w:rFonts w:hint="eastAsia" w:ascii="宋体" w:hAnsi="宋体" w:cs="宋体"/>
                <w:szCs w:val="21"/>
              </w:rPr>
            </w:pPr>
            <w:r>
              <w:rPr>
                <w:rFonts w:hint="eastAsia" w:ascii="宋体" w:hAnsi="宋体" w:cs="宋体"/>
                <w:szCs w:val="21"/>
              </w:rPr>
              <w:t>20</w:t>
            </w:r>
          </w:p>
        </w:tc>
        <w:tc>
          <w:tcPr>
            <w:tcW w:w="2953" w:type="pct"/>
            <w:vAlign w:val="center"/>
          </w:tcPr>
          <w:p w14:paraId="5ED2E53D">
            <w:pPr>
              <w:keepNext w:val="0"/>
              <w:keepLines w:val="0"/>
              <w:widowControl/>
              <w:suppressLineNumbers w:val="0"/>
              <w:spacing w:before="0" w:beforeAutospacing="0" w:after="0" w:afterAutospacing="0"/>
              <w:ind w:left="0" w:right="0"/>
              <w:jc w:val="left"/>
              <w:rPr>
                <w:rFonts w:hint="eastAsia" w:ascii="宋体" w:hAnsi="宋体" w:cs="宋体"/>
                <w:szCs w:val="21"/>
              </w:rPr>
            </w:pPr>
            <w:r>
              <w:rPr>
                <w:rFonts w:hint="eastAsia" w:ascii="宋体" w:hAnsi="宋体" w:cs="宋体"/>
                <w:szCs w:val="21"/>
              </w:rPr>
              <w:t>以经评委会一致认定满足招标文件要求且投标住宿价格最低的投标报价为评标基准价，其价格得分计20分。其他投标人的价格得分统一按公式计算：报价得分=（评标基准价/投标报价）×价格权重。</w:t>
            </w:r>
          </w:p>
        </w:tc>
      </w:tr>
      <w:tr w14:paraId="07E4E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424" w:type="pct"/>
            <w:vAlign w:val="center"/>
          </w:tcPr>
          <w:p w14:paraId="2B898557">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仿宋" w:hAnsi="仿宋" w:eastAsia="仿宋" w:cs="宋体"/>
                <w:sz w:val="24"/>
                <w:szCs w:val="24"/>
              </w:rPr>
              <w:t>2</w:t>
            </w:r>
          </w:p>
        </w:tc>
        <w:tc>
          <w:tcPr>
            <w:tcW w:w="342" w:type="pct"/>
            <w:vMerge w:val="continue"/>
            <w:vAlign w:val="center"/>
          </w:tcPr>
          <w:p w14:paraId="66859F4A">
            <w:pPr>
              <w:keepNext w:val="0"/>
              <w:keepLines w:val="0"/>
              <w:suppressLineNumbers w:val="0"/>
              <w:spacing w:before="0" w:beforeAutospacing="0" w:after="0" w:afterAutospacing="0"/>
              <w:ind w:left="0" w:right="0"/>
              <w:jc w:val="center"/>
              <w:rPr>
                <w:rFonts w:hint="eastAsia" w:ascii="仿宋" w:hAnsi="仿宋" w:eastAsia="仿宋"/>
                <w:kern w:val="0"/>
                <w:sz w:val="24"/>
                <w:szCs w:val="24"/>
              </w:rPr>
            </w:pPr>
          </w:p>
        </w:tc>
        <w:tc>
          <w:tcPr>
            <w:tcW w:w="796" w:type="pct"/>
            <w:vAlign w:val="center"/>
          </w:tcPr>
          <w:p w14:paraId="55CD2994">
            <w:pPr>
              <w:keepNext w:val="0"/>
              <w:keepLines w:val="0"/>
              <w:suppressLineNumbers w:val="0"/>
              <w:spacing w:before="0" w:beforeAutospacing="0" w:after="0" w:afterAutospacing="0"/>
              <w:ind w:left="0" w:right="0"/>
              <w:jc w:val="center"/>
              <w:rPr>
                <w:rFonts w:hint="eastAsia" w:ascii="宋体" w:hAnsi="宋体" w:cs="宋体"/>
                <w:szCs w:val="21"/>
              </w:rPr>
            </w:pPr>
            <w:r>
              <w:rPr>
                <w:rFonts w:hint="eastAsia" w:ascii="宋体" w:hAnsi="宋体" w:cs="宋体"/>
                <w:szCs w:val="21"/>
              </w:rPr>
              <w:t>中型会场报价</w:t>
            </w:r>
          </w:p>
        </w:tc>
        <w:tc>
          <w:tcPr>
            <w:tcW w:w="485" w:type="pct"/>
            <w:vAlign w:val="center"/>
          </w:tcPr>
          <w:p w14:paraId="3AC0FDD7">
            <w:pPr>
              <w:keepNext w:val="0"/>
              <w:keepLines w:val="0"/>
              <w:suppressLineNumbers w:val="0"/>
              <w:spacing w:before="0" w:beforeAutospacing="0" w:after="0" w:afterAutospacing="0"/>
              <w:ind w:left="0" w:right="0"/>
              <w:jc w:val="center"/>
              <w:rPr>
                <w:rFonts w:hint="eastAsia" w:ascii="宋体" w:hAnsi="宋体" w:cs="宋体"/>
                <w:szCs w:val="21"/>
              </w:rPr>
            </w:pPr>
            <w:r>
              <w:rPr>
                <w:rFonts w:hint="eastAsia" w:ascii="宋体" w:hAnsi="宋体" w:cs="宋体"/>
                <w:szCs w:val="21"/>
              </w:rPr>
              <w:t>10</w:t>
            </w:r>
          </w:p>
        </w:tc>
        <w:tc>
          <w:tcPr>
            <w:tcW w:w="2953" w:type="pct"/>
            <w:vAlign w:val="center"/>
          </w:tcPr>
          <w:p w14:paraId="18D6EA3D">
            <w:pPr>
              <w:keepNext w:val="0"/>
              <w:keepLines w:val="0"/>
              <w:widowControl/>
              <w:suppressLineNumbers w:val="0"/>
              <w:spacing w:before="0" w:beforeAutospacing="0" w:after="0" w:afterAutospacing="0"/>
              <w:ind w:left="0" w:right="0"/>
              <w:jc w:val="left"/>
              <w:rPr>
                <w:rFonts w:hint="eastAsia" w:ascii="宋体" w:hAnsi="宋体" w:cs="宋体"/>
                <w:szCs w:val="21"/>
              </w:rPr>
            </w:pPr>
            <w:r>
              <w:rPr>
                <w:rFonts w:hint="eastAsia" w:ascii="宋体" w:hAnsi="宋体" w:cs="宋体"/>
                <w:szCs w:val="21"/>
              </w:rPr>
              <w:t>以经评委会一致认定满足招标文件要求且投标中型会场（180平方米及以上）价格最低的投标报价为评标基准价，其价格得分计10分。其他投标人的价格得分统一按公式计算：报价得分=（评标基准价/投标报价）×价格权重。</w:t>
            </w:r>
          </w:p>
        </w:tc>
      </w:tr>
      <w:tr w14:paraId="26498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424" w:type="pct"/>
            <w:vAlign w:val="center"/>
          </w:tcPr>
          <w:p w14:paraId="0D48BDA1">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仿宋" w:hAnsi="仿宋" w:eastAsia="仿宋" w:cs="宋体"/>
                <w:sz w:val="24"/>
                <w:szCs w:val="24"/>
              </w:rPr>
              <w:t>3</w:t>
            </w:r>
          </w:p>
        </w:tc>
        <w:tc>
          <w:tcPr>
            <w:tcW w:w="342" w:type="pct"/>
            <w:vMerge w:val="continue"/>
            <w:vAlign w:val="center"/>
          </w:tcPr>
          <w:p w14:paraId="48BBBB60">
            <w:pPr>
              <w:keepNext w:val="0"/>
              <w:keepLines w:val="0"/>
              <w:suppressLineNumbers w:val="0"/>
              <w:spacing w:before="0" w:beforeAutospacing="0" w:after="0" w:afterAutospacing="0"/>
              <w:ind w:left="0" w:right="0"/>
              <w:jc w:val="center"/>
              <w:rPr>
                <w:rFonts w:hint="eastAsia" w:ascii="仿宋" w:hAnsi="仿宋" w:eastAsia="仿宋"/>
                <w:kern w:val="0"/>
                <w:sz w:val="24"/>
                <w:szCs w:val="24"/>
              </w:rPr>
            </w:pPr>
          </w:p>
        </w:tc>
        <w:tc>
          <w:tcPr>
            <w:tcW w:w="796" w:type="pct"/>
            <w:vAlign w:val="center"/>
          </w:tcPr>
          <w:p w14:paraId="3A9F9145">
            <w:pPr>
              <w:keepNext w:val="0"/>
              <w:keepLines w:val="0"/>
              <w:suppressLineNumbers w:val="0"/>
              <w:spacing w:before="0" w:beforeAutospacing="0" w:after="0" w:afterAutospacing="0"/>
              <w:ind w:left="0" w:right="0"/>
              <w:jc w:val="center"/>
              <w:rPr>
                <w:rFonts w:hint="eastAsia" w:ascii="宋体" w:hAnsi="宋体" w:cs="宋体"/>
                <w:szCs w:val="21"/>
              </w:rPr>
            </w:pPr>
            <w:r>
              <w:rPr>
                <w:rFonts w:hint="eastAsia" w:ascii="宋体" w:hAnsi="宋体" w:cs="宋体"/>
                <w:szCs w:val="21"/>
              </w:rPr>
              <w:t>小型会场报价</w:t>
            </w:r>
          </w:p>
        </w:tc>
        <w:tc>
          <w:tcPr>
            <w:tcW w:w="485" w:type="pct"/>
            <w:vAlign w:val="center"/>
          </w:tcPr>
          <w:p w14:paraId="1694DE5C">
            <w:pPr>
              <w:keepNext w:val="0"/>
              <w:keepLines w:val="0"/>
              <w:suppressLineNumbers w:val="0"/>
              <w:spacing w:before="0" w:beforeAutospacing="0" w:after="0" w:afterAutospacing="0"/>
              <w:ind w:left="0" w:right="0"/>
              <w:jc w:val="center"/>
              <w:rPr>
                <w:rFonts w:hint="eastAsia" w:ascii="宋体" w:hAnsi="宋体" w:cs="宋体"/>
                <w:szCs w:val="21"/>
              </w:rPr>
            </w:pPr>
            <w:r>
              <w:rPr>
                <w:rFonts w:hint="eastAsia" w:ascii="宋体" w:hAnsi="宋体" w:cs="宋体"/>
                <w:szCs w:val="21"/>
              </w:rPr>
              <w:t>10</w:t>
            </w:r>
          </w:p>
        </w:tc>
        <w:tc>
          <w:tcPr>
            <w:tcW w:w="2953" w:type="pct"/>
            <w:vAlign w:val="center"/>
          </w:tcPr>
          <w:p w14:paraId="68231E2D">
            <w:pPr>
              <w:keepNext w:val="0"/>
              <w:keepLines w:val="0"/>
              <w:widowControl/>
              <w:suppressLineNumbers w:val="0"/>
              <w:spacing w:before="0" w:beforeAutospacing="0" w:after="0" w:afterAutospacing="0"/>
              <w:ind w:left="0" w:right="0"/>
              <w:jc w:val="left"/>
              <w:rPr>
                <w:rFonts w:hint="eastAsia" w:ascii="宋体" w:hAnsi="宋体" w:cs="宋体"/>
                <w:szCs w:val="21"/>
              </w:rPr>
            </w:pPr>
            <w:r>
              <w:rPr>
                <w:rFonts w:hint="eastAsia" w:ascii="宋体" w:hAnsi="宋体" w:cs="宋体"/>
                <w:szCs w:val="21"/>
              </w:rPr>
              <w:t>以经评委会一致认定满足招标文件要求且投标小型会场（60至180平方米）价格最低的投标报价为评标基准价，其价格得分计10分。其他投标人的价格得分统一按公式计算：报价得分=（评标基准价/投标报价）×价格权重。</w:t>
            </w:r>
          </w:p>
        </w:tc>
      </w:tr>
      <w:tr w14:paraId="5B541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424" w:type="pct"/>
            <w:vAlign w:val="center"/>
          </w:tcPr>
          <w:p w14:paraId="5040FC1A">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仿宋" w:hAnsi="仿宋" w:eastAsia="仿宋" w:cs="宋体"/>
                <w:sz w:val="24"/>
                <w:szCs w:val="24"/>
              </w:rPr>
              <w:t>4</w:t>
            </w:r>
          </w:p>
        </w:tc>
        <w:tc>
          <w:tcPr>
            <w:tcW w:w="342" w:type="pct"/>
            <w:vMerge w:val="restart"/>
            <w:vAlign w:val="center"/>
          </w:tcPr>
          <w:p w14:paraId="3A1EC97F">
            <w:pPr>
              <w:keepNext w:val="0"/>
              <w:keepLines w:val="0"/>
              <w:suppressLineNumbers w:val="0"/>
              <w:spacing w:before="0" w:beforeAutospacing="0" w:after="0" w:afterAutospacing="0"/>
              <w:ind w:left="0" w:right="0"/>
              <w:jc w:val="center"/>
              <w:rPr>
                <w:rFonts w:hint="eastAsia" w:ascii="宋体" w:hAnsi="宋体" w:cs="宋体"/>
                <w:szCs w:val="21"/>
              </w:rPr>
            </w:pPr>
            <w:r>
              <w:rPr>
                <w:rFonts w:hint="eastAsia" w:ascii="宋体" w:hAnsi="宋体" w:cs="宋体"/>
                <w:szCs w:val="21"/>
              </w:rPr>
              <w:t>服务</w:t>
            </w:r>
          </w:p>
        </w:tc>
        <w:tc>
          <w:tcPr>
            <w:tcW w:w="796" w:type="pct"/>
            <w:vAlign w:val="center"/>
          </w:tcPr>
          <w:p w14:paraId="4CB097CA">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宋体" w:hAnsi="宋体" w:cs="宋体"/>
                <w:szCs w:val="21"/>
              </w:rPr>
              <w:t>住宿服务</w:t>
            </w:r>
          </w:p>
        </w:tc>
        <w:tc>
          <w:tcPr>
            <w:tcW w:w="485" w:type="pct"/>
            <w:vAlign w:val="center"/>
          </w:tcPr>
          <w:p w14:paraId="5F6B02FB">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宋体" w:hAnsi="宋体" w:cs="宋体"/>
                <w:szCs w:val="21"/>
              </w:rPr>
              <w:t>20</w:t>
            </w:r>
          </w:p>
        </w:tc>
        <w:tc>
          <w:tcPr>
            <w:tcW w:w="2953" w:type="pct"/>
            <w:vAlign w:val="center"/>
          </w:tcPr>
          <w:p w14:paraId="58D5822F">
            <w:pPr>
              <w:keepNext w:val="0"/>
              <w:keepLines w:val="0"/>
              <w:suppressLineNumbers w:val="0"/>
              <w:spacing w:before="0" w:beforeAutospacing="0" w:after="0" w:afterAutospacing="0"/>
              <w:ind w:left="0" w:right="0"/>
              <w:jc w:val="left"/>
              <w:rPr>
                <w:rFonts w:hint="default"/>
              </w:rPr>
            </w:pPr>
            <w:r>
              <w:rPr>
                <w:rFonts w:hint="eastAsia"/>
              </w:rPr>
              <w:t>（1）标准双人间数量得分：数量≥50间，本项得5分，数量&lt;50间，不得分；</w:t>
            </w:r>
          </w:p>
          <w:p w14:paraId="11F02104">
            <w:pPr>
              <w:keepNext w:val="0"/>
              <w:keepLines w:val="0"/>
              <w:suppressLineNumbers w:val="0"/>
              <w:spacing w:before="0" w:beforeAutospacing="0" w:after="0" w:afterAutospacing="0"/>
              <w:ind w:left="0" w:right="0"/>
              <w:jc w:val="left"/>
              <w:rPr>
                <w:rFonts w:hint="default"/>
              </w:rPr>
            </w:pPr>
            <w:r>
              <w:rPr>
                <w:rFonts w:hint="eastAsia"/>
              </w:rPr>
              <w:t>（2）星级酒店得分：每一个酒店星级加1分，五星级酒店得5分，本项最多得5分；</w:t>
            </w:r>
          </w:p>
          <w:p w14:paraId="442F450F">
            <w:pPr>
              <w:keepNext w:val="0"/>
              <w:keepLines w:val="0"/>
              <w:suppressLineNumbers w:val="0"/>
              <w:spacing w:before="0" w:beforeAutospacing="0" w:after="0" w:afterAutospacing="0"/>
              <w:ind w:left="0" w:right="0"/>
              <w:jc w:val="left"/>
              <w:rPr>
                <w:rFonts w:hint="default"/>
              </w:rPr>
            </w:pPr>
            <w:r>
              <w:rPr>
                <w:rFonts w:hint="eastAsia"/>
              </w:rPr>
              <w:t>（3）客房装修年限得分：装修年限在10年以上（含）不得分，每低1年加1分，本项最多得10分。</w:t>
            </w:r>
          </w:p>
          <w:p w14:paraId="6DA170B0">
            <w:pPr>
              <w:keepNext w:val="0"/>
              <w:keepLines w:val="0"/>
              <w:suppressLineNumbers w:val="0"/>
              <w:spacing w:before="0" w:beforeAutospacing="0" w:after="0" w:afterAutospacing="0"/>
              <w:ind w:left="0" w:right="0"/>
              <w:jc w:val="left"/>
              <w:rPr>
                <w:rFonts w:hint="default"/>
              </w:rPr>
            </w:pPr>
            <w:r>
              <w:rPr>
                <w:rFonts w:hint="eastAsia"/>
              </w:rPr>
              <w:t>本项累计最多得20分。</w:t>
            </w:r>
          </w:p>
          <w:p w14:paraId="185C22BE">
            <w:pPr>
              <w:keepNext w:val="0"/>
              <w:keepLines w:val="0"/>
              <w:suppressLineNumbers w:val="0"/>
              <w:spacing w:before="0" w:beforeAutospacing="0" w:after="0" w:afterAutospacing="0"/>
              <w:ind w:left="0" w:right="0"/>
              <w:jc w:val="left"/>
              <w:rPr>
                <w:rFonts w:hint="eastAsia" w:ascii="仿宋" w:hAnsi="仿宋" w:cs="宋体"/>
                <w:sz w:val="24"/>
                <w:szCs w:val="24"/>
              </w:rPr>
            </w:pPr>
            <w:r>
              <w:rPr>
                <w:rFonts w:hint="eastAsia" w:ascii="宋体" w:hAnsi="宋体" w:cs="宋体"/>
                <w:szCs w:val="21"/>
              </w:rPr>
              <w:t>【说明】</w:t>
            </w:r>
            <w:r>
              <w:rPr>
                <w:rFonts w:hint="eastAsia"/>
              </w:rPr>
              <w:t>提供标准双人间数量证明资料或承诺函；提供星级酒店证明资料；提供客房装修合同或其他证明资料。</w:t>
            </w:r>
          </w:p>
        </w:tc>
      </w:tr>
      <w:tr w14:paraId="2E70B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424" w:type="pct"/>
            <w:vAlign w:val="center"/>
          </w:tcPr>
          <w:p w14:paraId="55734A43">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仿宋" w:hAnsi="仿宋" w:eastAsia="仿宋" w:cs="宋体"/>
                <w:sz w:val="24"/>
                <w:szCs w:val="24"/>
              </w:rPr>
              <w:t>5</w:t>
            </w:r>
          </w:p>
        </w:tc>
        <w:tc>
          <w:tcPr>
            <w:tcW w:w="342" w:type="pct"/>
            <w:vMerge w:val="continue"/>
            <w:vAlign w:val="center"/>
          </w:tcPr>
          <w:p w14:paraId="02C9AD00">
            <w:pPr>
              <w:keepNext w:val="0"/>
              <w:keepLines w:val="0"/>
              <w:suppressLineNumbers w:val="0"/>
              <w:spacing w:before="0" w:beforeAutospacing="0" w:after="0" w:afterAutospacing="0"/>
              <w:ind w:left="0" w:right="0"/>
              <w:jc w:val="center"/>
              <w:rPr>
                <w:rFonts w:hint="eastAsia" w:ascii="宋体" w:hAnsi="宋体" w:cs="宋体"/>
                <w:szCs w:val="21"/>
              </w:rPr>
            </w:pPr>
          </w:p>
        </w:tc>
        <w:tc>
          <w:tcPr>
            <w:tcW w:w="796" w:type="pct"/>
            <w:vAlign w:val="center"/>
          </w:tcPr>
          <w:p w14:paraId="329C7FA8">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宋体" w:hAnsi="宋体" w:cs="宋体"/>
                <w:szCs w:val="21"/>
              </w:rPr>
              <w:t>餐饮服务</w:t>
            </w:r>
          </w:p>
        </w:tc>
        <w:tc>
          <w:tcPr>
            <w:tcW w:w="485" w:type="pct"/>
            <w:vAlign w:val="center"/>
          </w:tcPr>
          <w:p w14:paraId="19462B79">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宋体" w:hAnsi="宋体" w:cs="宋体"/>
                <w:szCs w:val="21"/>
              </w:rPr>
              <w:t>10</w:t>
            </w:r>
          </w:p>
        </w:tc>
        <w:tc>
          <w:tcPr>
            <w:tcW w:w="2953" w:type="pct"/>
            <w:vAlign w:val="center"/>
          </w:tcPr>
          <w:p w14:paraId="173B6BDA">
            <w:pPr>
              <w:keepNext w:val="0"/>
              <w:keepLines w:val="0"/>
              <w:widowControl/>
              <w:suppressLineNumbers w:val="0"/>
              <w:spacing w:before="0" w:beforeAutospacing="0" w:after="0" w:afterAutospacing="0"/>
              <w:ind w:left="0" w:right="0"/>
              <w:jc w:val="left"/>
              <w:rPr>
                <w:rFonts w:hint="eastAsia" w:ascii="宋体" w:hAnsi="宋体" w:cs="宋体"/>
                <w:szCs w:val="21"/>
              </w:rPr>
            </w:pPr>
            <w:r>
              <w:rPr>
                <w:rFonts w:hint="eastAsia" w:ascii="宋体" w:hAnsi="宋体" w:cs="宋体"/>
                <w:szCs w:val="21"/>
              </w:rPr>
              <w:t>（1）餐厅可容纳人数得分：人数≥120人，得5分，人数</w:t>
            </w:r>
            <w:r>
              <w:rPr>
                <w:rFonts w:hint="eastAsia"/>
              </w:rPr>
              <w:t>&lt;120人，不得分</w:t>
            </w:r>
            <w:r>
              <w:rPr>
                <w:rFonts w:hint="eastAsia" w:ascii="宋体" w:hAnsi="宋体" w:cs="宋体"/>
                <w:szCs w:val="21"/>
              </w:rPr>
              <w:t>；</w:t>
            </w:r>
          </w:p>
          <w:p w14:paraId="5DA54011">
            <w:pPr>
              <w:keepNext w:val="0"/>
              <w:keepLines w:val="0"/>
              <w:widowControl/>
              <w:suppressLineNumbers w:val="0"/>
              <w:spacing w:before="0" w:beforeAutospacing="0" w:after="0" w:afterAutospacing="0"/>
              <w:ind w:left="0" w:right="0"/>
              <w:jc w:val="left"/>
              <w:rPr>
                <w:rFonts w:hint="eastAsia" w:ascii="宋体" w:hAnsi="宋体" w:cs="宋体"/>
                <w:szCs w:val="21"/>
              </w:rPr>
            </w:pPr>
            <w:r>
              <w:rPr>
                <w:rFonts w:hint="eastAsia" w:ascii="宋体" w:hAnsi="宋体" w:cs="宋体"/>
                <w:szCs w:val="21"/>
              </w:rPr>
              <w:t>（2）菜品种类得分：每餐菜品提供12种以上（含），得5分；提供10-11种，得3分，少于10种不得分。</w:t>
            </w:r>
          </w:p>
          <w:p w14:paraId="0A3122DE">
            <w:pPr>
              <w:keepNext w:val="0"/>
              <w:keepLines w:val="0"/>
              <w:widowControl/>
              <w:suppressLineNumbers w:val="0"/>
              <w:spacing w:before="0" w:beforeAutospacing="0" w:after="0" w:afterAutospacing="0"/>
              <w:ind w:left="0" w:right="0"/>
              <w:jc w:val="left"/>
              <w:rPr>
                <w:rFonts w:hint="eastAsia" w:ascii="宋体" w:hAnsi="宋体" w:cs="宋体"/>
                <w:szCs w:val="21"/>
              </w:rPr>
            </w:pPr>
            <w:r>
              <w:rPr>
                <w:rFonts w:hint="eastAsia" w:ascii="宋体" w:hAnsi="宋体" w:cs="宋体"/>
                <w:szCs w:val="21"/>
              </w:rPr>
              <w:t>本项累计最多得10分。</w:t>
            </w:r>
          </w:p>
          <w:p w14:paraId="464CE894">
            <w:pPr>
              <w:keepNext w:val="0"/>
              <w:keepLines w:val="0"/>
              <w:suppressLineNumbers w:val="0"/>
              <w:spacing w:before="0" w:beforeAutospacing="0" w:after="0" w:afterAutospacing="0"/>
              <w:ind w:left="0" w:right="0"/>
              <w:jc w:val="left"/>
              <w:rPr>
                <w:rFonts w:hint="eastAsia" w:ascii="仿宋" w:hAnsi="仿宋" w:eastAsia="仿宋" w:cs="宋体"/>
                <w:sz w:val="24"/>
                <w:szCs w:val="24"/>
              </w:rPr>
            </w:pPr>
            <w:r>
              <w:rPr>
                <w:rFonts w:hint="eastAsia" w:ascii="宋体" w:hAnsi="宋体" w:cs="宋体"/>
                <w:szCs w:val="21"/>
              </w:rPr>
              <w:t>【说明】提供餐厅可容纳人数及菜品品种有关证明材料或承诺函。</w:t>
            </w:r>
          </w:p>
        </w:tc>
      </w:tr>
      <w:tr w14:paraId="5517E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Align w:val="center"/>
          </w:tcPr>
          <w:p w14:paraId="7258C8DA">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仿宋" w:hAnsi="仿宋" w:eastAsia="仿宋" w:cs="宋体"/>
                <w:sz w:val="24"/>
                <w:szCs w:val="24"/>
              </w:rPr>
              <w:t>6</w:t>
            </w:r>
          </w:p>
        </w:tc>
        <w:tc>
          <w:tcPr>
            <w:tcW w:w="342" w:type="pct"/>
            <w:vMerge w:val="continue"/>
            <w:vAlign w:val="center"/>
          </w:tcPr>
          <w:p w14:paraId="77888B33">
            <w:pPr>
              <w:keepNext w:val="0"/>
              <w:keepLines w:val="0"/>
              <w:suppressLineNumbers w:val="0"/>
              <w:spacing w:before="0" w:beforeAutospacing="0" w:after="0" w:afterAutospacing="0"/>
              <w:ind w:left="0" w:right="0"/>
              <w:jc w:val="center"/>
              <w:rPr>
                <w:rFonts w:hint="eastAsia" w:ascii="宋体" w:hAnsi="宋体" w:cs="宋体"/>
                <w:szCs w:val="21"/>
              </w:rPr>
            </w:pPr>
          </w:p>
        </w:tc>
        <w:tc>
          <w:tcPr>
            <w:tcW w:w="796" w:type="pct"/>
            <w:vAlign w:val="center"/>
          </w:tcPr>
          <w:p w14:paraId="12982FC6">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宋体" w:hAnsi="宋体" w:cs="宋体"/>
                <w:szCs w:val="21"/>
              </w:rPr>
              <w:t>会场服务</w:t>
            </w:r>
          </w:p>
        </w:tc>
        <w:tc>
          <w:tcPr>
            <w:tcW w:w="485" w:type="pct"/>
            <w:vAlign w:val="center"/>
          </w:tcPr>
          <w:p w14:paraId="01FC025E">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宋体" w:hAnsi="宋体" w:cs="宋体"/>
                <w:szCs w:val="21"/>
              </w:rPr>
              <w:t>20</w:t>
            </w:r>
          </w:p>
        </w:tc>
        <w:tc>
          <w:tcPr>
            <w:tcW w:w="2953" w:type="pct"/>
            <w:vAlign w:val="center"/>
          </w:tcPr>
          <w:p w14:paraId="033B316D">
            <w:pPr>
              <w:keepNext w:val="0"/>
              <w:keepLines w:val="0"/>
              <w:widowControl/>
              <w:suppressLineNumbers w:val="0"/>
              <w:spacing w:before="0" w:beforeAutospacing="0" w:after="0" w:afterAutospacing="0"/>
              <w:ind w:left="0" w:right="0"/>
              <w:jc w:val="left"/>
              <w:rPr>
                <w:rFonts w:hint="eastAsia" w:ascii="宋体" w:hAnsi="宋体" w:cs="宋体"/>
                <w:color w:val="auto"/>
                <w:szCs w:val="21"/>
              </w:rPr>
            </w:pPr>
            <w:r>
              <w:rPr>
                <w:rFonts w:hint="eastAsia" w:ascii="宋体" w:hAnsi="宋体" w:cs="宋体"/>
                <w:szCs w:val="21"/>
              </w:rPr>
              <w:t>（1）提</w:t>
            </w:r>
            <w:r>
              <w:rPr>
                <w:rFonts w:hint="eastAsia" w:ascii="宋体" w:hAnsi="宋体" w:cs="宋体"/>
                <w:color w:val="auto"/>
                <w:szCs w:val="21"/>
              </w:rPr>
              <w:t>供</w:t>
            </w:r>
            <w:r>
              <w:rPr>
                <w:rFonts w:hint="eastAsia" w:ascii="宋体" w:hAnsi="宋体" w:cs="宋体"/>
                <w:color w:val="auto"/>
                <w:szCs w:val="21"/>
                <w:lang w:val="en-US" w:eastAsia="zh-CN"/>
              </w:rPr>
              <w:t>1</w:t>
            </w:r>
            <w:r>
              <w:rPr>
                <w:rFonts w:hint="eastAsia" w:ascii="宋体" w:hAnsi="宋体" w:cs="宋体"/>
                <w:color w:val="auto"/>
                <w:szCs w:val="21"/>
              </w:rPr>
              <w:t>处</w:t>
            </w:r>
            <w:r>
              <w:rPr>
                <w:rFonts w:hint="eastAsia" w:ascii="宋体" w:hAnsi="宋体" w:cs="宋体"/>
                <w:szCs w:val="21"/>
              </w:rPr>
              <w:t>1</w:t>
            </w:r>
            <w:r>
              <w:rPr>
                <w:rFonts w:hint="eastAsia" w:ascii="宋体" w:hAnsi="宋体" w:cs="宋体"/>
                <w:color w:val="auto"/>
                <w:szCs w:val="21"/>
              </w:rPr>
              <w:t>80㎡（含）以上</w:t>
            </w:r>
            <w:r>
              <w:rPr>
                <w:rFonts w:hint="eastAsia" w:ascii="宋体" w:hAnsi="宋体" w:cs="宋体"/>
                <w:color w:val="auto"/>
                <w:szCs w:val="21"/>
                <w:lang w:val="en-US" w:eastAsia="zh-CN"/>
              </w:rPr>
              <w:t>且可</w:t>
            </w:r>
            <w:r>
              <w:rPr>
                <w:rFonts w:hint="eastAsia" w:ascii="宋体" w:hAnsi="宋体" w:cs="宋体"/>
                <w:color w:val="auto"/>
                <w:szCs w:val="21"/>
              </w:rPr>
              <w:t>容纳 150 人以上</w:t>
            </w:r>
            <w:r>
              <w:rPr>
                <w:rFonts w:hint="eastAsia" w:ascii="宋体" w:hAnsi="宋体" w:cs="宋体"/>
                <w:color w:val="auto"/>
                <w:szCs w:val="21"/>
                <w:lang w:eastAsia="zh-CN"/>
              </w:rPr>
              <w:t>的</w:t>
            </w:r>
            <w:r>
              <w:rPr>
                <w:rFonts w:hint="eastAsia" w:ascii="宋体" w:hAnsi="宋体" w:cs="宋体"/>
                <w:color w:val="auto"/>
                <w:szCs w:val="21"/>
                <w:lang w:val="en-US" w:eastAsia="zh-CN"/>
              </w:rPr>
              <w:t>中</w:t>
            </w:r>
            <w:r>
              <w:rPr>
                <w:rFonts w:hint="eastAsia" w:ascii="宋体" w:hAnsi="宋体" w:cs="宋体"/>
                <w:color w:val="auto"/>
                <w:szCs w:val="21"/>
              </w:rPr>
              <w:t>型会场，得</w:t>
            </w:r>
            <w:r>
              <w:rPr>
                <w:rFonts w:hint="eastAsia" w:ascii="宋体" w:hAnsi="宋体" w:cs="宋体"/>
                <w:color w:val="auto"/>
                <w:szCs w:val="21"/>
                <w:lang w:val="en-US" w:eastAsia="zh-CN"/>
              </w:rPr>
              <w:t>10</w:t>
            </w:r>
            <w:r>
              <w:rPr>
                <w:rFonts w:hint="eastAsia" w:ascii="宋体" w:hAnsi="宋体" w:cs="宋体"/>
                <w:color w:val="auto"/>
                <w:szCs w:val="21"/>
              </w:rPr>
              <w:t>分，不能提供的不得分；</w:t>
            </w:r>
          </w:p>
          <w:p w14:paraId="10E3D674">
            <w:pPr>
              <w:keepNext w:val="0"/>
              <w:keepLines w:val="0"/>
              <w:widowControl/>
              <w:suppressLineNumbers w:val="0"/>
              <w:spacing w:before="0" w:beforeAutospacing="0" w:after="0" w:afterAutospacing="0"/>
              <w:ind w:left="0" w:right="0"/>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w:t>
            </w:r>
            <w:r>
              <w:rPr>
                <w:rFonts w:hint="eastAsia" w:ascii="宋体" w:hAnsi="宋体" w:cs="宋体"/>
                <w:color w:val="000000" w:themeColor="text1"/>
                <w:szCs w:val="21"/>
                <w:lang w:val="en-US" w:eastAsia="zh-CN"/>
                <w14:textFill>
                  <w14:solidFill>
                    <w14:schemeClr w14:val="tx1"/>
                  </w14:solidFill>
                </w14:textFill>
              </w:rPr>
              <w:t>至少</w:t>
            </w:r>
            <w:r>
              <w:rPr>
                <w:rFonts w:hint="eastAsia" w:ascii="宋体" w:hAnsi="宋体" w:cs="宋体"/>
                <w:color w:val="000000" w:themeColor="text1"/>
                <w:szCs w:val="21"/>
                <w14:textFill>
                  <w14:solidFill>
                    <w14:schemeClr w14:val="tx1"/>
                  </w14:solidFill>
                </w14:textFill>
              </w:rPr>
              <w:t>提供</w:t>
            </w:r>
            <w:r>
              <w:rPr>
                <w:rFonts w:hint="eastAsia" w:ascii="宋体" w:hAnsi="宋体" w:cs="宋体"/>
                <w:color w:val="000000" w:themeColor="text1"/>
                <w:szCs w:val="21"/>
                <w:lang w:val="en-US" w:eastAsia="zh-CN"/>
                <w14:textFill>
                  <w14:solidFill>
                    <w14:schemeClr w14:val="tx1"/>
                  </w14:solidFill>
                </w14:textFill>
              </w:rPr>
              <w:t>3</w:t>
            </w:r>
            <w:r>
              <w:rPr>
                <w:rFonts w:hint="eastAsia" w:ascii="宋体" w:hAnsi="宋体" w:cs="宋体"/>
                <w:color w:val="000000" w:themeColor="text1"/>
                <w:szCs w:val="21"/>
                <w14:textFill>
                  <w14:solidFill>
                    <w14:schemeClr w14:val="tx1"/>
                  </w14:solidFill>
                </w14:textFill>
              </w:rPr>
              <w:t>处60㎡（含）-180㎡</w:t>
            </w:r>
            <w:r>
              <w:rPr>
                <w:rFonts w:hint="eastAsia" w:ascii="宋体" w:hAnsi="宋体" w:cs="宋体"/>
                <w:color w:val="000000" w:themeColor="text1"/>
                <w:szCs w:val="21"/>
                <w:lang w:val="en-US" w:eastAsia="zh-CN"/>
                <w14:textFill>
                  <w14:solidFill>
                    <w14:schemeClr w14:val="tx1"/>
                  </w14:solidFill>
                </w14:textFill>
              </w:rPr>
              <w:t>且</w:t>
            </w:r>
            <w:r>
              <w:rPr>
                <w:rFonts w:hint="eastAsia" w:ascii="宋体" w:hAnsi="宋体" w:cs="宋体"/>
                <w:color w:val="000000" w:themeColor="text1"/>
                <w:szCs w:val="21"/>
                <w14:textFill>
                  <w14:solidFill>
                    <w14:schemeClr w14:val="tx1"/>
                  </w14:solidFill>
                </w14:textFill>
              </w:rPr>
              <w:t>可容纳60人以上</w:t>
            </w:r>
            <w:r>
              <w:rPr>
                <w:rFonts w:hint="eastAsia" w:ascii="宋体" w:hAnsi="宋体" w:cs="宋体"/>
                <w:color w:val="000000" w:themeColor="text1"/>
                <w:szCs w:val="21"/>
                <w:lang w:val="en-US" w:eastAsia="zh-CN"/>
                <w14:textFill>
                  <w14:solidFill>
                    <w14:schemeClr w14:val="tx1"/>
                  </w14:solidFill>
                </w14:textFill>
              </w:rPr>
              <w:t>小</w:t>
            </w:r>
            <w:r>
              <w:rPr>
                <w:rFonts w:hint="eastAsia" w:ascii="宋体" w:hAnsi="宋体" w:cs="宋体"/>
                <w:color w:val="000000" w:themeColor="text1"/>
                <w:szCs w:val="21"/>
                <w14:textFill>
                  <w14:solidFill>
                    <w14:schemeClr w14:val="tx1"/>
                  </w14:solidFill>
                </w14:textFill>
              </w:rPr>
              <w:t>型会场，</w:t>
            </w:r>
            <w:r>
              <w:rPr>
                <w:rFonts w:hint="eastAsia" w:ascii="宋体" w:hAnsi="宋体" w:cs="宋体"/>
                <w:color w:val="000000" w:themeColor="text1"/>
                <w:szCs w:val="21"/>
                <w:lang w:val="en-US" w:eastAsia="zh-CN"/>
                <w14:textFill>
                  <w14:solidFill>
                    <w14:schemeClr w14:val="tx1"/>
                  </w14:solidFill>
                </w14:textFill>
              </w:rPr>
              <w:t>另外每多提供1处</w:t>
            </w:r>
            <w:r>
              <w:rPr>
                <w:rFonts w:hint="eastAsia" w:ascii="宋体" w:hAnsi="宋体" w:cs="宋体"/>
                <w:color w:val="000000" w:themeColor="text1"/>
                <w:szCs w:val="21"/>
                <w14:textFill>
                  <w14:solidFill>
                    <w14:schemeClr w14:val="tx1"/>
                  </w14:solidFill>
                </w14:textFill>
              </w:rPr>
              <w:t>得</w:t>
            </w:r>
            <w:r>
              <w:rPr>
                <w:rFonts w:hint="eastAsia" w:ascii="宋体" w:hAnsi="宋体" w:cs="宋体"/>
                <w:color w:val="000000" w:themeColor="text1"/>
                <w:szCs w:val="21"/>
                <w:lang w:val="en-US" w:eastAsia="zh-CN"/>
                <w14:textFill>
                  <w14:solidFill>
                    <w14:schemeClr w14:val="tx1"/>
                  </w14:solidFill>
                </w14:textFill>
              </w:rPr>
              <w:t>2</w:t>
            </w:r>
            <w:r>
              <w:rPr>
                <w:rFonts w:hint="eastAsia" w:ascii="宋体" w:hAnsi="宋体" w:cs="宋体"/>
                <w:color w:val="000000" w:themeColor="text1"/>
                <w:szCs w:val="21"/>
                <w14:textFill>
                  <w14:solidFill>
                    <w14:schemeClr w14:val="tx1"/>
                  </w14:solidFill>
                </w14:textFill>
              </w:rPr>
              <w:t>分，本项最多得</w:t>
            </w:r>
            <w:r>
              <w:rPr>
                <w:rFonts w:hint="eastAsia" w:ascii="宋体" w:hAnsi="宋体" w:cs="宋体"/>
                <w:color w:val="000000" w:themeColor="text1"/>
                <w:szCs w:val="21"/>
                <w:lang w:val="en-US" w:eastAsia="zh-CN"/>
                <w14:textFill>
                  <w14:solidFill>
                    <w14:schemeClr w14:val="tx1"/>
                  </w14:solidFill>
                </w14:textFill>
              </w:rPr>
              <w:t>6</w:t>
            </w:r>
            <w:r>
              <w:rPr>
                <w:rFonts w:hint="eastAsia" w:ascii="宋体" w:hAnsi="宋体" w:cs="宋体"/>
                <w:color w:val="000000" w:themeColor="text1"/>
                <w:szCs w:val="21"/>
                <w14:textFill>
                  <w14:solidFill>
                    <w14:schemeClr w14:val="tx1"/>
                  </w14:solidFill>
                </w14:textFill>
              </w:rPr>
              <w:t>分；</w:t>
            </w:r>
          </w:p>
          <w:p w14:paraId="0FA6C7EF">
            <w:pPr>
              <w:keepNext w:val="0"/>
              <w:keepLines w:val="0"/>
              <w:widowControl/>
              <w:suppressLineNumbers w:val="0"/>
              <w:spacing w:before="0" w:beforeAutospacing="0" w:after="0" w:afterAutospacing="0"/>
              <w:ind w:left="0" w:right="0"/>
              <w:jc w:val="left"/>
              <w:rPr>
                <w:rFonts w:hint="eastAsia" w:ascii="宋体" w:hAnsi="宋体" w:cs="宋体"/>
                <w:color w:val="auto"/>
                <w:szCs w:val="21"/>
              </w:rPr>
            </w:pPr>
            <w:r>
              <w:rPr>
                <w:rFonts w:hint="eastAsia" w:ascii="宋体" w:hAnsi="宋体" w:cs="宋体"/>
                <w:color w:val="auto"/>
                <w:szCs w:val="21"/>
              </w:rPr>
              <w:t>（3）能提供音响、LED屏、麦克风等必备培训设备，得4分，提供不全的得2分，不能提供的不得分。</w:t>
            </w:r>
          </w:p>
          <w:p w14:paraId="39617E86">
            <w:pPr>
              <w:keepNext w:val="0"/>
              <w:keepLines w:val="0"/>
              <w:suppressLineNumbers w:val="0"/>
              <w:spacing w:before="0" w:beforeAutospacing="0" w:after="0" w:afterAutospacing="0"/>
              <w:ind w:left="0" w:right="0"/>
              <w:jc w:val="left"/>
              <w:rPr>
                <w:rFonts w:hint="eastAsia" w:ascii="宋体" w:hAnsi="宋体" w:cs="宋体"/>
                <w:szCs w:val="21"/>
              </w:rPr>
            </w:pPr>
            <w:r>
              <w:rPr>
                <w:rFonts w:hint="eastAsia" w:ascii="宋体" w:hAnsi="宋体" w:cs="宋体"/>
                <w:szCs w:val="21"/>
              </w:rPr>
              <w:t>本项累计最多得20分。</w:t>
            </w:r>
          </w:p>
          <w:p w14:paraId="21D192DF">
            <w:pPr>
              <w:keepNext w:val="0"/>
              <w:keepLines w:val="0"/>
              <w:suppressLineNumbers w:val="0"/>
              <w:spacing w:before="0" w:beforeAutospacing="0" w:after="0" w:afterAutospacing="0"/>
              <w:ind w:left="0" w:right="0"/>
              <w:jc w:val="left"/>
              <w:rPr>
                <w:rFonts w:hint="eastAsia" w:ascii="仿宋" w:hAnsi="仿宋" w:eastAsia="仿宋" w:cs="宋体"/>
                <w:sz w:val="24"/>
                <w:szCs w:val="24"/>
              </w:rPr>
            </w:pPr>
            <w:r>
              <w:rPr>
                <w:rFonts w:hint="eastAsia" w:ascii="宋体" w:hAnsi="宋体" w:cs="宋体"/>
                <w:szCs w:val="21"/>
              </w:rPr>
              <w:t>【说明】提供各会场照片及面积、数量有关证明资料或承诺函；提供各项培训设备清单及购置或租赁等证明材料。</w:t>
            </w:r>
          </w:p>
        </w:tc>
      </w:tr>
      <w:tr w14:paraId="631FF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Align w:val="center"/>
          </w:tcPr>
          <w:p w14:paraId="43CA71C8">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仿宋" w:hAnsi="仿宋" w:eastAsia="仿宋" w:cs="宋体"/>
                <w:sz w:val="24"/>
                <w:szCs w:val="24"/>
              </w:rPr>
              <w:t>7</w:t>
            </w:r>
          </w:p>
        </w:tc>
        <w:tc>
          <w:tcPr>
            <w:tcW w:w="342" w:type="pct"/>
            <w:vAlign w:val="center"/>
          </w:tcPr>
          <w:p w14:paraId="61026106">
            <w:pPr>
              <w:keepNext w:val="0"/>
              <w:keepLines w:val="0"/>
              <w:suppressLineNumbers w:val="0"/>
              <w:spacing w:before="0" w:beforeAutospacing="0" w:after="0" w:afterAutospacing="0"/>
              <w:ind w:left="0" w:right="0"/>
              <w:jc w:val="center"/>
              <w:rPr>
                <w:rFonts w:hint="eastAsia" w:ascii="宋体" w:hAnsi="宋体" w:cs="宋体"/>
                <w:szCs w:val="21"/>
              </w:rPr>
            </w:pPr>
            <w:r>
              <w:rPr>
                <w:rFonts w:hint="eastAsia" w:ascii="宋体" w:hAnsi="宋体" w:cs="宋体"/>
                <w:szCs w:val="21"/>
              </w:rPr>
              <w:t>业绩</w:t>
            </w:r>
          </w:p>
        </w:tc>
        <w:tc>
          <w:tcPr>
            <w:tcW w:w="796" w:type="pct"/>
            <w:vAlign w:val="center"/>
          </w:tcPr>
          <w:p w14:paraId="343B1904">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宋体" w:hAnsi="宋体" w:cs="宋体"/>
                <w:szCs w:val="21"/>
              </w:rPr>
              <w:t>同类业绩</w:t>
            </w:r>
          </w:p>
        </w:tc>
        <w:tc>
          <w:tcPr>
            <w:tcW w:w="485" w:type="pct"/>
            <w:vAlign w:val="center"/>
          </w:tcPr>
          <w:p w14:paraId="147D11AC">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宋体" w:hAnsi="宋体" w:cs="宋体"/>
                <w:szCs w:val="21"/>
              </w:rPr>
              <w:t>10</w:t>
            </w:r>
          </w:p>
        </w:tc>
        <w:tc>
          <w:tcPr>
            <w:tcW w:w="2953" w:type="pct"/>
            <w:vAlign w:val="center"/>
          </w:tcPr>
          <w:p w14:paraId="72A6E839">
            <w:pPr>
              <w:keepNext w:val="0"/>
              <w:keepLines w:val="0"/>
              <w:suppressLineNumbers w:val="0"/>
              <w:spacing w:before="0" w:beforeAutospacing="0" w:after="0" w:afterAutospacing="0"/>
              <w:ind w:left="0" w:right="0"/>
              <w:jc w:val="left"/>
              <w:rPr>
                <w:rFonts w:hint="eastAsia" w:ascii="宋体" w:hAnsi="宋体" w:cs="宋体"/>
                <w:szCs w:val="21"/>
              </w:rPr>
            </w:pPr>
            <w:r>
              <w:rPr>
                <w:rFonts w:hint="eastAsia" w:ascii="宋体" w:hAnsi="宋体" w:cs="宋体"/>
                <w:szCs w:val="21"/>
              </w:rPr>
              <w:t>提供近两年同类培训或会议服务业绩，每提供一项得2分，本项最多得10分。</w:t>
            </w:r>
          </w:p>
          <w:p w14:paraId="6203061F">
            <w:pPr>
              <w:keepNext w:val="0"/>
              <w:keepLines w:val="0"/>
              <w:suppressLineNumbers w:val="0"/>
              <w:spacing w:before="0" w:beforeAutospacing="0" w:after="0" w:afterAutospacing="0"/>
              <w:ind w:left="0" w:right="0"/>
              <w:jc w:val="left"/>
              <w:rPr>
                <w:rFonts w:hint="eastAsia" w:ascii="仿宋" w:hAnsi="仿宋" w:eastAsia="仿宋" w:cs="宋体"/>
                <w:sz w:val="24"/>
                <w:szCs w:val="24"/>
              </w:rPr>
            </w:pPr>
            <w:r>
              <w:rPr>
                <w:rFonts w:hint="eastAsia" w:ascii="宋体" w:hAnsi="宋体" w:cs="宋体"/>
                <w:szCs w:val="21"/>
              </w:rPr>
              <w:t>【说明】：提供2024年6月1日至今，同类培训服务项目的合同复印件，合同没有公章或者公章无法辨识，视为无效合同。</w:t>
            </w:r>
          </w:p>
        </w:tc>
      </w:tr>
    </w:tbl>
    <w:p w14:paraId="06D12280">
      <w:r>
        <w:rPr>
          <w:rFonts w:hint="eastAsia"/>
        </w:rPr>
        <w:t>【说明】餐饮报价不参与评分，仅作为签订服务合同的依据，餐饮</w:t>
      </w:r>
      <w:r>
        <w:rPr>
          <w:rFonts w:hint="eastAsia"/>
          <w:lang w:val="en-US" w:eastAsia="zh-CN"/>
        </w:rPr>
        <w:t>报价</w:t>
      </w:r>
      <w:r>
        <w:rPr>
          <w:rFonts w:hint="eastAsia"/>
        </w:rPr>
        <w:t>不</w:t>
      </w:r>
      <w:r>
        <w:rPr>
          <w:rFonts w:hint="eastAsia"/>
          <w:lang w:val="en-US" w:eastAsia="zh-CN"/>
        </w:rPr>
        <w:t>得</w:t>
      </w:r>
      <w:r>
        <w:rPr>
          <w:rFonts w:hint="eastAsia"/>
        </w:rPr>
        <w:t>超过最高限价。</w:t>
      </w:r>
    </w:p>
    <w:p w14:paraId="7BF6C7D4">
      <w:pPr>
        <w:pStyle w:val="16"/>
        <w:ind w:left="0" w:leftChars="0" w:firstLine="0"/>
        <w:jc w:val="center"/>
        <w:rPr>
          <w:rFonts w:hint="eastAsia" w:ascii="宋体" w:hAnsi="宋体" w:eastAsia="仿宋" w:cs="宋体"/>
          <w:b/>
          <w:color w:val="333333"/>
          <w:kern w:val="0"/>
          <w:sz w:val="36"/>
          <w:szCs w:val="36"/>
        </w:rPr>
      </w:pPr>
    </w:p>
    <w:p w14:paraId="0406C5A9">
      <w:pPr>
        <w:pStyle w:val="16"/>
        <w:ind w:left="0" w:leftChars="0" w:firstLine="0"/>
        <w:jc w:val="center"/>
        <w:rPr>
          <w:rFonts w:hint="eastAsia" w:ascii="宋体" w:hAnsi="宋体" w:eastAsia="仿宋" w:cs="宋体"/>
          <w:b/>
          <w:color w:val="333333"/>
          <w:kern w:val="0"/>
          <w:sz w:val="36"/>
          <w:szCs w:val="36"/>
        </w:rPr>
      </w:pPr>
    </w:p>
    <w:p w14:paraId="595C1604">
      <w:pPr>
        <w:pStyle w:val="16"/>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672635CD">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72CE6FB4">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2E3260E4">
      <w:pPr>
        <w:pStyle w:val="16"/>
        <w:spacing w:before="0" w:beforeAutospacing="0" w:after="0" w:line="360" w:lineRule="auto"/>
        <w:ind w:left="0" w:leftChars="0" w:firstLine="482" w:firstLineChars="200"/>
        <w:jc w:val="left"/>
        <w:rPr>
          <w:rFonts w:hint="eastAsia"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13544E06"/>
    <w:p w14:paraId="7EDEF63B">
      <w:pPr>
        <w:pStyle w:val="16"/>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50C14AD3">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76A6FFFA">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317BA8F0">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8C6A527">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33EE1F5B">
      <w:pPr>
        <w:pStyle w:val="10"/>
        <w:adjustRightInd w:val="0"/>
        <w:snapToGrid w:val="0"/>
        <w:spacing w:line="360" w:lineRule="auto"/>
        <w:rPr>
          <w:rFonts w:hint="eastAsia" w:ascii="仿宋_GB2312" w:hAnsi="宋体" w:eastAsia="仿宋_GB2312"/>
          <w:b/>
        </w:rPr>
      </w:pPr>
    </w:p>
    <w:p w14:paraId="7BDED3A4">
      <w:pPr>
        <w:pStyle w:val="10"/>
        <w:adjustRightInd w:val="0"/>
        <w:snapToGrid w:val="0"/>
        <w:spacing w:line="360" w:lineRule="auto"/>
        <w:rPr>
          <w:rFonts w:hint="eastAsia" w:ascii="仿宋_GB2312" w:hAnsi="宋体" w:eastAsia="仿宋_GB2312"/>
          <w:b/>
        </w:rPr>
      </w:pPr>
      <w:r>
        <w:rPr>
          <w:rFonts w:hint="eastAsia" w:ascii="仿宋_GB2312" w:hAnsi="宋体" w:eastAsia="仿宋_GB2312"/>
          <w:b/>
        </w:rPr>
        <w:br w:type="page"/>
      </w:r>
    </w:p>
    <w:p w14:paraId="0E0310DF">
      <w:pPr>
        <w:pStyle w:val="10"/>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0172AB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3FF928D2">
      <w:pPr>
        <w:adjustRightInd w:val="0"/>
        <w:snapToGrid w:val="0"/>
        <w:spacing w:line="360" w:lineRule="auto"/>
        <w:rPr>
          <w:rFonts w:hint="eastAsia" w:ascii="仿宋_GB2312" w:hAnsi="宋体" w:eastAsia="仿宋_GB2312"/>
          <w:sz w:val="24"/>
          <w:szCs w:val="24"/>
        </w:rPr>
      </w:pPr>
    </w:p>
    <w:p w14:paraId="6C1A5FD9">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5A715FF">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我方已仔细研究了毛泽东思想和中国特色社会主义理论体系概论课程教学能力提升培训酒店食宿及会场</w:t>
      </w:r>
      <w:r>
        <w:rPr>
          <w:rFonts w:hint="eastAsia" w:ascii="仿宋" w:hAnsi="仿宋" w:eastAsia="仿宋"/>
          <w:sz w:val="24"/>
          <w:szCs w:val="24"/>
          <w:lang w:val="en-US" w:eastAsia="zh-CN"/>
        </w:rPr>
        <w:t>租赁</w:t>
      </w:r>
      <w:r>
        <w:rPr>
          <w:rFonts w:hint="eastAsia" w:ascii="仿宋" w:hAnsi="仿宋" w:eastAsia="仿宋"/>
          <w:sz w:val="24"/>
          <w:szCs w:val="24"/>
        </w:rPr>
        <w:t>服务</w:t>
      </w:r>
      <w:r>
        <w:rPr>
          <w:rFonts w:hint="eastAsia" w:ascii="仿宋" w:hAnsi="仿宋" w:eastAsia="仿宋"/>
          <w:sz w:val="24"/>
          <w:szCs w:val="24"/>
          <w:lang w:val="en-US" w:eastAsia="zh-CN"/>
        </w:rPr>
        <w:t>项目</w:t>
      </w:r>
      <w:r>
        <w:rPr>
          <w:rFonts w:hint="eastAsia" w:ascii="仿宋" w:hAnsi="仿宋" w:eastAsia="仿宋"/>
          <w:sz w:val="24"/>
          <w:szCs w:val="24"/>
        </w:rPr>
        <w:t>的询比采购文件的全部内容，知悉参加询比的风险，我方承诺接受询比采购文件的全部条款且无任何异议。</w:t>
      </w:r>
    </w:p>
    <w:p w14:paraId="4E02EF59">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26D356EC">
      <w:pPr>
        <w:pStyle w:val="10"/>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0F57DCE4">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7FC16755">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3303367A">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7DAF7F24">
      <w:pPr>
        <w:adjustRightInd w:val="0"/>
        <w:snapToGrid w:val="0"/>
        <w:spacing w:line="360" w:lineRule="auto"/>
        <w:ind w:right="24"/>
        <w:rPr>
          <w:rFonts w:hint="eastAsia" w:ascii="仿宋" w:hAnsi="仿宋" w:eastAsia="仿宋"/>
          <w:bCs/>
          <w:sz w:val="24"/>
          <w:szCs w:val="24"/>
        </w:rPr>
      </w:pPr>
    </w:p>
    <w:p w14:paraId="699E2781">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附1-1：</w:t>
      </w:r>
      <w:r>
        <w:rPr>
          <w:rFonts w:hint="eastAsia" w:ascii="仿宋" w:hAnsi="仿宋" w:eastAsia="仿宋"/>
          <w:sz w:val="24"/>
          <w:szCs w:val="24"/>
        </w:rPr>
        <w:t>法定代表人身份证明(法定代表人参加询比)</w:t>
      </w:r>
    </w:p>
    <w:p w14:paraId="259F8CBE">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附1-2</w:t>
      </w:r>
      <w:r>
        <w:rPr>
          <w:rFonts w:hint="eastAsia" w:ascii="仿宋" w:hAnsi="仿宋" w:eastAsia="仿宋"/>
          <w:sz w:val="24"/>
          <w:szCs w:val="24"/>
        </w:rPr>
        <w:t>：法定代表人授权书(委托代理人参加询比)</w:t>
      </w:r>
    </w:p>
    <w:p w14:paraId="3D9B1E79">
      <w:pPr>
        <w:pStyle w:val="10"/>
        <w:adjustRightInd w:val="0"/>
        <w:snapToGrid w:val="0"/>
        <w:spacing w:line="360" w:lineRule="auto"/>
        <w:rPr>
          <w:rFonts w:hint="eastAsia" w:ascii="仿宋" w:hAnsi="仿宋" w:eastAsia="仿宋"/>
          <w:sz w:val="24"/>
          <w:szCs w:val="24"/>
        </w:rPr>
      </w:pPr>
    </w:p>
    <w:p w14:paraId="1D25411F">
      <w:pPr>
        <w:pStyle w:val="10"/>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158165F5">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5DAA5600">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42A68203">
      <w:pPr>
        <w:adjustRightInd w:val="0"/>
        <w:snapToGrid w:val="0"/>
        <w:spacing w:line="360" w:lineRule="auto"/>
        <w:ind w:right="24"/>
        <w:rPr>
          <w:rFonts w:hint="eastAsia" w:ascii="仿宋" w:hAnsi="仿宋" w:eastAsia="仿宋"/>
          <w:bCs/>
          <w:sz w:val="24"/>
        </w:rPr>
      </w:pPr>
      <w:r>
        <w:rPr>
          <w:rFonts w:hint="eastAsia" w:ascii="仿宋" w:hAnsi="仿宋" w:eastAsia="仿宋"/>
          <w:bCs/>
          <w:sz w:val="24"/>
        </w:rPr>
        <w:br w:type="page"/>
      </w:r>
    </w:p>
    <w:p w14:paraId="6A5600E8">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附1-1：</w:t>
      </w:r>
    </w:p>
    <w:p w14:paraId="14016E70">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14:paraId="497400F0">
      <w:pPr>
        <w:snapToGrid w:val="0"/>
        <w:spacing w:line="480" w:lineRule="auto"/>
        <w:rPr>
          <w:rFonts w:hint="eastAsia" w:ascii="仿宋" w:hAnsi="仿宋" w:eastAsia="仿宋"/>
          <w:sz w:val="24"/>
          <w:szCs w:val="24"/>
        </w:rPr>
      </w:pPr>
    </w:p>
    <w:p w14:paraId="34159FCD">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3D431659">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427F44AB">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A989E9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0AFD94DD">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75426191">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2FDB994D">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1EF269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6E4EE778">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5EAD6A2B">
      <w:pPr>
        <w:adjustRightInd w:val="0"/>
        <w:snapToGrid w:val="0"/>
        <w:spacing w:line="360" w:lineRule="auto"/>
        <w:rPr>
          <w:rFonts w:hint="eastAsia" w:ascii="仿宋" w:hAnsi="仿宋" w:eastAsia="仿宋"/>
          <w:sz w:val="24"/>
          <w:szCs w:val="24"/>
        </w:rPr>
      </w:pPr>
    </w:p>
    <w:p w14:paraId="1ABF673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268497F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6841CF42">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5DAF3C7F">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附1-2</w:t>
      </w:r>
      <w:r>
        <w:rPr>
          <w:rFonts w:hint="eastAsia" w:ascii="仿宋" w:hAnsi="仿宋" w:eastAsia="仿宋"/>
          <w:sz w:val="24"/>
          <w:szCs w:val="24"/>
        </w:rPr>
        <w:t>：</w:t>
      </w:r>
    </w:p>
    <w:p w14:paraId="2962B979">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14:paraId="4BA3C4C2">
      <w:pPr>
        <w:adjustRightInd w:val="0"/>
        <w:snapToGrid w:val="0"/>
        <w:spacing w:line="360" w:lineRule="auto"/>
        <w:jc w:val="center"/>
        <w:rPr>
          <w:rFonts w:hint="eastAsia" w:ascii="仿宋" w:hAnsi="仿宋" w:eastAsia="仿宋"/>
          <w:b/>
          <w:sz w:val="24"/>
          <w:szCs w:val="24"/>
        </w:rPr>
      </w:pPr>
    </w:p>
    <w:p w14:paraId="37A94081">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0FB9E90B">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62613F43">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0048EEF8">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1459DCDA">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23D40CA2">
      <w:pPr>
        <w:adjustRightInd w:val="0"/>
        <w:snapToGrid w:val="0"/>
        <w:spacing w:line="360" w:lineRule="auto"/>
        <w:ind w:right="420"/>
        <w:rPr>
          <w:rFonts w:ascii="仿宋_GB2312" w:eastAsia="仿宋_GB2312"/>
          <w:sz w:val="24"/>
          <w:szCs w:val="24"/>
        </w:rPr>
      </w:pPr>
    </w:p>
    <w:p w14:paraId="2462E16F">
      <w:pPr>
        <w:adjustRightInd w:val="0"/>
        <w:snapToGrid w:val="0"/>
        <w:spacing w:line="360" w:lineRule="auto"/>
        <w:ind w:right="420"/>
        <w:rPr>
          <w:rFonts w:ascii="仿宋_GB2312" w:eastAsia="仿宋_GB2312"/>
          <w:sz w:val="24"/>
          <w:szCs w:val="24"/>
        </w:rPr>
      </w:pPr>
    </w:p>
    <w:p w14:paraId="78825750">
      <w:pPr>
        <w:adjustRightInd w:val="0"/>
        <w:snapToGrid w:val="0"/>
        <w:spacing w:line="360" w:lineRule="auto"/>
        <w:ind w:right="420"/>
        <w:rPr>
          <w:rFonts w:ascii="仿宋_GB2312" w:eastAsia="仿宋_GB2312"/>
          <w:sz w:val="24"/>
          <w:szCs w:val="24"/>
        </w:rPr>
      </w:pPr>
    </w:p>
    <w:p w14:paraId="67459CBD">
      <w:pPr>
        <w:adjustRightInd w:val="0"/>
        <w:snapToGrid w:val="0"/>
        <w:spacing w:line="360" w:lineRule="auto"/>
        <w:ind w:right="420"/>
        <w:rPr>
          <w:rFonts w:ascii="仿宋_GB2312" w:eastAsia="仿宋_GB2312"/>
          <w:sz w:val="24"/>
          <w:szCs w:val="24"/>
        </w:rPr>
      </w:pPr>
    </w:p>
    <w:p w14:paraId="2618EDCC">
      <w:pPr>
        <w:adjustRightInd w:val="0"/>
        <w:snapToGrid w:val="0"/>
        <w:spacing w:line="360" w:lineRule="auto"/>
        <w:ind w:right="420"/>
        <w:rPr>
          <w:rFonts w:ascii="仿宋_GB2312" w:eastAsia="仿宋_GB2312"/>
          <w:sz w:val="24"/>
          <w:szCs w:val="24"/>
        </w:rPr>
      </w:pPr>
    </w:p>
    <w:p w14:paraId="433595A8">
      <w:pPr>
        <w:adjustRightInd w:val="0"/>
        <w:snapToGrid w:val="0"/>
        <w:spacing w:line="360" w:lineRule="auto"/>
        <w:ind w:right="420"/>
        <w:rPr>
          <w:rFonts w:ascii="仿宋_GB2312" w:eastAsia="仿宋_GB2312"/>
          <w:sz w:val="24"/>
          <w:szCs w:val="24"/>
        </w:rPr>
      </w:pPr>
    </w:p>
    <w:p w14:paraId="1B407245">
      <w:pPr>
        <w:adjustRightInd w:val="0"/>
        <w:snapToGrid w:val="0"/>
        <w:spacing w:line="360" w:lineRule="auto"/>
        <w:ind w:right="420"/>
        <w:rPr>
          <w:rFonts w:ascii="仿宋_GB2312" w:eastAsia="仿宋_GB2312"/>
          <w:sz w:val="24"/>
          <w:szCs w:val="24"/>
        </w:rPr>
      </w:pPr>
    </w:p>
    <w:p w14:paraId="1392561F">
      <w:pPr>
        <w:adjustRightInd w:val="0"/>
        <w:snapToGrid w:val="0"/>
        <w:spacing w:line="360" w:lineRule="auto"/>
        <w:ind w:right="420"/>
        <w:rPr>
          <w:rFonts w:ascii="仿宋_GB2312" w:eastAsia="仿宋_GB2312"/>
          <w:sz w:val="24"/>
          <w:szCs w:val="24"/>
        </w:rPr>
      </w:pPr>
    </w:p>
    <w:p w14:paraId="35F6CCF3">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5F2E788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56F1C96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051FA5BA">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54295101">
      <w:pPr>
        <w:spacing w:line="360" w:lineRule="exact"/>
        <w:rPr>
          <w:rFonts w:ascii="仿宋_GB2312" w:eastAsia="仿宋_GB2312"/>
          <w:b/>
          <w:sz w:val="24"/>
          <w:szCs w:val="24"/>
        </w:rPr>
      </w:pPr>
    </w:p>
    <w:p w14:paraId="45C726EA"/>
    <w:p w14:paraId="12478F56">
      <w:r>
        <w:br w:type="page"/>
      </w:r>
    </w:p>
    <w:p w14:paraId="347DF5F2">
      <w:pPr>
        <w:pStyle w:val="16"/>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7813CCEE">
      <w:pPr>
        <w:jc w:val="center"/>
        <w:rPr>
          <w:rFonts w:hint="eastAsia" w:ascii="仿宋" w:hAnsi="仿宋" w:eastAsia="仿宋"/>
          <w:b/>
          <w:sz w:val="32"/>
          <w:szCs w:val="32"/>
        </w:rPr>
      </w:pPr>
      <w:r>
        <w:rPr>
          <w:rFonts w:ascii="仿宋" w:hAnsi="仿宋" w:eastAsia="仿宋"/>
          <w:b/>
          <w:sz w:val="32"/>
          <w:szCs w:val="32"/>
        </w:rPr>
        <w:t>报价函</w:t>
      </w:r>
    </w:p>
    <w:p w14:paraId="244D19E1">
      <w:pPr>
        <w:rPr>
          <w:rFonts w:hint="eastAsia" w:ascii="仿宋" w:hAnsi="仿宋" w:eastAsia="仿宋"/>
          <w:sz w:val="24"/>
          <w:szCs w:val="24"/>
        </w:rPr>
      </w:pPr>
      <w:r>
        <w:rPr>
          <w:rFonts w:hint="eastAsia" w:ascii="仿宋" w:hAnsi="仿宋" w:eastAsia="仿宋"/>
          <w:sz w:val="24"/>
          <w:szCs w:val="24"/>
        </w:rPr>
        <w:t xml:space="preserve">                               </w:t>
      </w:r>
    </w:p>
    <w:p w14:paraId="52C9491E">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0B6B95D4">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我公司仔细阅读了毛泽东思想和中国特色社会主义理论体系概论课程教学能力提升培训酒店食宿及会场</w:t>
      </w:r>
      <w:r>
        <w:rPr>
          <w:rFonts w:hint="eastAsia" w:ascii="仿宋" w:hAnsi="仿宋" w:eastAsia="仿宋"/>
          <w:sz w:val="24"/>
          <w:szCs w:val="24"/>
          <w:lang w:val="en-US" w:eastAsia="zh-CN"/>
        </w:rPr>
        <w:t>租赁</w:t>
      </w:r>
      <w:r>
        <w:rPr>
          <w:rFonts w:hint="eastAsia" w:ascii="仿宋" w:hAnsi="仿宋" w:eastAsia="仿宋"/>
          <w:sz w:val="24"/>
          <w:szCs w:val="24"/>
        </w:rPr>
        <w:t>服务项</w:t>
      </w:r>
      <w:r>
        <w:rPr>
          <w:rFonts w:hint="eastAsia" w:ascii="仿宋" w:hAnsi="仿宋" w:eastAsia="仿宋"/>
          <w:sz w:val="24"/>
          <w:szCs w:val="24"/>
          <w:u w:val="none"/>
        </w:rPr>
        <w:t>目询</w:t>
      </w:r>
      <w:r>
        <w:rPr>
          <w:rFonts w:hint="eastAsia" w:ascii="仿宋" w:hAnsi="仿宋" w:eastAsia="仿宋"/>
          <w:sz w:val="24"/>
          <w:szCs w:val="24"/>
        </w:rPr>
        <w:t>比文件，清楚文件中关于本项目的相关采购需求。</w:t>
      </w:r>
    </w:p>
    <w:p w14:paraId="3133E168">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27654756">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 xml:space="preserve">我司最终报价如下： </w:t>
      </w:r>
    </w:p>
    <w:p w14:paraId="1FCDFDBD">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1.住宿、餐饮报价</w:t>
      </w:r>
    </w:p>
    <w:tbl>
      <w:tblPr>
        <w:tblStyle w:val="18"/>
        <w:tblW w:w="500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4"/>
        <w:gridCol w:w="4122"/>
        <w:gridCol w:w="1538"/>
      </w:tblGrid>
      <w:tr w14:paraId="3847F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80" w:type="pct"/>
            <w:vAlign w:val="center"/>
          </w:tcPr>
          <w:p w14:paraId="0BFEBD06">
            <w:pPr>
              <w:keepNext w:val="0"/>
              <w:keepLines w:val="0"/>
              <w:widowControl/>
              <w:suppressLineNumbers w:val="0"/>
              <w:spacing w:before="0" w:beforeAutospacing="0" w:after="0" w:afterAutospacing="0" w:line="450" w:lineRule="atLeast"/>
              <w:ind w:left="0" w:right="0"/>
              <w:jc w:val="center"/>
              <w:textAlignment w:val="baseline"/>
              <w:rPr>
                <w:rFonts w:hint="eastAsia" w:ascii="仿宋" w:hAnsi="仿宋" w:eastAsia="仿宋" w:cs="仿宋"/>
                <w:sz w:val="24"/>
                <w:szCs w:val="24"/>
              </w:rPr>
            </w:pPr>
            <w:r>
              <w:rPr>
                <w:rFonts w:hint="eastAsia" w:ascii="仿宋" w:hAnsi="仿宋" w:eastAsia="仿宋" w:cs="仿宋"/>
                <w:sz w:val="24"/>
                <w:szCs w:val="24"/>
              </w:rPr>
              <w:t>类型</w:t>
            </w:r>
          </w:p>
        </w:tc>
        <w:tc>
          <w:tcPr>
            <w:tcW w:w="2418" w:type="pct"/>
            <w:vAlign w:val="center"/>
          </w:tcPr>
          <w:p w14:paraId="46A655D6">
            <w:pPr>
              <w:keepNext w:val="0"/>
              <w:keepLines w:val="0"/>
              <w:widowControl/>
              <w:suppressLineNumbers w:val="0"/>
              <w:spacing w:before="0" w:beforeAutospacing="0" w:after="0" w:afterAutospacing="0" w:line="450" w:lineRule="atLeast"/>
              <w:ind w:left="0" w:right="0"/>
              <w:jc w:val="center"/>
              <w:textAlignment w:val="baseline"/>
              <w:rPr>
                <w:rFonts w:hint="eastAsia" w:ascii="仿宋" w:hAnsi="仿宋" w:eastAsia="仿宋" w:cs="仿宋"/>
                <w:sz w:val="24"/>
                <w:szCs w:val="24"/>
              </w:rPr>
            </w:pPr>
            <w:r>
              <w:rPr>
                <w:rFonts w:hint="eastAsia" w:ascii="仿宋" w:hAnsi="仿宋" w:eastAsia="仿宋" w:cs="仿宋"/>
                <w:sz w:val="24"/>
                <w:szCs w:val="24"/>
              </w:rPr>
              <w:t>报价</w:t>
            </w:r>
          </w:p>
        </w:tc>
        <w:tc>
          <w:tcPr>
            <w:tcW w:w="902" w:type="pct"/>
            <w:vAlign w:val="center"/>
          </w:tcPr>
          <w:p w14:paraId="6EBA517E">
            <w:pPr>
              <w:keepNext w:val="0"/>
              <w:keepLines w:val="0"/>
              <w:widowControl/>
              <w:suppressLineNumbers w:val="0"/>
              <w:spacing w:before="0" w:beforeAutospacing="0" w:after="0" w:afterAutospacing="0" w:line="450" w:lineRule="atLeast"/>
              <w:ind w:left="0" w:right="0"/>
              <w:jc w:val="center"/>
              <w:textAlignment w:val="baseline"/>
              <w:rPr>
                <w:rFonts w:hint="eastAsia" w:ascii="仿宋" w:hAnsi="仿宋" w:eastAsia="仿宋" w:cs="仿宋"/>
                <w:sz w:val="24"/>
                <w:szCs w:val="24"/>
              </w:rPr>
            </w:pPr>
            <w:r>
              <w:rPr>
                <w:rFonts w:hint="default" w:ascii="仿宋" w:hAnsi="仿宋" w:eastAsia="仿宋" w:cs="仿宋"/>
                <w:sz w:val="24"/>
                <w:szCs w:val="24"/>
              </w:rPr>
              <w:t>说明</w:t>
            </w:r>
          </w:p>
        </w:tc>
      </w:tr>
      <w:tr w14:paraId="7EF9D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680" w:type="pct"/>
            <w:vAlign w:val="center"/>
          </w:tcPr>
          <w:p w14:paraId="28F45C7A">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仿宋" w:cs="仿宋"/>
                <w:sz w:val="24"/>
                <w:szCs w:val="24"/>
              </w:rPr>
            </w:pPr>
            <w:r>
              <w:rPr>
                <w:rFonts w:hint="eastAsia" w:ascii="仿宋" w:hAnsi="仿宋" w:eastAsia="仿宋" w:cs="仿宋"/>
                <w:sz w:val="24"/>
                <w:szCs w:val="24"/>
              </w:rPr>
              <w:t>标准双人间（普通标间）</w:t>
            </w:r>
          </w:p>
        </w:tc>
        <w:tc>
          <w:tcPr>
            <w:tcW w:w="2418" w:type="pct"/>
            <w:vAlign w:val="center"/>
          </w:tcPr>
          <w:p w14:paraId="418C8265">
            <w:pPr>
              <w:keepNext w:val="0"/>
              <w:keepLines w:val="0"/>
              <w:widowControl/>
              <w:suppressLineNumbers w:val="0"/>
              <w:spacing w:before="0" w:beforeAutospacing="0" w:after="0" w:afterAutospacing="0" w:line="450" w:lineRule="atLeast"/>
              <w:ind w:left="0" w:right="0"/>
              <w:textAlignment w:val="baseline"/>
              <w:rPr>
                <w:rFonts w:hint="eastAsia" w:ascii="仿宋" w:hAnsi="仿宋" w:eastAsia="仿宋" w:cs="仿宋"/>
                <w:sz w:val="24"/>
                <w:szCs w:val="24"/>
              </w:rPr>
            </w:pPr>
            <w:r>
              <w:rPr>
                <w:rFonts w:hint="eastAsia" w:ascii="仿宋" w:hAnsi="仿宋" w:eastAsia="仿宋" w:cs="仿宋"/>
                <w:sz w:val="24"/>
                <w:szCs w:val="24"/>
                <w:u w:val="single"/>
              </w:rPr>
              <w:t xml:space="preserve">   </w:t>
            </w:r>
            <w:r>
              <w:rPr>
                <w:rFonts w:hint="default" w:ascii="仿宋" w:hAnsi="仿宋" w:eastAsia="仿宋" w:cs="仿宋"/>
                <w:sz w:val="24"/>
                <w:szCs w:val="24"/>
                <w:u w:val="single"/>
              </w:rPr>
              <w:t xml:space="preserve"> </w:t>
            </w:r>
            <w:r>
              <w:rPr>
                <w:rFonts w:hint="eastAsia" w:ascii="仿宋" w:hAnsi="仿宋" w:eastAsia="仿宋" w:cs="仿宋"/>
                <w:sz w:val="24"/>
                <w:szCs w:val="24"/>
                <w:u w:val="single"/>
              </w:rPr>
              <w:t xml:space="preserve"> </w:t>
            </w:r>
            <w:r>
              <w:rPr>
                <w:rFonts w:hint="default" w:ascii="仿宋" w:hAnsi="仿宋" w:eastAsia="仿宋" w:cs="仿宋"/>
                <w:sz w:val="24"/>
                <w:szCs w:val="24"/>
                <w:u w:val="single"/>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元/间·天（含双早）</w:t>
            </w:r>
          </w:p>
        </w:tc>
        <w:tc>
          <w:tcPr>
            <w:tcW w:w="902" w:type="pct"/>
            <w:vAlign w:val="center"/>
          </w:tcPr>
          <w:p w14:paraId="1E889B77">
            <w:pPr>
              <w:keepNext w:val="0"/>
              <w:keepLines w:val="0"/>
              <w:widowControl/>
              <w:suppressLineNumbers w:val="0"/>
              <w:spacing w:before="0" w:beforeAutospacing="0" w:after="0" w:afterAutospacing="0" w:line="300" w:lineRule="atLeast"/>
              <w:ind w:left="0" w:right="0"/>
              <w:jc w:val="center"/>
              <w:textAlignment w:val="baseline"/>
              <w:rPr>
                <w:rFonts w:hint="eastAsia" w:ascii="宋体" w:hAnsi="宋体" w:cs="宋体"/>
                <w:szCs w:val="21"/>
              </w:rPr>
            </w:pPr>
            <w:r>
              <w:rPr>
                <w:rFonts w:hint="eastAsia" w:ascii="宋体" w:hAnsi="宋体" w:cs="宋体"/>
                <w:szCs w:val="21"/>
              </w:rPr>
              <w:t>限价≤220元 /间</w:t>
            </w:r>
            <w:r>
              <w:rPr>
                <w:rFonts w:hint="eastAsia" w:ascii="仿宋" w:hAnsi="仿宋" w:eastAsia="仿宋" w:cs="仿宋"/>
                <w:sz w:val="24"/>
                <w:szCs w:val="24"/>
              </w:rPr>
              <w:t>·天</w:t>
            </w:r>
          </w:p>
        </w:tc>
      </w:tr>
      <w:tr w14:paraId="38437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680" w:type="pct"/>
            <w:vAlign w:val="center"/>
          </w:tcPr>
          <w:p w14:paraId="5242C83D">
            <w:pPr>
              <w:keepNext w:val="0"/>
              <w:keepLines w:val="0"/>
              <w:widowControl/>
              <w:suppressLineNumbers w:val="0"/>
              <w:spacing w:before="0" w:beforeAutospacing="0" w:after="0" w:afterAutospacing="0" w:line="450" w:lineRule="atLeast"/>
              <w:ind w:left="0" w:right="0"/>
              <w:jc w:val="center"/>
              <w:textAlignment w:val="baseline"/>
              <w:rPr>
                <w:rFonts w:hint="eastAsia" w:ascii="仿宋" w:hAnsi="仿宋" w:eastAsia="仿宋" w:cs="仿宋"/>
                <w:sz w:val="24"/>
                <w:szCs w:val="24"/>
              </w:rPr>
            </w:pPr>
            <w:r>
              <w:rPr>
                <w:rFonts w:hint="eastAsia" w:ascii="仿宋" w:hAnsi="仿宋" w:eastAsia="仿宋" w:cs="仿宋"/>
                <w:sz w:val="24"/>
                <w:szCs w:val="24"/>
              </w:rPr>
              <w:t>正餐自助餐（中/晚餐）</w:t>
            </w:r>
          </w:p>
        </w:tc>
        <w:tc>
          <w:tcPr>
            <w:tcW w:w="2418" w:type="pct"/>
            <w:vAlign w:val="center"/>
          </w:tcPr>
          <w:p w14:paraId="6708A4CC">
            <w:pPr>
              <w:keepNext w:val="0"/>
              <w:keepLines w:val="0"/>
              <w:widowControl/>
              <w:suppressLineNumbers w:val="0"/>
              <w:tabs>
                <w:tab w:val="left" w:pos="3470"/>
              </w:tabs>
              <w:spacing w:before="0" w:beforeAutospacing="0" w:after="0" w:afterAutospacing="0" w:line="450" w:lineRule="atLeast"/>
              <w:ind w:left="0" w:right="-108"/>
              <w:jc w:val="left"/>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元/人·</w:t>
            </w:r>
            <w:r>
              <w:rPr>
                <w:rFonts w:hint="eastAsia" w:ascii="仿宋" w:hAnsi="仿宋" w:eastAsia="仿宋" w:cs="仿宋"/>
                <w:color w:val="auto"/>
                <w:sz w:val="24"/>
                <w:szCs w:val="24"/>
                <w:lang w:val="en-US" w:eastAsia="zh-CN"/>
              </w:rPr>
              <w:t>餐</w:t>
            </w:r>
            <w:r>
              <w:rPr>
                <w:rFonts w:hint="eastAsia" w:ascii="仿宋" w:hAnsi="仿宋" w:eastAsia="仿宋" w:cs="仿宋"/>
                <w:color w:val="auto"/>
                <w:sz w:val="24"/>
                <w:szCs w:val="24"/>
              </w:rPr>
              <w:t>（中/晚餐）</w:t>
            </w:r>
          </w:p>
        </w:tc>
        <w:tc>
          <w:tcPr>
            <w:tcW w:w="902" w:type="pct"/>
            <w:vAlign w:val="center"/>
          </w:tcPr>
          <w:p w14:paraId="7989E51C">
            <w:pPr>
              <w:keepNext w:val="0"/>
              <w:keepLines w:val="0"/>
              <w:widowControl/>
              <w:suppressLineNumbers w:val="0"/>
              <w:spacing w:before="0" w:beforeAutospacing="0" w:after="0" w:afterAutospacing="0" w:line="300" w:lineRule="atLeast"/>
              <w:ind w:left="0" w:right="0"/>
              <w:jc w:val="center"/>
              <w:textAlignment w:val="baseline"/>
              <w:rPr>
                <w:rFonts w:hint="eastAsia" w:ascii="宋体" w:hAnsi="宋体" w:eastAsia="宋体" w:cs="宋体"/>
                <w:color w:val="auto"/>
                <w:szCs w:val="21"/>
                <w:lang w:eastAsia="zh-CN"/>
              </w:rPr>
            </w:pPr>
            <w:r>
              <w:rPr>
                <w:rFonts w:hint="eastAsia" w:ascii="宋体" w:hAnsi="宋体" w:cs="宋体"/>
                <w:color w:val="auto"/>
                <w:szCs w:val="21"/>
              </w:rPr>
              <w:t>限价≤</w:t>
            </w:r>
            <w:r>
              <w:rPr>
                <w:rFonts w:hint="eastAsia" w:ascii="宋体" w:hAnsi="宋体" w:cs="宋体"/>
                <w:color w:val="auto"/>
                <w:szCs w:val="21"/>
                <w:lang w:val="en-US" w:eastAsia="zh-CN"/>
              </w:rPr>
              <w:t>50</w:t>
            </w:r>
            <w:r>
              <w:rPr>
                <w:rFonts w:hint="eastAsia" w:ascii="宋体" w:hAnsi="宋体" w:cs="宋体"/>
                <w:color w:val="auto"/>
                <w:szCs w:val="21"/>
              </w:rPr>
              <w:t>元/</w:t>
            </w:r>
            <w:r>
              <w:rPr>
                <w:rFonts w:hint="eastAsia" w:ascii="仿宋" w:hAnsi="仿宋" w:eastAsia="仿宋" w:cs="仿宋"/>
                <w:color w:val="auto"/>
                <w:sz w:val="24"/>
                <w:szCs w:val="24"/>
              </w:rPr>
              <w:t>人·</w:t>
            </w:r>
            <w:r>
              <w:rPr>
                <w:rFonts w:hint="eastAsia" w:ascii="宋体" w:hAnsi="宋体" w:cs="宋体"/>
                <w:color w:val="auto"/>
                <w:szCs w:val="21"/>
                <w:lang w:val="en-US" w:eastAsia="zh-CN"/>
              </w:rPr>
              <w:t>餐</w:t>
            </w:r>
          </w:p>
        </w:tc>
      </w:tr>
    </w:tbl>
    <w:p w14:paraId="0F205ECC">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2.会场报价</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8"/>
        <w:gridCol w:w="1865"/>
        <w:gridCol w:w="1408"/>
        <w:gridCol w:w="1410"/>
        <w:gridCol w:w="1481"/>
      </w:tblGrid>
      <w:tr w14:paraId="40CB5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384" w:type="pct"/>
            <w:vAlign w:val="center"/>
          </w:tcPr>
          <w:p w14:paraId="08AF3973">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仿宋" w:cs="仿宋"/>
                <w:sz w:val="24"/>
                <w:szCs w:val="24"/>
              </w:rPr>
            </w:pPr>
            <w:bookmarkStart w:id="9" w:name="OLE_LINK22"/>
            <w:r>
              <w:rPr>
                <w:rFonts w:hint="default" w:ascii="仿宋" w:hAnsi="仿宋" w:eastAsia="仿宋" w:cs="仿宋"/>
                <w:sz w:val="24"/>
                <w:szCs w:val="24"/>
              </w:rPr>
              <w:t>会场类型</w:t>
            </w:r>
          </w:p>
        </w:tc>
        <w:tc>
          <w:tcPr>
            <w:tcW w:w="1094" w:type="pct"/>
            <w:vAlign w:val="center"/>
          </w:tcPr>
          <w:p w14:paraId="453BA168">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报价（元/</w:t>
            </w:r>
            <w:r>
              <w:rPr>
                <w:rFonts w:hint="eastAsia" w:ascii="仿宋" w:hAnsi="仿宋" w:eastAsia="仿宋" w:cs="仿宋"/>
                <w:color w:val="auto"/>
                <w:sz w:val="24"/>
                <w:szCs w:val="24"/>
                <w:lang w:val="en-US" w:eastAsia="zh-CN"/>
              </w:rPr>
              <w:t>天</w:t>
            </w:r>
            <w:r>
              <w:rPr>
                <w:rFonts w:hint="eastAsia" w:ascii="仿宋" w:hAnsi="仿宋" w:eastAsia="仿宋" w:cs="仿宋"/>
                <w:color w:val="auto"/>
                <w:sz w:val="24"/>
                <w:szCs w:val="24"/>
              </w:rPr>
              <w:t>）</w:t>
            </w:r>
          </w:p>
        </w:tc>
        <w:tc>
          <w:tcPr>
            <w:tcW w:w="826" w:type="pct"/>
            <w:vAlign w:val="center"/>
          </w:tcPr>
          <w:p w14:paraId="1BABE834">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面积（㎡）</w:t>
            </w:r>
          </w:p>
        </w:tc>
        <w:tc>
          <w:tcPr>
            <w:tcW w:w="827" w:type="pct"/>
            <w:vAlign w:val="center"/>
          </w:tcPr>
          <w:p w14:paraId="7B4950AA">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可容纳</w:t>
            </w:r>
          </w:p>
          <w:p w14:paraId="2CF7C911">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人数</w:t>
            </w:r>
          </w:p>
        </w:tc>
        <w:tc>
          <w:tcPr>
            <w:tcW w:w="869" w:type="pct"/>
            <w:vAlign w:val="center"/>
          </w:tcPr>
          <w:p w14:paraId="2832D2BD">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仿宋" w:cs="仿宋"/>
                <w:color w:val="auto"/>
                <w:sz w:val="24"/>
                <w:szCs w:val="24"/>
              </w:rPr>
            </w:pPr>
            <w:r>
              <w:rPr>
                <w:rFonts w:hint="default" w:ascii="仿宋" w:hAnsi="仿宋" w:eastAsia="仿宋" w:cs="仿宋"/>
                <w:color w:val="auto"/>
                <w:sz w:val="24"/>
                <w:szCs w:val="24"/>
              </w:rPr>
              <w:t>说明</w:t>
            </w:r>
          </w:p>
        </w:tc>
      </w:tr>
      <w:tr w14:paraId="4FA78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384" w:type="pct"/>
            <w:vAlign w:val="center"/>
          </w:tcPr>
          <w:p w14:paraId="54B10AA9">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仿宋" w:cs="仿宋"/>
                <w:sz w:val="24"/>
                <w:szCs w:val="24"/>
              </w:rPr>
            </w:pPr>
            <w:r>
              <w:rPr>
                <w:rFonts w:hint="eastAsia" w:ascii="仿宋" w:hAnsi="仿宋" w:eastAsia="仿宋" w:cs="仿宋"/>
                <w:sz w:val="24"/>
                <w:szCs w:val="24"/>
              </w:rPr>
              <w:t>18</w:t>
            </w:r>
            <w:r>
              <w:rPr>
                <w:rFonts w:hint="default" w:ascii="仿宋" w:hAnsi="仿宋" w:eastAsia="仿宋" w:cs="仿宋"/>
                <w:sz w:val="24"/>
                <w:szCs w:val="24"/>
              </w:rPr>
              <w:t>0平米以上</w:t>
            </w:r>
            <w:r>
              <w:rPr>
                <w:rFonts w:hint="eastAsia" w:ascii="仿宋" w:hAnsi="仿宋" w:eastAsia="仿宋" w:cs="仿宋"/>
                <w:sz w:val="24"/>
                <w:szCs w:val="24"/>
              </w:rPr>
              <w:t>且能容纳15</w:t>
            </w:r>
            <w:r>
              <w:rPr>
                <w:rFonts w:hint="default" w:ascii="仿宋" w:hAnsi="仿宋" w:eastAsia="仿宋" w:cs="仿宋"/>
                <w:sz w:val="24"/>
                <w:szCs w:val="24"/>
              </w:rPr>
              <w:t>0人以上</w:t>
            </w:r>
            <w:r>
              <w:rPr>
                <w:rFonts w:hint="eastAsia" w:ascii="仿宋" w:hAnsi="仿宋" w:eastAsia="仿宋" w:cs="仿宋"/>
                <w:sz w:val="24"/>
                <w:szCs w:val="24"/>
              </w:rPr>
              <w:t>会场</w:t>
            </w:r>
          </w:p>
        </w:tc>
        <w:tc>
          <w:tcPr>
            <w:tcW w:w="1094" w:type="pct"/>
            <w:vAlign w:val="center"/>
          </w:tcPr>
          <w:p w14:paraId="26F2CCFD">
            <w:pPr>
              <w:keepNext w:val="0"/>
              <w:keepLines w:val="0"/>
              <w:widowControl/>
              <w:suppressLineNumbers w:val="0"/>
              <w:spacing w:before="0" w:beforeAutospacing="0" w:after="0" w:afterAutospacing="0" w:line="300" w:lineRule="atLeast"/>
              <w:ind w:left="0" w:right="0"/>
              <w:jc w:val="left"/>
              <w:textAlignment w:val="baseline"/>
              <w:rPr>
                <w:rFonts w:hint="eastAsia" w:ascii="仿宋" w:hAnsi="仿宋" w:eastAsia="仿宋" w:cs="仿宋"/>
                <w:color w:val="auto"/>
                <w:sz w:val="24"/>
                <w:szCs w:val="24"/>
                <w:lang w:eastAsia="zh-CN"/>
              </w:rPr>
            </w:pPr>
            <w:r>
              <w:rPr>
                <w:rFonts w:hint="default" w:ascii="仿宋" w:hAnsi="仿宋" w:eastAsia="仿宋" w:cs="仿宋"/>
                <w:color w:val="auto"/>
                <w:sz w:val="24"/>
                <w:szCs w:val="24"/>
              </w:rPr>
              <w:t>________</w:t>
            </w:r>
            <w:r>
              <w:rPr>
                <w:rFonts w:hint="eastAsia" w:ascii="仿宋" w:hAnsi="仿宋" w:eastAsia="仿宋" w:cs="仿宋"/>
                <w:color w:val="auto"/>
                <w:sz w:val="24"/>
                <w:szCs w:val="24"/>
              </w:rPr>
              <w:t>元/</w:t>
            </w:r>
            <w:r>
              <w:rPr>
                <w:rFonts w:hint="eastAsia" w:ascii="仿宋" w:hAnsi="仿宋" w:eastAsia="仿宋" w:cs="仿宋"/>
                <w:color w:val="auto"/>
                <w:sz w:val="24"/>
                <w:szCs w:val="24"/>
                <w:lang w:val="en-US" w:eastAsia="zh-CN"/>
              </w:rPr>
              <w:t>天</w:t>
            </w:r>
          </w:p>
        </w:tc>
        <w:tc>
          <w:tcPr>
            <w:tcW w:w="826" w:type="pct"/>
            <w:vAlign w:val="center"/>
          </w:tcPr>
          <w:p w14:paraId="4BAEC659">
            <w:pPr>
              <w:keepNext w:val="0"/>
              <w:keepLines w:val="0"/>
              <w:widowControl/>
              <w:suppressLineNumbers w:val="0"/>
              <w:spacing w:before="0" w:beforeAutospacing="0" w:after="0" w:afterAutospacing="0" w:line="300" w:lineRule="atLeast"/>
              <w:ind w:left="0" w:right="0"/>
              <w:jc w:val="right"/>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w:t>
            </w:r>
          </w:p>
        </w:tc>
        <w:tc>
          <w:tcPr>
            <w:tcW w:w="827" w:type="pct"/>
            <w:vAlign w:val="center"/>
          </w:tcPr>
          <w:p w14:paraId="0AFC2644">
            <w:pPr>
              <w:keepNext w:val="0"/>
              <w:keepLines w:val="0"/>
              <w:widowControl/>
              <w:suppressLineNumbers w:val="0"/>
              <w:spacing w:before="0" w:beforeAutospacing="0" w:after="0" w:afterAutospacing="0" w:line="300" w:lineRule="atLeast"/>
              <w:ind w:left="0" w:right="0"/>
              <w:jc w:val="right"/>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人</w:t>
            </w:r>
          </w:p>
        </w:tc>
        <w:tc>
          <w:tcPr>
            <w:tcW w:w="869" w:type="pct"/>
            <w:vAlign w:val="center"/>
          </w:tcPr>
          <w:p w14:paraId="5722085B">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宋体" w:cs="仿宋"/>
                <w:color w:val="auto"/>
                <w:szCs w:val="21"/>
                <w:lang w:eastAsia="zh-CN"/>
              </w:rPr>
            </w:pPr>
            <w:r>
              <w:rPr>
                <w:rFonts w:hint="eastAsia" w:ascii="宋体" w:hAnsi="宋体" w:cs="宋体"/>
                <w:color w:val="auto"/>
                <w:szCs w:val="21"/>
              </w:rPr>
              <w:t>限价≤</w:t>
            </w:r>
            <w:r>
              <w:rPr>
                <w:rFonts w:hint="eastAsia" w:ascii="宋体" w:hAnsi="宋体" w:cs="宋体"/>
                <w:color w:val="auto"/>
                <w:szCs w:val="21"/>
                <w:lang w:val="en-US" w:eastAsia="zh-CN"/>
              </w:rPr>
              <w:t>80</w:t>
            </w:r>
            <w:r>
              <w:rPr>
                <w:rFonts w:hint="eastAsia" w:ascii="宋体" w:hAnsi="宋体" w:cs="宋体"/>
                <w:color w:val="auto"/>
                <w:szCs w:val="21"/>
              </w:rPr>
              <w:t>0 元 /</w:t>
            </w:r>
            <w:r>
              <w:rPr>
                <w:rFonts w:hint="eastAsia" w:ascii="宋体" w:hAnsi="宋体" w:cs="宋体"/>
                <w:color w:val="auto"/>
                <w:szCs w:val="21"/>
                <w:lang w:val="en-US" w:eastAsia="zh-CN"/>
              </w:rPr>
              <w:t>天</w:t>
            </w:r>
          </w:p>
        </w:tc>
      </w:tr>
      <w:tr w14:paraId="36F39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384" w:type="pct"/>
            <w:vAlign w:val="center"/>
          </w:tcPr>
          <w:p w14:paraId="67F86DA2">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仿宋" w:cs="仿宋"/>
                <w:sz w:val="24"/>
                <w:szCs w:val="24"/>
              </w:rPr>
            </w:pPr>
            <w:r>
              <w:rPr>
                <w:rFonts w:hint="eastAsia" w:ascii="仿宋" w:hAnsi="仿宋" w:eastAsia="仿宋" w:cs="仿宋"/>
                <w:sz w:val="24"/>
                <w:szCs w:val="24"/>
              </w:rPr>
              <w:t>60</w:t>
            </w:r>
            <w:r>
              <w:rPr>
                <w:rFonts w:hint="eastAsia" w:ascii="仿宋" w:hAnsi="仿宋" w:eastAsia="仿宋" w:cs="仿宋"/>
                <w:sz w:val="24"/>
                <w:szCs w:val="24"/>
                <w:lang w:val="en-US" w:eastAsia="zh-CN"/>
              </w:rPr>
              <w:t>-180</w:t>
            </w:r>
            <w:r>
              <w:rPr>
                <w:rFonts w:hint="default" w:ascii="仿宋" w:hAnsi="仿宋" w:eastAsia="仿宋" w:cs="仿宋"/>
                <w:sz w:val="24"/>
                <w:szCs w:val="24"/>
              </w:rPr>
              <w:t>平米</w:t>
            </w:r>
            <w:r>
              <w:rPr>
                <w:rFonts w:hint="eastAsia" w:ascii="仿宋" w:hAnsi="仿宋" w:eastAsia="仿宋" w:cs="仿宋"/>
                <w:sz w:val="24"/>
                <w:szCs w:val="24"/>
              </w:rPr>
              <w:t>且能容纳60人以上会场</w:t>
            </w:r>
          </w:p>
        </w:tc>
        <w:tc>
          <w:tcPr>
            <w:tcW w:w="1094" w:type="pct"/>
            <w:vAlign w:val="center"/>
          </w:tcPr>
          <w:p w14:paraId="4092CB39">
            <w:pPr>
              <w:keepNext w:val="0"/>
              <w:keepLines w:val="0"/>
              <w:widowControl/>
              <w:suppressLineNumbers w:val="0"/>
              <w:spacing w:before="0" w:beforeAutospacing="0" w:after="0" w:afterAutospacing="0" w:line="300" w:lineRule="atLeast"/>
              <w:ind w:left="0" w:right="0"/>
              <w:jc w:val="left"/>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____</w:t>
            </w:r>
            <w:r>
              <w:rPr>
                <w:rFonts w:hint="default" w:ascii="仿宋" w:hAnsi="仿宋" w:eastAsia="仿宋" w:cs="仿宋"/>
                <w:color w:val="auto"/>
                <w:sz w:val="24"/>
                <w:szCs w:val="24"/>
              </w:rPr>
              <w:t>____</w:t>
            </w:r>
            <w:r>
              <w:rPr>
                <w:rFonts w:hint="eastAsia" w:ascii="仿宋" w:hAnsi="仿宋" w:eastAsia="仿宋" w:cs="仿宋"/>
                <w:color w:val="auto"/>
                <w:sz w:val="24"/>
                <w:szCs w:val="24"/>
              </w:rPr>
              <w:t>元/</w:t>
            </w:r>
            <w:r>
              <w:rPr>
                <w:rFonts w:hint="eastAsia" w:ascii="仿宋" w:hAnsi="仿宋" w:eastAsia="仿宋" w:cs="仿宋"/>
                <w:color w:val="auto"/>
                <w:sz w:val="24"/>
                <w:szCs w:val="24"/>
                <w:lang w:val="en-US" w:eastAsia="zh-CN"/>
              </w:rPr>
              <w:t>天</w:t>
            </w:r>
          </w:p>
        </w:tc>
        <w:tc>
          <w:tcPr>
            <w:tcW w:w="826" w:type="pct"/>
            <w:vAlign w:val="center"/>
          </w:tcPr>
          <w:p w14:paraId="5A8B2EB6">
            <w:pPr>
              <w:keepNext w:val="0"/>
              <w:keepLines w:val="0"/>
              <w:widowControl/>
              <w:suppressLineNumbers w:val="0"/>
              <w:spacing w:before="0" w:beforeAutospacing="0" w:after="0" w:afterAutospacing="0" w:line="300" w:lineRule="atLeast"/>
              <w:ind w:left="0" w:right="0"/>
              <w:jc w:val="right"/>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w:t>
            </w:r>
          </w:p>
        </w:tc>
        <w:tc>
          <w:tcPr>
            <w:tcW w:w="827" w:type="pct"/>
            <w:vAlign w:val="center"/>
          </w:tcPr>
          <w:p w14:paraId="288BD043">
            <w:pPr>
              <w:keepNext w:val="0"/>
              <w:keepLines w:val="0"/>
              <w:widowControl/>
              <w:suppressLineNumbers w:val="0"/>
              <w:spacing w:before="0" w:beforeAutospacing="0" w:after="0" w:afterAutospacing="0" w:line="300" w:lineRule="atLeast"/>
              <w:ind w:left="0" w:right="0"/>
              <w:jc w:val="right"/>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人</w:t>
            </w:r>
          </w:p>
        </w:tc>
        <w:tc>
          <w:tcPr>
            <w:tcW w:w="869" w:type="pct"/>
            <w:vAlign w:val="center"/>
          </w:tcPr>
          <w:p w14:paraId="3A5701FA">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仿宋" w:cs="仿宋"/>
                <w:color w:val="auto"/>
                <w:szCs w:val="21"/>
              </w:rPr>
            </w:pPr>
            <w:r>
              <w:rPr>
                <w:rFonts w:hint="eastAsia" w:ascii="宋体" w:hAnsi="宋体" w:cs="宋体"/>
                <w:color w:val="auto"/>
                <w:szCs w:val="21"/>
              </w:rPr>
              <w:t>限价≤600 元 /</w:t>
            </w:r>
            <w:r>
              <w:rPr>
                <w:rFonts w:hint="eastAsia" w:ascii="仿宋" w:hAnsi="仿宋" w:eastAsia="仿宋" w:cs="仿宋"/>
                <w:color w:val="auto"/>
                <w:sz w:val="24"/>
                <w:szCs w:val="24"/>
                <w:lang w:val="en-US" w:eastAsia="zh-CN"/>
              </w:rPr>
              <w:t>天</w:t>
            </w:r>
          </w:p>
        </w:tc>
      </w:tr>
      <w:bookmarkEnd w:id="9"/>
    </w:tbl>
    <w:p w14:paraId="798D9FB1">
      <w:pPr>
        <w:adjustRightInd w:val="0"/>
        <w:snapToGrid w:val="0"/>
        <w:spacing w:line="360" w:lineRule="auto"/>
        <w:ind w:firstLine="420" w:firstLineChars="200"/>
        <w:rPr>
          <w:rFonts w:hint="eastAsia" w:ascii="仿宋" w:hAnsi="仿宋" w:eastAsia="仿宋"/>
          <w:szCs w:val="21"/>
        </w:rPr>
      </w:pPr>
      <w:r>
        <w:rPr>
          <w:rFonts w:ascii="仿宋" w:hAnsi="仿宋" w:eastAsia="仿宋"/>
          <w:szCs w:val="21"/>
        </w:rPr>
        <w:t>备注：</w:t>
      </w:r>
    </w:p>
    <w:p w14:paraId="397DE767">
      <w:pPr>
        <w:adjustRightInd w:val="0"/>
        <w:snapToGrid w:val="0"/>
        <w:spacing w:line="360" w:lineRule="auto"/>
        <w:ind w:firstLine="420" w:firstLineChars="200"/>
        <w:rPr>
          <w:rFonts w:hint="eastAsia" w:ascii="仿宋" w:hAnsi="仿宋" w:eastAsia="仿宋"/>
          <w:szCs w:val="21"/>
        </w:rPr>
      </w:pPr>
      <w:r>
        <w:rPr>
          <w:rFonts w:hint="eastAsia" w:ascii="仿宋" w:hAnsi="仿宋" w:eastAsia="仿宋"/>
          <w:szCs w:val="21"/>
        </w:rPr>
        <w:t>（1）</w:t>
      </w:r>
      <w:r>
        <w:rPr>
          <w:rFonts w:ascii="仿宋" w:hAnsi="仿宋" w:eastAsia="仿宋"/>
          <w:szCs w:val="21"/>
        </w:rPr>
        <w:t>所有报价均为含税价</w:t>
      </w:r>
      <w:r>
        <w:rPr>
          <w:rFonts w:hint="eastAsia" w:ascii="仿宋" w:hAnsi="仿宋" w:eastAsia="仿宋"/>
          <w:szCs w:val="21"/>
        </w:rPr>
        <w:t>；</w:t>
      </w:r>
    </w:p>
    <w:p w14:paraId="0481B91E">
      <w:pPr>
        <w:adjustRightInd w:val="0"/>
        <w:snapToGrid w:val="0"/>
        <w:spacing w:line="360" w:lineRule="auto"/>
        <w:ind w:firstLine="420" w:firstLineChars="200"/>
        <w:rPr>
          <w:rFonts w:hint="eastAsia" w:ascii="仿宋" w:hAnsi="仿宋" w:eastAsia="仿宋"/>
          <w:color w:val="auto"/>
          <w:szCs w:val="21"/>
        </w:rPr>
      </w:pPr>
      <w:r>
        <w:rPr>
          <w:rFonts w:hint="eastAsia" w:ascii="仿宋" w:hAnsi="仿宋" w:eastAsia="仿宋"/>
          <w:color w:val="auto"/>
          <w:szCs w:val="21"/>
        </w:rPr>
        <w:t>（2）会场报价统一以每</w:t>
      </w:r>
      <w:r>
        <w:rPr>
          <w:rFonts w:hint="eastAsia" w:ascii="仿宋" w:hAnsi="仿宋" w:eastAsia="仿宋"/>
          <w:color w:val="auto"/>
          <w:szCs w:val="21"/>
          <w:lang w:val="en-US" w:eastAsia="zh-CN"/>
        </w:rPr>
        <w:t>天</w:t>
      </w:r>
      <w:r>
        <w:rPr>
          <w:rFonts w:hint="eastAsia" w:ascii="仿宋" w:hAnsi="仿宋" w:eastAsia="仿宋"/>
          <w:color w:val="auto"/>
          <w:szCs w:val="21"/>
        </w:rPr>
        <w:t>（</w:t>
      </w:r>
      <w:r>
        <w:rPr>
          <w:rFonts w:hint="eastAsia" w:ascii="仿宋" w:hAnsi="仿宋" w:eastAsia="仿宋"/>
          <w:color w:val="auto"/>
          <w:szCs w:val="21"/>
          <w:lang w:val="en-US" w:eastAsia="zh-CN"/>
        </w:rPr>
        <w:t>8</w:t>
      </w:r>
      <w:r>
        <w:rPr>
          <w:rFonts w:hint="eastAsia" w:ascii="仿宋" w:hAnsi="仿宋" w:eastAsia="仿宋"/>
          <w:color w:val="auto"/>
          <w:szCs w:val="21"/>
        </w:rPr>
        <w:t>小时）为单位对每间会场进行报价；</w:t>
      </w:r>
    </w:p>
    <w:p w14:paraId="1BA7D759">
      <w:pPr>
        <w:adjustRightInd w:val="0"/>
        <w:snapToGrid w:val="0"/>
        <w:spacing w:line="360" w:lineRule="auto"/>
        <w:ind w:firstLine="420" w:firstLineChars="200"/>
        <w:rPr>
          <w:rFonts w:hint="eastAsia" w:ascii="仿宋" w:hAnsi="仿宋" w:eastAsia="仿宋"/>
          <w:szCs w:val="21"/>
        </w:rPr>
      </w:pPr>
      <w:r>
        <w:rPr>
          <w:rFonts w:hint="eastAsia" w:ascii="仿宋" w:hAnsi="仿宋" w:eastAsia="仿宋"/>
          <w:szCs w:val="21"/>
        </w:rPr>
        <w:t>（3）餐饮报价不参与评分，仅作为签订服务合同的依据。</w:t>
      </w:r>
    </w:p>
    <w:p w14:paraId="2013C349">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588DE988">
      <w:pPr>
        <w:spacing w:line="480" w:lineRule="auto"/>
        <w:ind w:firstLine="5520" w:firstLineChars="2300"/>
        <w:jc w:val="left"/>
        <w:rPr>
          <w:rFonts w:hint="default" w:ascii="仿宋" w:hAnsi="仿宋" w:eastAsia="仿宋"/>
          <w:sz w:val="24"/>
          <w:szCs w:val="24"/>
          <w:lang w:val="en-US" w:eastAsia="zh-CN"/>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E0A305E-2526-4CE9-B113-041BA1FAFBA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embedRegular r:id="rId2" w:fontKey="{8E1571B7-93C4-4D83-A2B1-110A024548D9}"/>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embedRegular r:id="rId3" w:fontKey="{C24F7CBE-3400-42B7-9080-E8DE5AF00007}"/>
  </w:font>
  <w:font w:name="仿宋">
    <w:panose1 w:val="02010609060101010101"/>
    <w:charset w:val="86"/>
    <w:family w:val="modern"/>
    <w:pitch w:val="default"/>
    <w:sig w:usb0="800002BF" w:usb1="38CF7CFA" w:usb2="00000016" w:usb3="00000000" w:csb0="00040001" w:csb1="00000000"/>
    <w:embedRegular r:id="rId4" w:fontKey="{3097CFB0-E49E-40C2-80A9-71A8DF7F1786}"/>
  </w:font>
  <w:font w:name="Tahoma">
    <w:panose1 w:val="020B0604030504040204"/>
    <w:charset w:val="00"/>
    <w:family w:val="swiss"/>
    <w:pitch w:val="default"/>
    <w:sig w:usb0="E1002EFF" w:usb1="C000605B" w:usb2="00000029" w:usb3="00000000" w:csb0="200101FF" w:csb1="20280000"/>
  </w:font>
  <w:font w:name="方正小标宋简体">
    <w:altName w:val="方正舒体"/>
    <w:panose1 w:val="02000000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2"/>
          <w:jc w:val="center"/>
        </w:pPr>
        <w:r>
          <w:fldChar w:fldCharType="begin"/>
        </w:r>
        <w:r>
          <w:instrText xml:space="preserve">PAGE   \* MERGEFORMAT</w:instrText>
        </w:r>
        <w:r>
          <w:fldChar w:fldCharType="separate"/>
        </w:r>
        <w:r>
          <w:rPr>
            <w:lang w:val="zh-CN"/>
          </w:rPr>
          <w:t>25</w:t>
        </w:r>
        <w:r>
          <w:fldChar w:fldCharType="end"/>
        </w:r>
      </w:p>
    </w:sdtContent>
  </w:sdt>
  <w:p w14:paraId="4ACC8206">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2"/>
      <w:framePr w:wrap="around" w:vAnchor="text" w:hAnchor="margin" w:xAlign="center" w:y="1"/>
      <w:rPr>
        <w:rStyle w:val="20"/>
      </w:rPr>
    </w:pPr>
    <w:r>
      <w:fldChar w:fldCharType="begin"/>
    </w:r>
    <w:r>
      <w:rPr>
        <w:rStyle w:val="20"/>
      </w:rPr>
      <w:instrText xml:space="preserve">PAGE  </w:instrText>
    </w:r>
    <w:r>
      <w:fldChar w:fldCharType="end"/>
    </w:r>
  </w:p>
  <w:p w14:paraId="7B4CFFC0">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3"/>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E0327"/>
    <w:rsid w:val="00FE4AAE"/>
    <w:rsid w:val="00FE55F5"/>
    <w:rsid w:val="00FF6106"/>
    <w:rsid w:val="017442FA"/>
    <w:rsid w:val="0215299B"/>
    <w:rsid w:val="044E0E32"/>
    <w:rsid w:val="05997E8B"/>
    <w:rsid w:val="066D3445"/>
    <w:rsid w:val="08964B56"/>
    <w:rsid w:val="08C83CB5"/>
    <w:rsid w:val="097D7547"/>
    <w:rsid w:val="09902C2B"/>
    <w:rsid w:val="0A9926DB"/>
    <w:rsid w:val="0C3721EC"/>
    <w:rsid w:val="0CEC11E8"/>
    <w:rsid w:val="0CFD51A3"/>
    <w:rsid w:val="0D7A240F"/>
    <w:rsid w:val="0FB06655"/>
    <w:rsid w:val="10912321"/>
    <w:rsid w:val="10C81F6C"/>
    <w:rsid w:val="11BE5B42"/>
    <w:rsid w:val="13A26E3E"/>
    <w:rsid w:val="13AE369B"/>
    <w:rsid w:val="144F1BCA"/>
    <w:rsid w:val="14FD6A90"/>
    <w:rsid w:val="15455939"/>
    <w:rsid w:val="15B12877"/>
    <w:rsid w:val="15DF777B"/>
    <w:rsid w:val="16D36F75"/>
    <w:rsid w:val="16FC64CC"/>
    <w:rsid w:val="172E31C9"/>
    <w:rsid w:val="17C3509D"/>
    <w:rsid w:val="19E54DD6"/>
    <w:rsid w:val="1A07140F"/>
    <w:rsid w:val="1A620D3B"/>
    <w:rsid w:val="1A7D2861"/>
    <w:rsid w:val="1B451A26"/>
    <w:rsid w:val="1BB90E2F"/>
    <w:rsid w:val="1C4A0C72"/>
    <w:rsid w:val="1D2D77E9"/>
    <w:rsid w:val="1D444728"/>
    <w:rsid w:val="1E4F7829"/>
    <w:rsid w:val="1ECF44C6"/>
    <w:rsid w:val="1F3A4035"/>
    <w:rsid w:val="1F9951FF"/>
    <w:rsid w:val="201D3E7D"/>
    <w:rsid w:val="202D76F6"/>
    <w:rsid w:val="20746BB2"/>
    <w:rsid w:val="21E64000"/>
    <w:rsid w:val="22451D9C"/>
    <w:rsid w:val="2253195E"/>
    <w:rsid w:val="22FB1D2D"/>
    <w:rsid w:val="23646EBE"/>
    <w:rsid w:val="23E9602A"/>
    <w:rsid w:val="242B03F0"/>
    <w:rsid w:val="24F13006"/>
    <w:rsid w:val="26E533CB"/>
    <w:rsid w:val="28FF2109"/>
    <w:rsid w:val="295D104C"/>
    <w:rsid w:val="299C5AF9"/>
    <w:rsid w:val="29B665AC"/>
    <w:rsid w:val="29D15596"/>
    <w:rsid w:val="2A7725E1"/>
    <w:rsid w:val="2B473D61"/>
    <w:rsid w:val="2CB01DDA"/>
    <w:rsid w:val="2D460049"/>
    <w:rsid w:val="3163566D"/>
    <w:rsid w:val="31D8203D"/>
    <w:rsid w:val="31FA2FC3"/>
    <w:rsid w:val="3248523C"/>
    <w:rsid w:val="353327D7"/>
    <w:rsid w:val="35A3072E"/>
    <w:rsid w:val="35BA60CE"/>
    <w:rsid w:val="38CA49CD"/>
    <w:rsid w:val="39D54C2E"/>
    <w:rsid w:val="3A731769"/>
    <w:rsid w:val="3B3140E6"/>
    <w:rsid w:val="3B8763FC"/>
    <w:rsid w:val="3C0E61D6"/>
    <w:rsid w:val="3D912B45"/>
    <w:rsid w:val="3DBA1CCE"/>
    <w:rsid w:val="3DC92B7D"/>
    <w:rsid w:val="3E7013C9"/>
    <w:rsid w:val="3F2D1069"/>
    <w:rsid w:val="3F3E1FD1"/>
    <w:rsid w:val="3F581B89"/>
    <w:rsid w:val="404D79B1"/>
    <w:rsid w:val="40CF23D7"/>
    <w:rsid w:val="411058C0"/>
    <w:rsid w:val="413277CA"/>
    <w:rsid w:val="41A31919"/>
    <w:rsid w:val="42507548"/>
    <w:rsid w:val="457F75CA"/>
    <w:rsid w:val="471A6376"/>
    <w:rsid w:val="476D5407"/>
    <w:rsid w:val="495E1E55"/>
    <w:rsid w:val="4A6C57DD"/>
    <w:rsid w:val="4A842484"/>
    <w:rsid w:val="4ACE4B79"/>
    <w:rsid w:val="4ADA413D"/>
    <w:rsid w:val="4C811ECE"/>
    <w:rsid w:val="4C8E75EA"/>
    <w:rsid w:val="4CD64AED"/>
    <w:rsid w:val="4D634C67"/>
    <w:rsid w:val="4DEA6AA2"/>
    <w:rsid w:val="4DF74D1B"/>
    <w:rsid w:val="505E5526"/>
    <w:rsid w:val="50B25872"/>
    <w:rsid w:val="50C025FA"/>
    <w:rsid w:val="51CA3B38"/>
    <w:rsid w:val="51DF4444"/>
    <w:rsid w:val="53425821"/>
    <w:rsid w:val="543D7D43"/>
    <w:rsid w:val="54413194"/>
    <w:rsid w:val="554E608A"/>
    <w:rsid w:val="56D36709"/>
    <w:rsid w:val="56EB5013"/>
    <w:rsid w:val="578D16E1"/>
    <w:rsid w:val="57A557E8"/>
    <w:rsid w:val="57DD4F82"/>
    <w:rsid w:val="59337A15"/>
    <w:rsid w:val="5A031FBA"/>
    <w:rsid w:val="5A865DA5"/>
    <w:rsid w:val="5B3B1FAA"/>
    <w:rsid w:val="5BD156BD"/>
    <w:rsid w:val="5BEE021E"/>
    <w:rsid w:val="5BF22FC6"/>
    <w:rsid w:val="5CF8252C"/>
    <w:rsid w:val="5D0631CD"/>
    <w:rsid w:val="5D215911"/>
    <w:rsid w:val="5DBF70F0"/>
    <w:rsid w:val="5DF23B2E"/>
    <w:rsid w:val="5E7C394C"/>
    <w:rsid w:val="5F4578E7"/>
    <w:rsid w:val="5F4E26F5"/>
    <w:rsid w:val="5F97635E"/>
    <w:rsid w:val="60511ABB"/>
    <w:rsid w:val="62173015"/>
    <w:rsid w:val="6228716A"/>
    <w:rsid w:val="62652744"/>
    <w:rsid w:val="627B7CAD"/>
    <w:rsid w:val="63471E49"/>
    <w:rsid w:val="63A20CFF"/>
    <w:rsid w:val="63F83144"/>
    <w:rsid w:val="65AA7C28"/>
    <w:rsid w:val="66546D57"/>
    <w:rsid w:val="66AA2E1B"/>
    <w:rsid w:val="66DC6D4D"/>
    <w:rsid w:val="68B735CD"/>
    <w:rsid w:val="68E02B24"/>
    <w:rsid w:val="6A400653"/>
    <w:rsid w:val="6A7F45BF"/>
    <w:rsid w:val="6AD15D55"/>
    <w:rsid w:val="6B5A68F5"/>
    <w:rsid w:val="6B7358D0"/>
    <w:rsid w:val="6BBF5D79"/>
    <w:rsid w:val="6BC9041D"/>
    <w:rsid w:val="6D725D15"/>
    <w:rsid w:val="6DAB7F02"/>
    <w:rsid w:val="6DE237AA"/>
    <w:rsid w:val="719E17CE"/>
    <w:rsid w:val="71CD20B4"/>
    <w:rsid w:val="72567DE8"/>
    <w:rsid w:val="72C16AF2"/>
    <w:rsid w:val="72FA6ED8"/>
    <w:rsid w:val="73A76E7D"/>
    <w:rsid w:val="74733B4A"/>
    <w:rsid w:val="74A23383"/>
    <w:rsid w:val="75730384"/>
    <w:rsid w:val="75BC3839"/>
    <w:rsid w:val="75BF2D83"/>
    <w:rsid w:val="78401AE9"/>
    <w:rsid w:val="79627585"/>
    <w:rsid w:val="79B853F7"/>
    <w:rsid w:val="7A707A80"/>
    <w:rsid w:val="7B4E5EDA"/>
    <w:rsid w:val="7BEB3862"/>
    <w:rsid w:val="7C7B7C1A"/>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7"/>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30"/>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4"/>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9">
    <w:name w:val="Default Paragraph Font"/>
    <w:semiHidden/>
    <w:unhideWhenUsed/>
    <w:qFormat/>
    <w:uiPriority w:val="1"/>
  </w:style>
  <w:style w:type="table" w:default="1" w:styleId="1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3"/>
    <w:semiHidden/>
    <w:unhideWhenUsed/>
    <w:qFormat/>
    <w:uiPriority w:val="99"/>
    <w:rPr>
      <w:rFonts w:ascii="宋体"/>
      <w:sz w:val="18"/>
      <w:szCs w:val="18"/>
    </w:rPr>
  </w:style>
  <w:style w:type="paragraph" w:styleId="7">
    <w:name w:val="Body Text"/>
    <w:basedOn w:val="1"/>
    <w:next w:val="1"/>
    <w:link w:val="35"/>
    <w:qFormat/>
    <w:uiPriority w:val="0"/>
    <w:pPr>
      <w:spacing w:after="120"/>
    </w:pPr>
    <w:rPr>
      <w:rFonts w:ascii="Times New Roman" w:hAnsi="Times New Roman"/>
      <w:szCs w:val="24"/>
    </w:rPr>
  </w:style>
  <w:style w:type="paragraph" w:styleId="8">
    <w:name w:val="Body Text Indent"/>
    <w:basedOn w:val="1"/>
    <w:next w:val="9"/>
    <w:unhideWhenUsed/>
    <w:qFormat/>
    <w:uiPriority w:val="99"/>
    <w:pPr>
      <w:spacing w:after="120"/>
      <w:ind w:left="420" w:leftChars="200"/>
    </w:pPr>
  </w:style>
  <w:style w:type="paragraph" w:styleId="9">
    <w:name w:val="Body Text Indent 2"/>
    <w:basedOn w:val="1"/>
    <w:link w:val="39"/>
    <w:qFormat/>
    <w:uiPriority w:val="99"/>
    <w:pPr>
      <w:spacing w:after="120" w:line="480" w:lineRule="auto"/>
      <w:ind w:left="420" w:leftChars="200"/>
    </w:pPr>
    <w:rPr>
      <w:kern w:val="0"/>
      <w:sz w:val="24"/>
    </w:rPr>
  </w:style>
  <w:style w:type="paragraph" w:styleId="10">
    <w:name w:val="Plain Text"/>
    <w:basedOn w:val="1"/>
    <w:link w:val="28"/>
    <w:qFormat/>
    <w:uiPriority w:val="0"/>
    <w:rPr>
      <w:rFonts w:ascii="宋体" w:hAnsi="Courier New"/>
      <w:kern w:val="0"/>
      <w:szCs w:val="20"/>
    </w:rPr>
  </w:style>
  <w:style w:type="paragraph" w:styleId="11">
    <w:name w:val="Date"/>
    <w:basedOn w:val="1"/>
    <w:next w:val="1"/>
    <w:link w:val="25"/>
    <w:semiHidden/>
    <w:unhideWhenUsed/>
    <w:qFormat/>
    <w:uiPriority w:val="99"/>
    <w:pPr>
      <w:ind w:left="100" w:leftChars="2500"/>
    </w:pPr>
  </w:style>
  <w:style w:type="paragraph" w:styleId="12">
    <w:name w:val="footer"/>
    <w:basedOn w:val="1"/>
    <w:link w:val="22"/>
    <w:unhideWhenUsed/>
    <w:qFormat/>
    <w:uiPriority w:val="99"/>
    <w:pPr>
      <w:tabs>
        <w:tab w:val="center" w:pos="4153"/>
        <w:tab w:val="right" w:pos="8306"/>
      </w:tabs>
      <w:snapToGrid w:val="0"/>
      <w:jc w:val="left"/>
    </w:pPr>
    <w:rPr>
      <w:sz w:val="18"/>
      <w:szCs w:val="18"/>
    </w:rPr>
  </w:style>
  <w:style w:type="paragraph" w:styleId="13">
    <w:name w:val="header"/>
    <w:basedOn w:val="1"/>
    <w:link w:val="21"/>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5">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6">
    <w:name w:val="Body Text First Indent 2"/>
    <w:basedOn w:val="8"/>
    <w:next w:val="1"/>
    <w:unhideWhenUsed/>
    <w:qFormat/>
    <w:uiPriority w:val="99"/>
    <w:pPr>
      <w:spacing w:before="100" w:beforeAutospacing="1"/>
      <w:ind w:firstLine="420"/>
    </w:pPr>
    <w:rPr>
      <w:szCs w:val="21"/>
    </w:rPr>
  </w:style>
  <w:style w:type="table" w:styleId="18">
    <w:name w:val="Table Grid"/>
    <w:basedOn w:val="17"/>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qFormat/>
    <w:uiPriority w:val="0"/>
  </w:style>
  <w:style w:type="character" w:customStyle="1" w:styleId="21">
    <w:name w:val="页眉 字符"/>
    <w:basedOn w:val="19"/>
    <w:link w:val="13"/>
    <w:qFormat/>
    <w:uiPriority w:val="0"/>
    <w:rPr>
      <w:rFonts w:ascii="Calibri" w:hAnsi="Calibri" w:eastAsia="宋体" w:cs="Times New Roman"/>
      <w:sz w:val="18"/>
      <w:szCs w:val="18"/>
    </w:rPr>
  </w:style>
  <w:style w:type="character" w:customStyle="1" w:styleId="22">
    <w:name w:val="页脚 字符"/>
    <w:basedOn w:val="19"/>
    <w:link w:val="12"/>
    <w:qFormat/>
    <w:uiPriority w:val="99"/>
    <w:rPr>
      <w:rFonts w:ascii="Calibri" w:hAnsi="Calibri" w:eastAsia="宋体" w:cs="Times New Roman"/>
      <w:sz w:val="18"/>
      <w:szCs w:val="18"/>
    </w:rPr>
  </w:style>
  <w:style w:type="character" w:customStyle="1" w:styleId="23">
    <w:name w:val="文档结构图 字符"/>
    <w:basedOn w:val="19"/>
    <w:link w:val="6"/>
    <w:semiHidden/>
    <w:qFormat/>
    <w:uiPriority w:val="99"/>
    <w:rPr>
      <w:rFonts w:ascii="宋体" w:hAnsi="Calibri" w:eastAsia="宋体" w:cs="Times New Roman"/>
      <w:sz w:val="18"/>
      <w:szCs w:val="18"/>
    </w:rPr>
  </w:style>
  <w:style w:type="paragraph" w:customStyle="1" w:styleId="24">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5">
    <w:name w:val="日期 字符"/>
    <w:basedOn w:val="19"/>
    <w:link w:val="11"/>
    <w:semiHidden/>
    <w:qFormat/>
    <w:uiPriority w:val="99"/>
    <w:rPr>
      <w:rFonts w:ascii="Calibri" w:hAnsi="Calibri" w:eastAsia="宋体" w:cs="Times New Roman"/>
    </w:rPr>
  </w:style>
  <w:style w:type="paragraph" w:customStyle="1" w:styleId="26">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7">
    <w:name w:val="标题 1 字符"/>
    <w:basedOn w:val="19"/>
    <w:link w:val="2"/>
    <w:qFormat/>
    <w:uiPriority w:val="0"/>
    <w:rPr>
      <w:rFonts w:ascii="Cambria" w:hAnsi="Cambria" w:eastAsia="华文中宋" w:cs="Times New Roman"/>
      <w:b/>
      <w:bCs/>
      <w:sz w:val="44"/>
      <w:szCs w:val="28"/>
    </w:rPr>
  </w:style>
  <w:style w:type="character" w:customStyle="1" w:styleId="28">
    <w:name w:val="纯文本 字符"/>
    <w:link w:val="10"/>
    <w:qFormat/>
    <w:locked/>
    <w:uiPriority w:val="0"/>
    <w:rPr>
      <w:rFonts w:ascii="宋体" w:hAnsi="Courier New"/>
      <w:sz w:val="21"/>
    </w:rPr>
  </w:style>
  <w:style w:type="character" w:customStyle="1" w:styleId="29">
    <w:name w:val="纯文本 Char"/>
    <w:basedOn w:val="19"/>
    <w:semiHidden/>
    <w:qFormat/>
    <w:uiPriority w:val="99"/>
    <w:rPr>
      <w:rFonts w:ascii="宋体" w:hAnsi="Courier New" w:cs="Courier New"/>
      <w:kern w:val="2"/>
      <w:sz w:val="21"/>
      <w:szCs w:val="21"/>
    </w:rPr>
  </w:style>
  <w:style w:type="character" w:customStyle="1" w:styleId="30">
    <w:name w:val="标题 2 字符"/>
    <w:basedOn w:val="19"/>
    <w:link w:val="3"/>
    <w:semiHidden/>
    <w:qFormat/>
    <w:uiPriority w:val="9"/>
    <w:rPr>
      <w:rFonts w:asciiTheme="majorHAnsi" w:hAnsiTheme="majorHAnsi" w:eastAsiaTheme="majorEastAsia" w:cstheme="majorBidi"/>
      <w:b/>
      <w:bCs/>
      <w:kern w:val="2"/>
      <w:sz w:val="32"/>
      <w:szCs w:val="32"/>
    </w:rPr>
  </w:style>
  <w:style w:type="paragraph" w:customStyle="1" w:styleId="31">
    <w:name w:val="Table Paragraph"/>
    <w:basedOn w:val="1"/>
    <w:qFormat/>
    <w:uiPriority w:val="1"/>
  </w:style>
  <w:style w:type="paragraph" w:customStyle="1" w:styleId="32">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3">
    <w:name w:val="Char1 Char Char Char Char Char Char Char"/>
    <w:basedOn w:val="1"/>
    <w:qFormat/>
    <w:uiPriority w:val="0"/>
    <w:rPr>
      <w:rFonts w:ascii="Tahoma" w:hAnsi="Tahoma"/>
      <w:sz w:val="24"/>
      <w:szCs w:val="20"/>
    </w:rPr>
  </w:style>
  <w:style w:type="character" w:customStyle="1" w:styleId="34">
    <w:name w:val="标题 6 字符"/>
    <w:basedOn w:val="19"/>
    <w:link w:val="4"/>
    <w:qFormat/>
    <w:uiPriority w:val="9"/>
    <w:rPr>
      <w:rFonts w:asciiTheme="majorHAnsi" w:hAnsiTheme="majorHAnsi" w:eastAsiaTheme="majorEastAsia" w:cstheme="majorBidi"/>
      <w:b/>
      <w:bCs/>
      <w:kern w:val="2"/>
      <w:sz w:val="24"/>
      <w:szCs w:val="24"/>
    </w:rPr>
  </w:style>
  <w:style w:type="character" w:customStyle="1" w:styleId="35">
    <w:name w:val="正文文本 字符"/>
    <w:basedOn w:val="19"/>
    <w:link w:val="7"/>
    <w:qFormat/>
    <w:uiPriority w:val="0"/>
    <w:rPr>
      <w:kern w:val="2"/>
      <w:sz w:val="21"/>
      <w:szCs w:val="24"/>
    </w:rPr>
  </w:style>
  <w:style w:type="paragraph" w:styleId="36">
    <w:name w:val="List Paragraph"/>
    <w:basedOn w:val="1"/>
    <w:qFormat/>
    <w:uiPriority w:val="34"/>
    <w:pPr>
      <w:ind w:firstLine="420" w:firstLineChars="200"/>
    </w:pPr>
    <w:rPr>
      <w:rFonts w:ascii="Times New Roman" w:hAnsi="Times New Roman"/>
      <w:szCs w:val="24"/>
    </w:rPr>
  </w:style>
  <w:style w:type="paragraph" w:customStyle="1" w:styleId="37">
    <w:name w:val="样式 宋体1"/>
    <w:basedOn w:val="1"/>
    <w:qFormat/>
    <w:uiPriority w:val="0"/>
    <w:pPr>
      <w:ind w:firstLine="420" w:firstLineChars="200"/>
      <w:jc w:val="left"/>
    </w:pPr>
    <w:rPr>
      <w:rFonts w:ascii="宋体" w:hAnsi="宋体" w:eastAsia="等线" w:cs="宋体"/>
      <w:szCs w:val="20"/>
    </w:rPr>
  </w:style>
  <w:style w:type="paragraph" w:customStyle="1" w:styleId="38">
    <w:name w:val="Normal_1"/>
    <w:qFormat/>
    <w:uiPriority w:val="0"/>
    <w:rPr>
      <w:rFonts w:ascii="Calibri" w:hAnsi="Calibri" w:eastAsia="宋体" w:cs="Times New Roman"/>
      <w:sz w:val="24"/>
      <w:szCs w:val="24"/>
      <w:lang w:val="en-US" w:eastAsia="zh-CN" w:bidi="ar-SA"/>
    </w:rPr>
  </w:style>
  <w:style w:type="character" w:customStyle="1" w:styleId="39">
    <w:name w:val="正文文本缩进 2 字符"/>
    <w:link w:val="9"/>
    <w:qFormat/>
    <w:uiPriority w:val="99"/>
    <w:rPr>
      <w:rFonts w:ascii="Calibri" w:hAnsi="Calibri"/>
      <w:sz w:val="24"/>
      <w:szCs w:val="22"/>
    </w:rPr>
  </w:style>
  <w:style w:type="paragraph" w:customStyle="1" w:styleId="40">
    <w:name w:val="01 文件标题"/>
    <w:basedOn w:val="1"/>
    <w:next w:val="1"/>
    <w:qFormat/>
    <w:uiPriority w:val="0"/>
    <w:pPr>
      <w:spacing w:line="560" w:lineRule="exact"/>
      <w:jc w:val="center"/>
    </w:pPr>
    <w:rPr>
      <w:rFonts w:ascii="方正小标宋简体" w:eastAsia="方正小标宋简体"/>
      <w:sz w:val="44"/>
    </w:rPr>
  </w:style>
  <w:style w:type="paragraph" w:customStyle="1" w:styleId="41">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2">
    <w:name w:val="04 二级标题"/>
    <w:basedOn w:val="3"/>
    <w:qFormat/>
    <w:uiPriority w:val="0"/>
    <w:pPr>
      <w:spacing w:before="0" w:after="0" w:line="560" w:lineRule="exact"/>
      <w:ind w:firstLine="200" w:firstLineChars="200"/>
    </w:pPr>
    <w:rPr>
      <w:rFonts w:ascii="楷体_GB2312" w:hAnsi="Times New Roman" w:eastAsia="楷体_GB2312"/>
      <w:b w:val="0"/>
    </w:rPr>
  </w:style>
  <w:style w:type="character" w:customStyle="1" w:styleId="43">
    <w:name w:val="15"/>
    <w:basedOn w:val="19"/>
    <w:qFormat/>
    <w:uiPriority w:val="0"/>
    <w:rPr>
      <w:rFonts w:hint="default" w:ascii="Times New Roman" w:hAnsi="Times New Roman" w:cs="Times New Roman"/>
    </w:rPr>
  </w:style>
  <w:style w:type="character" w:customStyle="1" w:styleId="44">
    <w:name w:val="10"/>
    <w:basedOn w:val="19"/>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4287</Words>
  <Characters>4513</Characters>
  <Lines>31</Lines>
  <Paragraphs>9</Paragraphs>
  <TotalTime>7</TotalTime>
  <ScaleCrop>false</ScaleCrop>
  <LinksUpToDate>false</LinksUpToDate>
  <CharactersWithSpaces>4537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2025-01-19T03:35:00Z</dcterms:created>
  <dc:creator>china</dc:creator>
  <cp:lastModifiedBy></cp:lastModifiedBy>
  <cp:lastPrinted>2020-08-24T02:17:00Z</cp:lastPrinted>
  <dcterms:modified xsi:type="dcterms:W3CDTF">2026-06-23T11:49:08Z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0CED5C949D684EBDA64FD4D851912193_13</vt:lpwstr>
  </property>
  <property fmtid="{D5CDD505-2E9C-101B-9397-08002B2CF9AE}" pid="4" name="KSOTemplateDocerSaveRecord">
    <vt:lpwstr>eyJoZGlkIjoiNjExNjA1MzY4NDcxNDhlNGIwYWUzMzQ5YTk5ZTk5ZTUiLCJ1c2VySWQiOiI0OTQ3NjU2MzMifQ==</vt:lpwstr>
  </property>
</Properties>
</file>