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cs="Times New Roman"/>
          <w:kern w:val="0"/>
          <w:sz w:val="32"/>
          <w:szCs w:val="32"/>
        </w:rPr>
      </w:pPr>
      <w:r>
        <w:rPr>
          <w:rFonts w:ascii="黑体" w:hAnsi="黑体" w:eastAsia="黑体"/>
          <w:sz w:val="32"/>
          <w:szCs w:val="32"/>
        </w:rPr>
        <w:t>采购项目名称：</w:t>
      </w:r>
      <w:r>
        <w:rPr>
          <w:rFonts w:hint="eastAsia" w:ascii="黑体" w:hAnsi="黑体" w:eastAsia="黑体" w:cs="Times New Roman"/>
          <w:kern w:val="0"/>
          <w:sz w:val="32"/>
          <w:szCs w:val="32"/>
          <w:lang w:val="en-US" w:eastAsia="zh-CN"/>
        </w:rPr>
        <w:t>零星基建项目审计服务</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14:paraId="3FD890A2">
      <w:pPr>
        <w:pStyle w:val="7"/>
      </w:pPr>
    </w:p>
    <w:p w14:paraId="40E4DFFA">
      <w:pPr>
        <w:pStyle w:val="7"/>
        <w:rPr>
          <w:szCs w:val="22"/>
        </w:rPr>
      </w:pP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湖南铁道职业技术学院</w:t>
      </w:r>
      <w:r>
        <w:rPr>
          <w:rFonts w:hint="eastAsia" w:ascii="黑体" w:hAnsi="黑体" w:eastAsia="黑体" w:cs="Times New Roman"/>
          <w:b/>
          <w:sz w:val="36"/>
          <w:szCs w:val="36"/>
          <w:u w:val="none"/>
          <w:lang w:val="en-US" w:eastAsia="zh-CN"/>
        </w:rPr>
        <w:t>零星基建项目审计服务</w:t>
      </w:r>
      <w:r>
        <w:rPr>
          <w:rFonts w:hint="eastAsia" w:ascii="黑体" w:hAnsi="黑体" w:eastAsia="黑体"/>
          <w:b/>
          <w:sz w:val="36"/>
          <w:szCs w:val="36"/>
          <w:u w:val="none"/>
        </w:rPr>
        <w:t>项目询比</w:t>
      </w:r>
      <w:r>
        <w:rPr>
          <w:rFonts w:ascii="黑体" w:hAnsi="黑体" w:eastAsia="黑体" w:cs="宋体"/>
          <w:b/>
          <w:bCs/>
          <w:color w:val="000000"/>
          <w:spacing w:val="-20"/>
          <w:kern w:val="36"/>
          <w:sz w:val="36"/>
          <w:szCs w:val="36"/>
          <w:u w:val="none"/>
        </w:rPr>
        <w:t>采购</w:t>
      </w:r>
      <w:r>
        <w:rPr>
          <w:rFonts w:hint="eastAsia" w:ascii="黑体" w:hAnsi="黑体" w:eastAsia="黑体" w:cs="宋体"/>
          <w:b/>
          <w:bCs/>
          <w:color w:val="000000"/>
          <w:spacing w:val="-20"/>
          <w:kern w:val="36"/>
          <w:sz w:val="36"/>
          <w:szCs w:val="36"/>
          <w:u w:val="none"/>
        </w:rPr>
        <w:t>公告</w:t>
      </w:r>
    </w:p>
    <w:p w14:paraId="0FA957A0">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cs="Times New Roman"/>
          <w:sz w:val="24"/>
          <w:szCs w:val="24"/>
          <w:u w:val="none"/>
          <w:lang w:val="en-US" w:eastAsia="zh-CN"/>
        </w:rPr>
        <w:t>零星基建项目审计服务</w:t>
      </w:r>
      <w:r>
        <w:rPr>
          <w:rFonts w:hint="eastAsia" w:ascii="仿宋" w:hAnsi="仿宋" w:eastAsia="仿宋"/>
          <w:sz w:val="24"/>
          <w:szCs w:val="24"/>
          <w:u w:val="none"/>
        </w:rPr>
        <w:t>项目</w:t>
      </w:r>
      <w:r>
        <w:rPr>
          <w:rFonts w:hint="eastAsia" w:ascii="仿宋" w:hAnsi="仿宋" w:eastAsia="仿宋"/>
          <w:sz w:val="24"/>
          <w:szCs w:val="24"/>
        </w:rPr>
        <w:t>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3564"/>
      <w:bookmarkStart w:id="2" w:name="_Toc26475"/>
      <w:bookmarkStart w:id="3" w:name="_Toc4659"/>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cs="Times New Roman"/>
          <w:sz w:val="24"/>
          <w:szCs w:val="24"/>
          <w:u w:val="none"/>
          <w:lang w:val="en-US" w:eastAsia="zh-CN"/>
        </w:rPr>
        <w:t>零星基建项目审计服务</w:t>
      </w:r>
      <w:r>
        <w:rPr>
          <w:rFonts w:hint="eastAsia" w:ascii="仿宋" w:hAnsi="仿宋" w:eastAsia="仿宋"/>
          <w:sz w:val="24"/>
          <w:szCs w:val="24"/>
          <w:u w:val="none"/>
        </w:rPr>
        <w:t>项目</w:t>
      </w:r>
    </w:p>
    <w:p w14:paraId="79CC6CAE">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 xml:space="preserve">2.项目概况: </w:t>
      </w:r>
      <w:r>
        <w:rPr>
          <w:rFonts w:hint="eastAsia" w:ascii="仿宋" w:hAnsi="仿宋" w:eastAsia="仿宋" w:cs="Times New Roman"/>
          <w:sz w:val="24"/>
          <w:szCs w:val="24"/>
          <w:u w:val="none"/>
          <w:lang w:val="en-US" w:eastAsia="zh-CN"/>
        </w:rPr>
        <w:t xml:space="preserve">拟遴选优秀的社会中介机构参与学校零星基建项目审计服务工作，通过建立“湖南铁道职业技术学院零星基建项目审计咨询机构备选库”，以进一步提升审计专业能力。 </w:t>
      </w:r>
    </w:p>
    <w:p w14:paraId="5BF0E80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sz w:val="24"/>
          <w:szCs w:val="24"/>
        </w:rPr>
        <w:t>3.服务内容</w:t>
      </w:r>
      <w:r>
        <w:rPr>
          <w:rFonts w:hint="eastAsia" w:ascii="仿宋" w:hAnsi="仿宋" w:eastAsia="仿宋" w:cs="Times New Roman"/>
          <w:kern w:val="2"/>
          <w:sz w:val="24"/>
          <w:szCs w:val="24"/>
          <w:u w:val="none"/>
          <w:lang w:val="en-US" w:eastAsia="zh-CN" w:bidi="ar-SA"/>
        </w:rPr>
        <w:t>：各校区零星基建项目的招标控制价审核、工程结算审核等工作。</w:t>
      </w:r>
    </w:p>
    <w:p w14:paraId="71947C1A">
      <w:pPr>
        <w:pStyle w:val="7"/>
        <w:snapToGrid w:val="0"/>
        <w:spacing w:before="0" w:beforeAutospacing="0" w:after="0" w:line="360" w:lineRule="auto"/>
        <w:ind w:left="0" w:leftChars="0" w:firstLine="480" w:firstLineChars="200"/>
        <w:jc w:val="left"/>
        <w:rPr>
          <w:rFonts w:hint="eastAsia" w:ascii="仿宋" w:hAnsi="仿宋" w:eastAsia="仿宋" w:cs="Times New Roman"/>
          <w:sz w:val="24"/>
          <w:szCs w:val="24"/>
          <w:u w:val="none"/>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cs="Times New Roman"/>
          <w:sz w:val="24"/>
          <w:szCs w:val="24"/>
          <w:u w:val="none"/>
          <w:lang w:val="en-US" w:eastAsia="zh-CN"/>
        </w:rPr>
        <w:t>16万元。</w:t>
      </w:r>
    </w:p>
    <w:p w14:paraId="2BC6B1CD">
      <w:pPr>
        <w:pStyle w:val="7"/>
        <w:snapToGrid w:val="0"/>
        <w:spacing w:before="0" w:beforeAutospacing="0" w:after="0" w:line="360" w:lineRule="auto"/>
        <w:ind w:left="0" w:leftChars="0" w:firstLine="480" w:firstLineChars="200"/>
        <w:jc w:val="left"/>
        <w:rPr>
          <w:rFonts w:hint="eastAsia"/>
          <w:lang w:val="en-US" w:eastAsia="zh-CN"/>
        </w:rPr>
      </w:pPr>
      <w:r>
        <w:rPr>
          <w:rFonts w:hint="eastAsia" w:ascii="仿宋" w:hAnsi="仿宋" w:eastAsia="仿宋"/>
          <w:sz w:val="24"/>
          <w:szCs w:val="24"/>
          <w:lang w:val="en-US" w:eastAsia="zh-CN"/>
        </w:rPr>
        <w:t>5</w:t>
      </w:r>
      <w:r>
        <w:rPr>
          <w:rFonts w:hint="eastAsia" w:ascii="仿宋" w:hAnsi="仿宋" w:eastAsia="仿宋"/>
          <w:sz w:val="24"/>
          <w:szCs w:val="24"/>
        </w:rPr>
        <w:t>．</w:t>
      </w:r>
      <w:r>
        <w:rPr>
          <w:rFonts w:hint="eastAsia" w:ascii="仿宋" w:hAnsi="仿宋" w:eastAsia="仿宋"/>
          <w:sz w:val="24"/>
          <w:szCs w:val="24"/>
          <w:lang w:val="en-US" w:eastAsia="zh-CN"/>
        </w:rPr>
        <w:t>拟</w:t>
      </w:r>
      <w:r>
        <w:rPr>
          <w:rFonts w:hint="eastAsia" w:ascii="仿宋" w:hAnsi="仿宋" w:eastAsia="仿宋"/>
          <w:sz w:val="24"/>
          <w:szCs w:val="24"/>
        </w:rPr>
        <w:t>入选单位数量：3家。</w:t>
      </w:r>
    </w:p>
    <w:p w14:paraId="453272DD">
      <w:pPr>
        <w:pStyle w:val="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2、特定资格条件：无</w:t>
      </w:r>
    </w:p>
    <w:p w14:paraId="070E80DC">
      <w:pPr>
        <w:pStyle w:val="7"/>
        <w:snapToGrid w:val="0"/>
        <w:spacing w:before="0" w:beforeAutospacing="0" w:after="0" w:line="360" w:lineRule="auto"/>
        <w:ind w:left="0" w:leftChars="0" w:firstLine="480" w:firstLineChars="200"/>
        <w:jc w:val="left"/>
        <w:rPr>
          <w:rFonts w:hint="eastAsia"/>
        </w:rPr>
      </w:pPr>
      <w:r>
        <w:rPr>
          <w:rFonts w:hint="eastAsia" w:ascii="仿宋" w:hAnsi="仿宋" w:eastAsia="仿宋"/>
          <w:sz w:val="24"/>
          <w:szCs w:val="24"/>
        </w:rPr>
        <w:t>3．不接受联合体投标</w:t>
      </w:r>
    </w:p>
    <w:p w14:paraId="773A98C1">
      <w:pPr>
        <w:pStyle w:val="7"/>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w:t>
      </w:r>
      <w:r>
        <w:rPr>
          <w:rFonts w:hint="eastAsia" w:ascii="仿宋" w:hAnsi="仿宋" w:eastAsia="仿宋"/>
          <w:sz w:val="24"/>
          <w:szCs w:val="24"/>
          <w:u w:val="none"/>
        </w:rPr>
        <w:t>提交截止时间：2025年</w:t>
      </w:r>
      <w:r>
        <w:rPr>
          <w:rFonts w:hint="eastAsia" w:ascii="仿宋" w:hAnsi="仿宋" w:eastAsia="仿宋"/>
          <w:sz w:val="24"/>
          <w:szCs w:val="24"/>
          <w:u w:val="none"/>
          <w:lang w:val="en-US" w:eastAsia="zh-CN"/>
        </w:rPr>
        <w:t>8</w:t>
      </w:r>
      <w:r>
        <w:rPr>
          <w:rFonts w:hint="eastAsia" w:ascii="仿宋" w:hAnsi="仿宋" w:eastAsia="仿宋"/>
          <w:sz w:val="24"/>
          <w:szCs w:val="24"/>
          <w:u w:val="none"/>
        </w:rPr>
        <w:t>月</w:t>
      </w:r>
      <w:r>
        <w:rPr>
          <w:rFonts w:hint="eastAsia" w:ascii="仿宋" w:hAnsi="仿宋" w:eastAsia="仿宋"/>
          <w:sz w:val="24"/>
          <w:szCs w:val="24"/>
          <w:u w:val="none"/>
          <w:lang w:val="en-US" w:eastAsia="zh-CN"/>
        </w:rPr>
        <w:t>1</w:t>
      </w:r>
      <w:r>
        <w:rPr>
          <w:rFonts w:hint="eastAsia" w:ascii="仿宋" w:hAnsi="仿宋" w:eastAsia="仿宋"/>
          <w:sz w:val="24"/>
          <w:szCs w:val="24"/>
          <w:u w:val="none"/>
        </w:rPr>
        <w:t>日</w:t>
      </w:r>
      <w:r>
        <w:rPr>
          <w:rFonts w:hint="eastAsia" w:ascii="仿宋" w:hAnsi="仿宋" w:eastAsia="仿宋"/>
          <w:sz w:val="24"/>
          <w:szCs w:val="24"/>
          <w:u w:val="none"/>
          <w:lang w:val="en-US" w:eastAsia="zh-CN"/>
        </w:rPr>
        <w:t>17</w:t>
      </w:r>
      <w:r>
        <w:rPr>
          <w:rFonts w:hint="eastAsia" w:ascii="仿宋" w:hAnsi="仿宋" w:eastAsia="仿宋"/>
          <w:sz w:val="24"/>
          <w:szCs w:val="24"/>
          <w:u w:val="none"/>
        </w:rPr>
        <w:t>时</w:t>
      </w:r>
    </w:p>
    <w:p w14:paraId="5FCFB0A5">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2．首次响应文件的开启时间：2025年</w:t>
      </w:r>
      <w:r>
        <w:rPr>
          <w:rFonts w:hint="eastAsia" w:ascii="仿宋" w:hAnsi="仿宋" w:eastAsia="仿宋"/>
          <w:sz w:val="24"/>
          <w:szCs w:val="24"/>
          <w:u w:val="none"/>
          <w:lang w:val="en-US" w:eastAsia="zh-CN"/>
        </w:rPr>
        <w:t>8</w:t>
      </w:r>
      <w:r>
        <w:rPr>
          <w:rFonts w:hint="eastAsia" w:ascii="仿宋" w:hAnsi="仿宋" w:eastAsia="仿宋"/>
          <w:sz w:val="24"/>
          <w:szCs w:val="24"/>
          <w:u w:val="none"/>
        </w:rPr>
        <w:t>月</w:t>
      </w:r>
      <w:r>
        <w:rPr>
          <w:rFonts w:hint="eastAsia" w:ascii="仿宋" w:hAnsi="仿宋" w:eastAsia="仿宋"/>
          <w:sz w:val="24"/>
          <w:szCs w:val="24"/>
          <w:u w:val="none"/>
          <w:lang w:val="en-US" w:eastAsia="zh-CN"/>
        </w:rPr>
        <w:t>1</w:t>
      </w:r>
      <w:r>
        <w:rPr>
          <w:rFonts w:hint="eastAsia" w:ascii="仿宋" w:hAnsi="仿宋" w:eastAsia="仿宋"/>
          <w:sz w:val="24"/>
          <w:szCs w:val="24"/>
          <w:u w:val="none"/>
        </w:rPr>
        <w:t>日</w:t>
      </w:r>
      <w:r>
        <w:rPr>
          <w:rFonts w:hint="eastAsia" w:ascii="仿宋" w:hAnsi="仿宋" w:eastAsia="仿宋"/>
          <w:sz w:val="24"/>
          <w:szCs w:val="24"/>
          <w:u w:val="none"/>
          <w:lang w:val="en-US" w:eastAsia="zh-CN"/>
        </w:rPr>
        <w:t>17</w:t>
      </w:r>
      <w:r>
        <w:rPr>
          <w:rFonts w:hint="eastAsia" w:ascii="仿宋" w:hAnsi="仿宋" w:eastAsia="仿宋"/>
          <w:sz w:val="24"/>
          <w:szCs w:val="24"/>
          <w:u w:val="none"/>
        </w:rPr>
        <w:t xml:space="preserve"> 时</w:t>
      </w:r>
    </w:p>
    <w:p w14:paraId="63DB6ACB">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rPr>
        <w:t>：</w:t>
      </w:r>
      <w:r>
        <w:rPr>
          <w:rFonts w:hint="eastAsia" w:ascii="仿宋" w:hAnsi="仿宋" w:eastAsia="仿宋" w:cstheme="minorEastAsia"/>
          <w:sz w:val="24"/>
          <w:szCs w:val="24"/>
          <w:u w:val="none"/>
          <w:lang w:val="en-US" w:eastAsia="zh-CN"/>
        </w:rPr>
        <w:t>张老师</w:t>
      </w:r>
    </w:p>
    <w:p w14:paraId="3B375338">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u w:val="none"/>
        </w:rPr>
        <w:t>电 话：</w:t>
      </w:r>
      <w:r>
        <w:rPr>
          <w:rFonts w:hint="eastAsia" w:ascii="仿宋" w:hAnsi="仿宋" w:eastAsia="仿宋" w:cstheme="minorEastAsia"/>
          <w:sz w:val="24"/>
          <w:szCs w:val="24"/>
          <w:u w:val="none"/>
          <w:lang w:val="en-US" w:eastAsia="zh-CN"/>
        </w:rPr>
        <w:t>18073312530</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7"/>
      </w:pPr>
    </w:p>
    <w:p w14:paraId="42402AF4"/>
    <w:p w14:paraId="06CBF053">
      <w:pPr>
        <w:pStyle w:val="7"/>
      </w:pPr>
    </w:p>
    <w:p w14:paraId="0617B9A7"/>
    <w:p w14:paraId="4FFDF357">
      <w:pPr>
        <w:pStyle w:val="7"/>
      </w:pPr>
    </w:p>
    <w:p w14:paraId="5EE97DA2">
      <w:pPr>
        <w:pStyle w:val="7"/>
        <w:ind w:left="0" w:leftChars="0" w:firstLine="0"/>
        <w:rPr>
          <w:szCs w:val="22"/>
        </w:rPr>
      </w:pPr>
    </w:p>
    <w:p w14:paraId="102C28AC"/>
    <w:p w14:paraId="167C6777">
      <w:pPr>
        <w:pStyle w:val="9"/>
        <w:rPr>
          <w:szCs w:val="22"/>
        </w:rPr>
      </w:pPr>
    </w:p>
    <w:p w14:paraId="43A9A7CF"/>
    <w:p w14:paraId="13F8E109">
      <w:pPr>
        <w:pStyle w:val="9"/>
        <w:rPr>
          <w:szCs w:val="22"/>
        </w:rPr>
      </w:pPr>
    </w:p>
    <w:p w14:paraId="5EC8A2E1"/>
    <w:p w14:paraId="34F8B3C7">
      <w:pPr>
        <w:pStyle w:val="9"/>
        <w:rPr>
          <w:szCs w:val="22"/>
        </w:rPr>
      </w:pPr>
    </w:p>
    <w:p w14:paraId="2A3004E7"/>
    <w:p w14:paraId="333CFB95"/>
    <w:p w14:paraId="7B46CF16">
      <w:pPr>
        <w:pStyle w:val="7"/>
      </w:pPr>
    </w:p>
    <w:p w14:paraId="4726678E"/>
    <w:p w14:paraId="5DDB6D3B"/>
    <w:p w14:paraId="2F8CDF42">
      <w:pPr>
        <w:rPr>
          <w:rFonts w:hint="eastAsia"/>
        </w:rPr>
      </w:pPr>
    </w:p>
    <w:p w14:paraId="360ECAAB"/>
    <w:p w14:paraId="611302C1">
      <w:pPr>
        <w:pStyle w:val="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u w:val="none"/>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rPr>
        <w:t>湖南铁道职业技术学院</w:t>
      </w:r>
      <w:r>
        <w:rPr>
          <w:rFonts w:hint="eastAsia" w:ascii="仿宋" w:hAnsi="仿宋" w:eastAsia="仿宋" w:cs="仿宋"/>
          <w:color w:val="333333"/>
          <w:kern w:val="0"/>
          <w:sz w:val="24"/>
          <w:szCs w:val="24"/>
          <w:u w:val="none"/>
          <w:lang w:val="en-US" w:eastAsia="zh-CN"/>
        </w:rPr>
        <w:t>零星基建项目审计服务</w:t>
      </w:r>
      <w:r>
        <w:rPr>
          <w:rFonts w:hint="eastAsia" w:ascii="仿宋" w:hAnsi="仿宋" w:eastAsia="仿宋" w:cs="仿宋"/>
          <w:color w:val="333333"/>
          <w:kern w:val="0"/>
          <w:sz w:val="24"/>
          <w:szCs w:val="24"/>
          <w:u w:val="none"/>
        </w:rPr>
        <w:t>项目</w:t>
      </w:r>
    </w:p>
    <w:p w14:paraId="5A3630E4">
      <w:pPr>
        <w:pStyle w:val="40"/>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lang w:val="en-US" w:eastAsia="zh-CN" w:bidi="ar-SA"/>
        </w:rPr>
        <w:t>2年（自签订入库协议之日起）。</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611B936">
      <w:pPr>
        <w:pStyle w:val="40"/>
        <w:adjustRightInd w:val="0"/>
        <w:snapToGrid w:val="0"/>
        <w:spacing w:line="360" w:lineRule="auto"/>
        <w:ind w:firstLine="480"/>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各校区零星基建项目的招标控制价审核、工程结算审核等工作。</w:t>
      </w:r>
    </w:p>
    <w:p w14:paraId="51EDCA10">
      <w:pPr>
        <w:pStyle w:val="40"/>
        <w:adjustRightInd w:val="0"/>
        <w:snapToGrid w:val="0"/>
        <w:spacing w:line="360" w:lineRule="auto"/>
        <w:ind w:firstLine="480"/>
        <w:rPr>
          <w:rFonts w:hint="default"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本项目的具体服务要求按照《CECA-GC7-2012 建设工程造价咨询成果文件质量标准规范》执行；按照学校要求及时保质保量完成并出具审核报告。</w:t>
      </w:r>
    </w:p>
    <w:p w14:paraId="130BDE49">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5C5BC22F">
      <w:pPr>
        <w:pStyle w:val="40"/>
        <w:adjustRightInd w:val="0"/>
        <w:snapToGrid w:val="0"/>
        <w:spacing w:line="360" w:lineRule="auto"/>
        <w:ind w:firstLine="480"/>
        <w:rPr>
          <w:rFonts w:hint="eastAsia" w:ascii="仿宋" w:hAnsi="仿宋" w:eastAsia="仿宋" w:cstheme="minorEastAsia"/>
          <w:b/>
          <w:sz w:val="24"/>
          <w:szCs w:val="24"/>
        </w:rPr>
      </w:pPr>
      <w:r>
        <w:rPr>
          <w:rFonts w:hint="eastAsia" w:ascii="仿宋" w:hAnsi="仿宋" w:eastAsia="仿宋" w:cs="仿宋"/>
          <w:color w:val="333333"/>
          <w:kern w:val="0"/>
          <w:sz w:val="24"/>
          <w:szCs w:val="24"/>
          <w:u w:val="none"/>
          <w:lang w:val="en-US" w:eastAsia="zh-CN" w:bidi="ar-SA"/>
        </w:rPr>
        <w:t>按照《CECA-GC7-2012 建设工程造价咨询成果文件质量标准规范》执行。</w:t>
      </w:r>
    </w:p>
    <w:p w14:paraId="036A22BD">
      <w:pPr>
        <w:widowControl w:val="0"/>
        <w:adjustRightInd w:val="0"/>
        <w:snapToGrid w:val="0"/>
        <w:spacing w:line="300" w:lineRule="auto"/>
        <w:ind w:firstLine="482" w:firstLineChars="200"/>
        <w:jc w:val="both"/>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r>
        <w:rPr>
          <w:rFonts w:hint="eastAsia" w:ascii="仿宋" w:hAnsi="仿宋" w:eastAsia="仿宋" w:cs="仿宋"/>
          <w:color w:val="333333"/>
          <w:kern w:val="0"/>
          <w:sz w:val="24"/>
          <w:szCs w:val="24"/>
          <w:u w:val="none"/>
          <w:lang w:val="en-US" w:eastAsia="zh-CN" w:bidi="ar-SA"/>
        </w:rPr>
        <w:t>本项目的具体服务要求按照《CECA-GC7-2012建设工程造价咨询成果文件质量标准规范》执行，按照学校要求及时保质保量完成并出具审核报告。</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10236ACD">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本项目采用折扣率方式进行报价，折扣率最高限价为100%，其中各类服务计费上限标准要求为：</w:t>
      </w:r>
    </w:p>
    <w:p w14:paraId="7A12C5F1">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1．招标控制价审核收费，按湖南省建设工程造价管理协会湘建价协〔2016〕25号文件附表3中第3.2计费方式七折计算；计费基数为核定造价。</w:t>
      </w:r>
    </w:p>
    <w:p w14:paraId="3C29A955">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2．工程结算审核收费，按湖南省建设工程造价管理协会湘建价协〔2016〕25号文件规定附表4中第4.3计费方式七折计算；基本费计费基数为核定造价，效益费按净核减额计算，效益费不计取附表9的专业工程调整系数。</w:t>
      </w:r>
    </w:p>
    <w:p w14:paraId="2552089C">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3．投标报价是投标人在服务期内按合同规定的服务范围所提供全部服务所需的费用(含投标单位承担本项服务应缴纳的税费等)。</w:t>
      </w:r>
    </w:p>
    <w:p w14:paraId="5720FD45">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4．招标人不接受任何有选择的报价。</w:t>
      </w:r>
    </w:p>
    <w:p w14:paraId="1AB8213C">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5．上述所有收费请投标方统筹考虑，只能针对最高限价以同一折扣率进行报价（如按7折计取费用，</w:t>
      </w:r>
      <w:bookmarkStart w:id="9" w:name="_GoBack"/>
      <w:bookmarkEnd w:id="9"/>
      <w:r>
        <w:rPr>
          <w:rFonts w:hint="eastAsia" w:ascii="仿宋" w:hAnsi="仿宋" w:eastAsia="仿宋" w:cs="仿宋"/>
          <w:color w:val="333333"/>
          <w:kern w:val="0"/>
          <w:sz w:val="24"/>
          <w:szCs w:val="24"/>
          <w:u w:val="none"/>
          <w:lang w:val="en-US" w:eastAsia="zh-CN" w:bidi="ar-SA"/>
        </w:rPr>
        <w:t>则投标报价应表示为70%）。</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33E783DB">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入围供应商收到成交通知后，应在一周内签订合同。服务期限内入围供应商接到学校委派任务单，需按照合同要求及时保质保量完成任务，并出具相应的审计报告。</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8542791">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以中标优惠率计算服务费，完成审核报告的项目按年度进行支付。</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11C4EA4">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1.参与投标的单位中标后须是湖南省政府采购电子卖场的合格供应商。</w:t>
      </w:r>
    </w:p>
    <w:p w14:paraId="0191A80D">
      <w:pPr>
        <w:rPr>
          <w:rFonts w:hint="eastAsia"/>
        </w:rPr>
      </w:pPr>
    </w:p>
    <w:p w14:paraId="223FEA38">
      <w:pPr>
        <w:pStyle w:val="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1D76FA3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w:t>
      </w:r>
      <w:r>
        <w:rPr>
          <w:rFonts w:hint="eastAsia" w:ascii="仿宋" w:hAnsi="仿宋" w:eastAsia="仿宋"/>
          <w:sz w:val="24"/>
          <w:szCs w:val="24"/>
          <w:lang w:val="en-US" w:eastAsia="zh-CN"/>
        </w:rPr>
        <w:t>前三位</w:t>
      </w:r>
      <w:r>
        <w:rPr>
          <w:rFonts w:hint="eastAsia" w:ascii="仿宋" w:hAnsi="仿宋" w:eastAsia="仿宋"/>
          <w:sz w:val="24"/>
          <w:szCs w:val="24"/>
        </w:rPr>
        <w:t>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A57729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14B428C">
      <w:pPr>
        <w:spacing w:line="360" w:lineRule="auto"/>
        <w:ind w:firstLine="480" w:firstLineChars="200"/>
        <w:rPr>
          <w:rFonts w:hint="eastAsia" w:ascii="仿宋" w:hAnsi="仿宋" w:eastAsia="仿宋"/>
          <w:sz w:val="24"/>
          <w:szCs w:val="24"/>
        </w:rPr>
      </w:pPr>
    </w:p>
    <w:p w14:paraId="6FE17032">
      <w:pPr>
        <w:spacing w:line="360" w:lineRule="auto"/>
        <w:ind w:firstLine="480" w:firstLineChars="200"/>
        <w:rPr>
          <w:rFonts w:hint="eastAsia" w:ascii="仿宋" w:hAnsi="仿宋" w:eastAsia="仿宋"/>
          <w:sz w:val="24"/>
          <w:szCs w:val="24"/>
        </w:rPr>
      </w:pPr>
    </w:p>
    <w:p w14:paraId="48FDB754">
      <w:pPr>
        <w:spacing w:line="360" w:lineRule="auto"/>
        <w:ind w:firstLine="480" w:firstLineChars="200"/>
        <w:rPr>
          <w:rFonts w:hint="eastAsia" w:ascii="仿宋" w:hAnsi="仿宋" w:eastAsia="仿宋"/>
          <w:sz w:val="24"/>
          <w:szCs w:val="24"/>
        </w:rPr>
      </w:pPr>
    </w:p>
    <w:p w14:paraId="634AEBA5">
      <w:pPr>
        <w:spacing w:line="360" w:lineRule="auto"/>
        <w:ind w:firstLine="480" w:firstLineChars="200"/>
        <w:rPr>
          <w:rFonts w:hint="eastAsia" w:ascii="仿宋" w:hAnsi="仿宋" w:eastAsia="仿宋"/>
          <w:sz w:val="24"/>
          <w:szCs w:val="24"/>
        </w:rPr>
      </w:pPr>
    </w:p>
    <w:p w14:paraId="056FE710">
      <w:pPr>
        <w:pStyle w:val="7"/>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9527"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456"/>
        <w:gridCol w:w="813"/>
        <w:gridCol w:w="704"/>
        <w:gridCol w:w="704"/>
        <w:gridCol w:w="6850"/>
      </w:tblGrid>
      <w:tr w14:paraId="608006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tblHeader/>
          <w:jc w:val="center"/>
        </w:trPr>
        <w:tc>
          <w:tcPr>
            <w:tcW w:w="322" w:type="dxa"/>
            <w:tcBorders>
              <w:top w:val="single" w:color="auto" w:sz="4" w:space="0"/>
              <w:left w:val="single" w:color="auto" w:sz="4" w:space="0"/>
            </w:tcBorders>
            <w:vAlign w:val="center"/>
          </w:tcPr>
          <w:p w14:paraId="3FB5E375">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序号</w:t>
            </w:r>
          </w:p>
        </w:tc>
        <w:tc>
          <w:tcPr>
            <w:tcW w:w="820" w:type="dxa"/>
            <w:tcBorders>
              <w:top w:val="single" w:color="auto" w:sz="4" w:space="0"/>
            </w:tcBorders>
            <w:vAlign w:val="center"/>
          </w:tcPr>
          <w:p w14:paraId="0E912CC7">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评审因素</w:t>
            </w:r>
          </w:p>
        </w:tc>
        <w:tc>
          <w:tcPr>
            <w:tcW w:w="709" w:type="dxa"/>
            <w:tcBorders>
              <w:top w:val="single" w:color="auto" w:sz="4" w:space="0"/>
            </w:tcBorders>
            <w:vAlign w:val="center"/>
          </w:tcPr>
          <w:p w14:paraId="53289C6E">
            <w:pPr>
              <w:widowControl w:val="0"/>
              <w:adjustRightInd w:val="0"/>
              <w:snapToGrid w:val="0"/>
              <w:spacing w:line="276" w:lineRule="auto"/>
              <w:jc w:val="center"/>
              <w:rPr>
                <w:rFonts w:hint="eastAsia" w:ascii="黑体" w:hAnsi="黑体" w:eastAsia="黑体" w:cs="Times New Roman"/>
                <w:bCs/>
                <w:kern w:val="0"/>
                <w:sz w:val="24"/>
                <w:szCs w:val="20"/>
                <w14:ligatures w14:val="none"/>
              </w:rPr>
            </w:pPr>
            <w:r>
              <w:rPr>
                <w:rFonts w:hint="eastAsia" w:ascii="黑体" w:hAnsi="黑体" w:eastAsia="黑体" w:cs="Times New Roman"/>
                <w:bCs/>
                <w:kern w:val="0"/>
                <w:sz w:val="24"/>
                <w:szCs w:val="20"/>
                <w14:ligatures w14:val="none"/>
              </w:rPr>
              <w:t>评分因素</w:t>
            </w:r>
          </w:p>
        </w:tc>
        <w:tc>
          <w:tcPr>
            <w:tcW w:w="709" w:type="dxa"/>
            <w:tcBorders>
              <w:top w:val="single" w:color="auto" w:sz="4" w:space="0"/>
            </w:tcBorders>
            <w:vAlign w:val="center"/>
          </w:tcPr>
          <w:p w14:paraId="3FD14CD8">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分值</w:t>
            </w:r>
          </w:p>
        </w:tc>
        <w:tc>
          <w:tcPr>
            <w:tcW w:w="6967" w:type="dxa"/>
            <w:tcBorders>
              <w:top w:val="single" w:color="auto" w:sz="4" w:space="0"/>
              <w:right w:val="single" w:color="auto" w:sz="4" w:space="0"/>
            </w:tcBorders>
            <w:vAlign w:val="center"/>
          </w:tcPr>
          <w:p w14:paraId="46E875D5">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评分标准</w:t>
            </w:r>
          </w:p>
        </w:tc>
      </w:tr>
      <w:tr w14:paraId="2C946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54F0E9E0">
            <w:pPr>
              <w:widowControl w:val="0"/>
              <w:adjustRightInd w:val="0"/>
              <w:snapToGrid w:val="0"/>
              <w:spacing w:line="276" w:lineRule="auto"/>
              <w:jc w:val="center"/>
              <w:rPr>
                <w:rFonts w:hint="eastAsia" w:ascii="宋体" w:hAnsi="宋体" w:eastAsia="宋体" w:cs="Times New Roman"/>
                <w:b/>
                <w:kern w:val="0"/>
                <w:sz w:val="24"/>
                <w:szCs w:val="24"/>
                <w14:ligatures w14:val="none"/>
              </w:rPr>
            </w:pPr>
            <w:r>
              <w:rPr>
                <w:rFonts w:hint="eastAsia" w:ascii="宋体" w:hAnsi="宋体" w:eastAsia="宋体" w:cs="Times New Roman"/>
                <w:kern w:val="0"/>
                <w:sz w:val="24"/>
                <w:szCs w:val="24"/>
                <w14:ligatures w14:val="none"/>
              </w:rPr>
              <w:t>1</w:t>
            </w:r>
          </w:p>
        </w:tc>
        <w:tc>
          <w:tcPr>
            <w:tcW w:w="820" w:type="dxa"/>
            <w:vAlign w:val="center"/>
          </w:tcPr>
          <w:p w14:paraId="03024C5B">
            <w:pPr>
              <w:widowControl w:val="0"/>
              <w:adjustRightInd w:val="0"/>
              <w:snapToGrid w:val="0"/>
              <w:spacing w:line="276" w:lineRule="auto"/>
              <w:jc w:val="center"/>
              <w:rPr>
                <w:rFonts w:hint="eastAsia" w:ascii="宋体" w:hAnsi="宋体" w:eastAsia="宋体" w:cs="Times New Roman"/>
                <w:kern w:val="0"/>
                <w:sz w:val="24"/>
                <w:szCs w:val="24"/>
                <w14:ligatures w14:val="none"/>
              </w:rPr>
            </w:pPr>
            <w:r>
              <w:rPr>
                <w:rFonts w:hint="eastAsia" w:ascii="宋体" w:hAnsi="宋体" w:eastAsia="宋体" w:cs="Times New Roman"/>
                <w:kern w:val="0"/>
                <w:sz w:val="24"/>
                <w:szCs w:val="24"/>
                <w14:ligatures w14:val="none"/>
              </w:rPr>
              <w:t>报价</w:t>
            </w:r>
          </w:p>
          <w:p w14:paraId="2D1BDE98">
            <w:pPr>
              <w:widowControl w:val="0"/>
              <w:adjustRightInd w:val="0"/>
              <w:snapToGrid w:val="0"/>
              <w:spacing w:line="276" w:lineRule="auto"/>
              <w:jc w:val="center"/>
              <w:rPr>
                <w:rFonts w:hint="eastAsia" w:ascii="宋体" w:hAnsi="宋体" w:eastAsia="宋体" w:cs="Times New Roman"/>
                <w:b/>
                <w:kern w:val="0"/>
                <w:sz w:val="24"/>
                <w:szCs w:val="24"/>
                <w14:ligatures w14:val="none"/>
              </w:rPr>
            </w:pPr>
            <w:r>
              <w:rPr>
                <w:rFonts w:hint="eastAsia" w:ascii="宋体" w:hAnsi="宋体" w:eastAsia="宋体" w:cs="Times New Roman"/>
                <w:kern w:val="0"/>
                <w:sz w:val="24"/>
                <w:szCs w:val="24"/>
                <w14:ligatures w14:val="none"/>
              </w:rPr>
              <w:t>30分</w:t>
            </w:r>
          </w:p>
        </w:tc>
        <w:tc>
          <w:tcPr>
            <w:tcW w:w="709" w:type="dxa"/>
            <w:vAlign w:val="center"/>
          </w:tcPr>
          <w:p w14:paraId="5121ACAA">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报价</w:t>
            </w:r>
          </w:p>
        </w:tc>
        <w:tc>
          <w:tcPr>
            <w:tcW w:w="709" w:type="dxa"/>
            <w:vAlign w:val="center"/>
          </w:tcPr>
          <w:p w14:paraId="35526F8D">
            <w:pPr>
              <w:widowControl w:val="0"/>
              <w:adjustRightInd w:val="0"/>
              <w:snapToGrid w:val="0"/>
              <w:spacing w:line="276" w:lineRule="auto"/>
              <w:jc w:val="center"/>
              <w:rPr>
                <w:rFonts w:hint="eastAsia" w:ascii="宋体" w:hAnsi="宋体" w:eastAsia="宋体" w:cs="Times New Roman"/>
                <w:kern w:val="0"/>
                <w:sz w:val="24"/>
                <w:szCs w:val="24"/>
                <w14:ligatures w14:val="none"/>
              </w:rPr>
            </w:pPr>
            <w:r>
              <w:rPr>
                <w:rFonts w:hint="eastAsia" w:ascii="宋体" w:hAnsi="宋体" w:eastAsia="宋体" w:cs="Times New Roman"/>
                <w:kern w:val="0"/>
                <w:sz w:val="24"/>
                <w:szCs w:val="24"/>
                <w14:ligatures w14:val="none"/>
              </w:rPr>
              <w:t>30</w:t>
            </w:r>
          </w:p>
        </w:tc>
        <w:tc>
          <w:tcPr>
            <w:tcW w:w="6967" w:type="dxa"/>
            <w:tcBorders>
              <w:right w:val="single" w:color="auto" w:sz="4" w:space="0"/>
            </w:tcBorders>
            <w:vAlign w:val="center"/>
          </w:tcPr>
          <w:p w14:paraId="2296E660">
            <w:pPr>
              <w:widowControl w:val="0"/>
              <w:adjustRightInd w:val="0"/>
              <w:snapToGrid w:val="0"/>
              <w:spacing w:line="276" w:lineRule="auto"/>
              <w:jc w:val="both"/>
              <w:rPr>
                <w:rFonts w:hint="eastAsia" w:ascii="宋体" w:hAnsi="宋体" w:eastAsia="宋体" w:cs="Times New Roman"/>
                <w:b/>
                <w:kern w:val="0"/>
                <w:sz w:val="24"/>
                <w:szCs w:val="24"/>
                <w14:ligatures w14:val="none"/>
              </w:rPr>
            </w:pPr>
            <w:r>
              <w:rPr>
                <w:rFonts w:hint="eastAsia" w:ascii="宋体" w:hAnsi="宋体" w:eastAsia="宋体" w:cs="宋体"/>
                <w:kern w:val="0"/>
                <w:sz w:val="24"/>
                <w:szCs w:val="24"/>
                <w14:ligatures w14:val="none"/>
              </w:rPr>
              <w:t>以经评委会一致认定满足招标文件要求且投标综合费率最</w:t>
            </w:r>
            <w:r>
              <w:rPr>
                <w:rFonts w:hint="eastAsia" w:ascii="宋体" w:hAnsi="宋体" w:cs="宋体"/>
                <w:kern w:val="0"/>
                <w:sz w:val="24"/>
                <w:szCs w:val="24"/>
                <w:lang w:val="en-US" w:eastAsia="zh-CN"/>
                <w14:ligatures w14:val="none"/>
              </w:rPr>
              <w:t>低</w:t>
            </w:r>
            <w:r>
              <w:rPr>
                <w:rFonts w:hint="eastAsia" w:ascii="宋体" w:hAnsi="宋体" w:eastAsia="宋体" w:cs="宋体"/>
                <w:kern w:val="0"/>
                <w:sz w:val="24"/>
                <w:szCs w:val="24"/>
                <w14:ligatures w14:val="none"/>
              </w:rPr>
              <w:t>的投标报价为评标基准价，其价格得分计30分。其他投标人的价格得分统一按公式计算：报价得分=（评标基准价/投标报价）×价格权重。</w:t>
            </w:r>
          </w:p>
        </w:tc>
      </w:tr>
      <w:tr w14:paraId="1D4E86B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728D26C6">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2</w:t>
            </w:r>
          </w:p>
        </w:tc>
        <w:tc>
          <w:tcPr>
            <w:tcW w:w="820" w:type="dxa"/>
            <w:vMerge w:val="restart"/>
            <w:vAlign w:val="center"/>
          </w:tcPr>
          <w:p w14:paraId="15C09FC6">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技术部分</w:t>
            </w:r>
          </w:p>
          <w:p w14:paraId="55D46DB2">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36分</w:t>
            </w:r>
          </w:p>
        </w:tc>
        <w:tc>
          <w:tcPr>
            <w:tcW w:w="709" w:type="dxa"/>
            <w:vAlign w:val="center"/>
          </w:tcPr>
          <w:p w14:paraId="5909F7C0">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宋体"/>
                <w:kern w:val="0"/>
                <w:sz w:val="24"/>
                <w:szCs w:val="24"/>
                <w14:ligatures w14:val="none"/>
              </w:rPr>
              <w:t>服务方案</w:t>
            </w:r>
          </w:p>
        </w:tc>
        <w:tc>
          <w:tcPr>
            <w:tcW w:w="709" w:type="dxa"/>
            <w:vAlign w:val="center"/>
          </w:tcPr>
          <w:p w14:paraId="6B248703">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12</w:t>
            </w:r>
          </w:p>
        </w:tc>
        <w:tc>
          <w:tcPr>
            <w:tcW w:w="6967" w:type="dxa"/>
            <w:tcBorders>
              <w:right w:val="single" w:color="auto" w:sz="4" w:space="0"/>
            </w:tcBorders>
            <w:vAlign w:val="center"/>
          </w:tcPr>
          <w:p w14:paraId="4AE49192">
            <w:pPr>
              <w:widowControl w:val="0"/>
              <w:adjustRightInd w:val="0"/>
              <w:snapToGrid w:val="0"/>
              <w:spacing w:line="276" w:lineRule="auto"/>
              <w:jc w:val="both"/>
              <w:rPr>
                <w:rFonts w:hint="eastAsia" w:ascii="宋体" w:hAnsi="宋体" w:eastAsia="宋体" w:cs="宋体"/>
                <w:kern w:val="0"/>
                <w:sz w:val="24"/>
                <w:szCs w:val="24"/>
                <w14:ligatures w14:val="none"/>
              </w:rPr>
            </w:pPr>
            <w:r>
              <w:rPr>
                <w:rFonts w:hint="eastAsia" w:ascii="宋体" w:hAnsi="宋体" w:eastAsia="宋体" w:cs="宋体"/>
                <w:kern w:val="0"/>
                <w:sz w:val="24"/>
                <w:szCs w:val="20"/>
                <w14:ligatures w14:val="none"/>
              </w:rPr>
              <w:t>供应商根据本项目特点及要求提供的服务方案进行综合评价，方案包括但不限于：①组织机构及人员岗位职责安排；②工作管理制度；③动态管理方案；</w:t>
            </w:r>
            <w:r>
              <w:rPr>
                <w:rFonts w:hint="eastAsia" w:ascii="宋体" w:hAnsi="宋体" w:eastAsia="宋体" w:cs="宋体"/>
                <w:kern w:val="0"/>
                <w:sz w:val="24"/>
                <w:szCs w:val="24"/>
                <w14:ligatures w14:val="none"/>
              </w:rPr>
              <w:t>④售后保障措施。</w:t>
            </w:r>
          </w:p>
          <w:p w14:paraId="6B262ED4">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4"/>
                <w14:ligatures w14:val="none"/>
              </w:rPr>
              <w:t>评审小组根据方案的完整性、合理性及操作性等进行评价，以上①-④条方案内容全面、科学合理的每条得3分；方案较完整、能满足基本保障要求的每条得2分；方案有缺失、操作性一般的得1分；其他不得分。有漏项的，每项扣3分。未提供不得分。</w:t>
            </w:r>
          </w:p>
        </w:tc>
      </w:tr>
      <w:tr w14:paraId="1EBE21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01DA9229">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3</w:t>
            </w:r>
          </w:p>
        </w:tc>
        <w:tc>
          <w:tcPr>
            <w:tcW w:w="820" w:type="dxa"/>
            <w:vMerge w:val="continue"/>
            <w:vAlign w:val="center"/>
          </w:tcPr>
          <w:p w14:paraId="669F2787">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vAlign w:val="center"/>
          </w:tcPr>
          <w:p w14:paraId="5817EFE6">
            <w:pPr>
              <w:widowControl w:val="0"/>
              <w:adjustRightInd w:val="0"/>
              <w:snapToGrid w:val="0"/>
              <w:spacing w:line="276" w:lineRule="auto"/>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工作流程</w:t>
            </w:r>
          </w:p>
        </w:tc>
        <w:tc>
          <w:tcPr>
            <w:tcW w:w="709" w:type="dxa"/>
            <w:vAlign w:val="center"/>
          </w:tcPr>
          <w:p w14:paraId="6576DA23">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12</w:t>
            </w:r>
          </w:p>
        </w:tc>
        <w:tc>
          <w:tcPr>
            <w:tcW w:w="6967" w:type="dxa"/>
            <w:tcBorders>
              <w:right w:val="single" w:color="auto" w:sz="4" w:space="0"/>
            </w:tcBorders>
            <w:vAlign w:val="center"/>
          </w:tcPr>
          <w:p w14:paraId="72AEE381">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供应商根据本项目特点及要求提供的工作流程进行综合评价，内容包括但不限于：①工作依据及规范；②工作流程图；③重点难点分析及解决策略；④风险防控。</w:t>
            </w:r>
          </w:p>
          <w:p w14:paraId="27BABC86">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4"/>
                <w14:ligatures w14:val="none"/>
              </w:rPr>
              <w:t>评审小组根据方案的完整性、合理性及操作性等进行评价，以上①-</w:t>
            </w:r>
            <w:r>
              <w:rPr>
                <w:rFonts w:hint="eastAsia" w:ascii="宋体" w:hAnsi="宋体" w:eastAsia="宋体" w:cs="宋体"/>
                <w:kern w:val="0"/>
                <w:sz w:val="24"/>
                <w:szCs w:val="20"/>
                <w14:ligatures w14:val="none"/>
              </w:rPr>
              <w:t>④</w:t>
            </w:r>
            <w:r>
              <w:rPr>
                <w:rFonts w:hint="eastAsia" w:ascii="宋体" w:hAnsi="宋体" w:eastAsia="宋体" w:cs="宋体"/>
                <w:kern w:val="0"/>
                <w:sz w:val="24"/>
                <w:szCs w:val="24"/>
                <w14:ligatures w14:val="none"/>
              </w:rPr>
              <w:t>条方案内容全面、科学合理的每条得3分；方案较完整、能满足基本保障要求的每条得2分；方案有缺失、操作性一般的得1分；其他不得分。有漏项的，每项扣3分。未提供不得分。</w:t>
            </w:r>
          </w:p>
        </w:tc>
      </w:tr>
      <w:tr w14:paraId="04FF5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32315791">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4</w:t>
            </w:r>
          </w:p>
        </w:tc>
        <w:tc>
          <w:tcPr>
            <w:tcW w:w="820" w:type="dxa"/>
            <w:vMerge w:val="continue"/>
            <w:vAlign w:val="center"/>
          </w:tcPr>
          <w:p w14:paraId="240DCBC2">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vAlign w:val="center"/>
          </w:tcPr>
          <w:p w14:paraId="00C9ADFF">
            <w:pPr>
              <w:widowControl w:val="0"/>
              <w:adjustRightInd w:val="0"/>
              <w:snapToGrid w:val="0"/>
              <w:spacing w:line="276" w:lineRule="auto"/>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质量保证</w:t>
            </w:r>
          </w:p>
        </w:tc>
        <w:tc>
          <w:tcPr>
            <w:tcW w:w="709" w:type="dxa"/>
            <w:vAlign w:val="center"/>
          </w:tcPr>
          <w:p w14:paraId="52B92FE2">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12</w:t>
            </w:r>
          </w:p>
        </w:tc>
        <w:tc>
          <w:tcPr>
            <w:tcW w:w="6967" w:type="dxa"/>
            <w:tcBorders>
              <w:right w:val="single" w:color="auto" w:sz="4" w:space="0"/>
            </w:tcBorders>
            <w:vAlign w:val="center"/>
          </w:tcPr>
          <w:p w14:paraId="299ABA9F">
            <w:pPr>
              <w:widowControl w:val="0"/>
              <w:adjustRightInd w:val="0"/>
              <w:snapToGrid w:val="0"/>
              <w:spacing w:line="276" w:lineRule="auto"/>
              <w:jc w:val="both"/>
              <w:rPr>
                <w:rFonts w:hint="eastAsia" w:ascii="宋体" w:hAnsi="宋体" w:eastAsia="宋体" w:cs="宋体"/>
                <w:kern w:val="0"/>
                <w:sz w:val="24"/>
                <w:szCs w:val="24"/>
                <w14:ligatures w14:val="none"/>
              </w:rPr>
            </w:pPr>
            <w:r>
              <w:rPr>
                <w:rFonts w:hint="eastAsia" w:ascii="宋体" w:hAnsi="宋体" w:eastAsia="宋体" w:cs="宋体"/>
                <w:kern w:val="0"/>
                <w:sz w:val="24"/>
                <w:szCs w:val="20"/>
                <w14:ligatures w14:val="none"/>
              </w:rPr>
              <w:t>供应商根据本项目特点及要求提供的</w:t>
            </w:r>
            <w:r>
              <w:rPr>
                <w:rFonts w:hint="eastAsia" w:ascii="宋体" w:hAnsi="宋体" w:eastAsia="宋体" w:cs="宋体"/>
                <w:kern w:val="0"/>
                <w:sz w:val="24"/>
                <w:szCs w:val="24"/>
                <w14:ligatures w14:val="none"/>
              </w:rPr>
              <w:t>质量、进度控制及保证措施进行综合评价，内容包括但不限于：①质保体系建设；②进度计划安排；③保障措施；④应急预案。</w:t>
            </w:r>
          </w:p>
          <w:p w14:paraId="1F4F7080">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4"/>
                <w14:ligatures w14:val="none"/>
              </w:rPr>
              <w:t>评审小组根据方案的完整性、合理性及操作性等进行评价，以上①-</w:t>
            </w:r>
            <w:r>
              <w:rPr>
                <w:rFonts w:hint="eastAsia" w:ascii="宋体" w:hAnsi="宋体" w:eastAsia="宋体" w:cs="宋体"/>
                <w:kern w:val="0"/>
                <w:sz w:val="24"/>
                <w:szCs w:val="20"/>
                <w14:ligatures w14:val="none"/>
              </w:rPr>
              <w:t>④</w:t>
            </w:r>
            <w:r>
              <w:rPr>
                <w:rFonts w:hint="eastAsia" w:ascii="宋体" w:hAnsi="宋体" w:eastAsia="宋体" w:cs="宋体"/>
                <w:kern w:val="0"/>
                <w:sz w:val="24"/>
                <w:szCs w:val="24"/>
                <w14:ligatures w14:val="none"/>
              </w:rPr>
              <w:t>条方案内容全面、科学合理的每条得3分；方案较完整、能满足基本保障要求的每条得2分；方案有缺失、操作性一般的得1分；其他不得分。有漏项的，每项扣3分。未提供不得分。</w:t>
            </w:r>
          </w:p>
        </w:tc>
      </w:tr>
      <w:tr w14:paraId="0CC28D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0B19EB5A">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5</w:t>
            </w:r>
          </w:p>
        </w:tc>
        <w:tc>
          <w:tcPr>
            <w:tcW w:w="820" w:type="dxa"/>
            <w:vMerge w:val="restart"/>
            <w:vAlign w:val="center"/>
          </w:tcPr>
          <w:p w14:paraId="73AE0645">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商务部分</w:t>
            </w:r>
          </w:p>
          <w:p w14:paraId="35BFD9E3">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34分</w:t>
            </w:r>
          </w:p>
        </w:tc>
        <w:tc>
          <w:tcPr>
            <w:tcW w:w="709" w:type="dxa"/>
            <w:vAlign w:val="center"/>
          </w:tcPr>
          <w:p w14:paraId="187CB47F">
            <w:pPr>
              <w:widowControl w:val="0"/>
              <w:adjustRightInd w:val="0"/>
              <w:snapToGrid w:val="0"/>
              <w:spacing w:line="276" w:lineRule="auto"/>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综合实力</w:t>
            </w:r>
          </w:p>
        </w:tc>
        <w:tc>
          <w:tcPr>
            <w:tcW w:w="709" w:type="dxa"/>
            <w:vAlign w:val="center"/>
          </w:tcPr>
          <w:p w14:paraId="6FDFCF6F">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2</w:t>
            </w:r>
          </w:p>
        </w:tc>
        <w:tc>
          <w:tcPr>
            <w:tcW w:w="6967" w:type="dxa"/>
            <w:tcBorders>
              <w:right w:val="single" w:color="auto" w:sz="4" w:space="0"/>
            </w:tcBorders>
            <w:vAlign w:val="center"/>
          </w:tcPr>
          <w:p w14:paraId="7FD9D874">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供应商具有有效期内的质量管理体系认证证书计2分。</w:t>
            </w:r>
          </w:p>
          <w:p w14:paraId="6830C17E">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注：证书应在全国认证认可信息公共服务平台可查询，响应文件中提供证书查询截图及证书复印件，以上资料均须加盖供应商公章，否则不计分。</w:t>
            </w:r>
          </w:p>
        </w:tc>
      </w:tr>
      <w:tr w14:paraId="3AC5E4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4BF94067">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6</w:t>
            </w:r>
          </w:p>
        </w:tc>
        <w:tc>
          <w:tcPr>
            <w:tcW w:w="820" w:type="dxa"/>
            <w:vMerge w:val="continue"/>
            <w:vAlign w:val="center"/>
          </w:tcPr>
          <w:p w14:paraId="2BA20C97">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vAlign w:val="center"/>
          </w:tcPr>
          <w:p w14:paraId="3885A697">
            <w:pPr>
              <w:widowControl w:val="0"/>
              <w:adjustRightInd w:val="0"/>
              <w:snapToGrid w:val="0"/>
              <w:spacing w:line="276" w:lineRule="auto"/>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类似业绩</w:t>
            </w:r>
          </w:p>
        </w:tc>
        <w:tc>
          <w:tcPr>
            <w:tcW w:w="709" w:type="dxa"/>
            <w:vAlign w:val="center"/>
          </w:tcPr>
          <w:p w14:paraId="3774F0FB">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16</w:t>
            </w:r>
          </w:p>
        </w:tc>
        <w:tc>
          <w:tcPr>
            <w:tcW w:w="6967" w:type="dxa"/>
            <w:tcBorders>
              <w:right w:val="single" w:color="auto" w:sz="4" w:space="0"/>
            </w:tcBorders>
            <w:vAlign w:val="center"/>
          </w:tcPr>
          <w:p w14:paraId="0E846FE9">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供应商提供自2022年7月至本项目响应文件递交截止时间（以合同签订日期为准承担过类似的项目业绩，每提供1个得2分，最高16分。</w:t>
            </w:r>
          </w:p>
          <w:p w14:paraId="0ABFD87A">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注：类似项目业绩是指工程造价预算审核或结算审核业绩。提供合同复印件及报告主页，以上资料均须加盖供应商公章，否则不计分。</w:t>
            </w:r>
          </w:p>
        </w:tc>
      </w:tr>
      <w:tr w14:paraId="4B5C1E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1AB9D308">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7</w:t>
            </w:r>
          </w:p>
        </w:tc>
        <w:tc>
          <w:tcPr>
            <w:tcW w:w="820" w:type="dxa"/>
            <w:vMerge w:val="continue"/>
            <w:vAlign w:val="center"/>
          </w:tcPr>
          <w:p w14:paraId="31C7FC42">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vAlign w:val="center"/>
          </w:tcPr>
          <w:p w14:paraId="3BF96B18">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项目负责人</w:t>
            </w:r>
          </w:p>
        </w:tc>
        <w:tc>
          <w:tcPr>
            <w:tcW w:w="709" w:type="dxa"/>
            <w:vAlign w:val="center"/>
          </w:tcPr>
          <w:p w14:paraId="0A04D925">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9</w:t>
            </w:r>
          </w:p>
        </w:tc>
        <w:tc>
          <w:tcPr>
            <w:tcW w:w="6967" w:type="dxa"/>
            <w:tcBorders>
              <w:right w:val="single" w:color="auto" w:sz="4" w:space="0"/>
            </w:tcBorders>
            <w:vAlign w:val="center"/>
          </w:tcPr>
          <w:p w14:paraId="14A1950D">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拟任本项目的项目负责人具有一级注册造价工程师（原全国注册造价师）资格，同时具备高级职称，计9分；具有一级注册造价工程师（原全国注册造价师）资格，同时具备中级职称，计6分；仅具有一级注册造价工程师（原全国注册造价师）资格，或是仅具备高级职称，计3分；其余不计分。</w:t>
            </w:r>
          </w:p>
          <w:p w14:paraId="711402A1">
            <w:pPr>
              <w:widowControl w:val="0"/>
              <w:adjustRightInd w:val="0"/>
              <w:snapToGrid w:val="0"/>
              <w:spacing w:line="276" w:lineRule="auto"/>
              <w:jc w:val="both"/>
              <w:rPr>
                <w:rFonts w:hint="eastAsia" w:ascii="宋体" w:hAnsi="宋体" w:eastAsia="宋体" w:cs="宋体"/>
                <w:color w:val="000000"/>
                <w:kern w:val="0"/>
                <w:sz w:val="24"/>
                <w:szCs w:val="24"/>
                <w14:ligatures w14:val="none"/>
              </w:rPr>
            </w:pPr>
            <w:r>
              <w:rPr>
                <w:rFonts w:hint="eastAsia" w:ascii="宋体" w:hAnsi="宋体" w:eastAsia="宋体" w:cs="宋体"/>
                <w:color w:val="000000"/>
                <w:kern w:val="0"/>
                <w:sz w:val="24"/>
                <w:szCs w:val="24"/>
                <w14:ligatures w14:val="none"/>
              </w:rPr>
              <w:t>注：相关人员需提供身份证、一</w:t>
            </w:r>
            <w:r>
              <w:rPr>
                <w:rFonts w:hint="eastAsia" w:ascii="宋体" w:hAnsi="宋体" w:eastAsia="宋体" w:cs="宋体"/>
                <w:kern w:val="0"/>
                <w:sz w:val="24"/>
                <w:szCs w:val="20"/>
                <w14:ligatures w14:val="none"/>
              </w:rPr>
              <w:t>级注册造价工程师（原全国注册造价师）</w:t>
            </w:r>
            <w:r>
              <w:rPr>
                <w:rFonts w:hint="eastAsia" w:ascii="宋体" w:hAnsi="宋体" w:eastAsia="宋体" w:cs="宋体"/>
                <w:color w:val="000000"/>
                <w:kern w:val="0"/>
                <w:sz w:val="24"/>
                <w:szCs w:val="24"/>
                <w14:ligatures w14:val="none"/>
              </w:rPr>
              <w:t>资格证书、职称证书及近半年内连续三个月在投标单位的社保缴纳证明复印件和在本单位的劳动合同。</w:t>
            </w:r>
            <w:r>
              <w:rPr>
                <w:rFonts w:hint="eastAsia" w:ascii="宋体" w:hAnsi="宋体" w:eastAsia="宋体" w:cs="宋体"/>
                <w:kern w:val="0"/>
                <w:sz w:val="24"/>
                <w:szCs w:val="20"/>
                <w14:ligatures w14:val="none"/>
              </w:rPr>
              <w:t>以上资料均须加盖供应商公章，否则不计分。</w:t>
            </w:r>
          </w:p>
        </w:tc>
      </w:tr>
      <w:tr w14:paraId="2480A74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bottom w:val="single" w:color="auto" w:sz="4" w:space="0"/>
            </w:tcBorders>
            <w:vAlign w:val="center"/>
          </w:tcPr>
          <w:p w14:paraId="17610CE2">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8</w:t>
            </w:r>
          </w:p>
        </w:tc>
        <w:tc>
          <w:tcPr>
            <w:tcW w:w="820" w:type="dxa"/>
            <w:vMerge w:val="continue"/>
            <w:tcBorders>
              <w:bottom w:val="single" w:color="auto" w:sz="4" w:space="0"/>
            </w:tcBorders>
            <w:vAlign w:val="center"/>
          </w:tcPr>
          <w:p w14:paraId="4BD0B149">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tcBorders>
              <w:bottom w:val="single" w:color="auto" w:sz="4" w:space="0"/>
            </w:tcBorders>
            <w:vAlign w:val="center"/>
          </w:tcPr>
          <w:p w14:paraId="42126873">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宋体"/>
                <w:kern w:val="0"/>
                <w:sz w:val="21"/>
                <w:szCs w:val="21"/>
                <w14:ligatures w14:val="none"/>
              </w:rPr>
              <w:t>人员配备</w:t>
            </w:r>
          </w:p>
        </w:tc>
        <w:tc>
          <w:tcPr>
            <w:tcW w:w="709" w:type="dxa"/>
            <w:tcBorders>
              <w:bottom w:val="single" w:color="auto" w:sz="4" w:space="0"/>
            </w:tcBorders>
            <w:vAlign w:val="center"/>
          </w:tcPr>
          <w:p w14:paraId="6A21FC9C">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7</w:t>
            </w:r>
          </w:p>
        </w:tc>
        <w:tc>
          <w:tcPr>
            <w:tcW w:w="6967" w:type="dxa"/>
            <w:tcBorders>
              <w:bottom w:val="single" w:color="auto" w:sz="4" w:space="0"/>
              <w:right w:val="single" w:color="auto" w:sz="4" w:space="0"/>
            </w:tcBorders>
            <w:vAlign w:val="center"/>
          </w:tcPr>
          <w:p w14:paraId="27520BAB">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拟配备的项目组成员中（不含项目负责人）具有注册造价工程师资格，每提供1人计1分，最多计7分。</w:t>
            </w:r>
          </w:p>
          <w:p w14:paraId="23526846">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注：相关人员需提供身份证、注册造价工程师证书及近半年内连续三个月在投标单位的社保缴纳证明复印件和在本单位的劳动合同。以上资料均须加盖供应商公章，否则不计分。</w:t>
            </w:r>
          </w:p>
        </w:tc>
      </w:tr>
    </w:tbl>
    <w:p w14:paraId="1F838AB8"/>
    <w:p w14:paraId="2CE8C035"/>
    <w:p w14:paraId="450018AE"/>
    <w:p w14:paraId="5077E8EB">
      <w:pPr>
        <w:pStyle w:val="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7"/>
        <w:ind w:left="0" w:leftChars="0" w:firstLine="0"/>
      </w:pPr>
    </w:p>
    <w:p w14:paraId="14FCD1CB">
      <w:pPr>
        <w:pStyle w:val="7"/>
        <w:ind w:left="0" w:leftChars="0" w:firstLine="0"/>
        <w:jc w:val="center"/>
        <w:rPr>
          <w:rFonts w:hint="eastAsia" w:ascii="宋体" w:hAnsi="宋体" w:eastAsia="仿宋" w:cs="宋体"/>
          <w:b/>
          <w:color w:val="333333"/>
          <w:kern w:val="0"/>
          <w:sz w:val="36"/>
          <w:szCs w:val="36"/>
        </w:rPr>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pPr>
    </w:p>
    <w:p w14:paraId="4DFEE8F5">
      <w:pPr>
        <w:pStyle w:val="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0F92DE75">
      <w:pPr>
        <w:pStyle w:val="10"/>
        <w:adjustRightInd w:val="0"/>
        <w:snapToGrid w:val="0"/>
        <w:spacing w:line="360" w:lineRule="auto"/>
        <w:rPr>
          <w:rFonts w:ascii="仿宋" w:hAnsi="仿宋" w:eastAsia="仿宋"/>
          <w:b/>
          <w:sz w:val="24"/>
          <w:szCs w:val="24"/>
        </w:rPr>
        <w:sectPr>
          <w:pgSz w:w="11906" w:h="16838"/>
          <w:pgMar w:top="1440" w:right="1800" w:bottom="1440" w:left="1800" w:header="851" w:footer="992" w:gutter="0"/>
          <w:cols w:space="720" w:num="1"/>
          <w:docGrid w:type="lines" w:linePitch="312" w:charSpace="0"/>
        </w:sect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1196C8BE">
      <w:pPr>
        <w:adjustRightInd w:val="0"/>
        <w:snapToGrid w:val="0"/>
        <w:spacing w:line="360" w:lineRule="auto"/>
        <w:ind w:right="24"/>
        <w:rPr>
          <w:rFonts w:hint="eastAsia" w:ascii="仿宋" w:hAnsi="仿宋" w:eastAsia="仿宋"/>
          <w:bCs/>
          <w:sz w:val="24"/>
          <w:szCs w:val="24"/>
        </w:rPr>
        <w:sectPr>
          <w:pgSz w:w="11906" w:h="16838"/>
          <w:pgMar w:top="1440" w:right="1800" w:bottom="1440" w:left="1800" w:header="851" w:footer="992" w:gutter="0"/>
          <w:cols w:space="720" w:num="1"/>
          <w:docGrid w:type="lines" w:linePitch="312" w:charSpace="0"/>
        </w:sect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7"/>
      </w:pPr>
    </w:p>
    <w:p w14:paraId="10CB8852"/>
    <w:p w14:paraId="7F870902"/>
    <w:p w14:paraId="78DBABB8">
      <w:pPr>
        <w:pStyle w:val="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11C58B85">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79C1F30D">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 xml:space="preserve">    </w:t>
      </w:r>
      <w:r>
        <w:rPr>
          <w:rFonts w:hint="eastAsia" w:ascii="仿宋" w:hAnsi="仿宋" w:eastAsia="仿宋"/>
          <w:sz w:val="24"/>
          <w:szCs w:val="24"/>
        </w:rPr>
        <w:t>询比文件，清楚文件中关</w:t>
      </w:r>
      <w:r>
        <w:rPr>
          <w:rFonts w:hint="eastAsia" w:ascii="仿宋" w:hAnsi="仿宋" w:eastAsia="仿宋" w:cs="Times New Roman"/>
          <w:sz w:val="24"/>
          <w:szCs w:val="24"/>
        </w:rPr>
        <w:t>于</w:t>
      </w:r>
      <w:r>
        <w:rPr>
          <w:rFonts w:hint="eastAsia" w:ascii="仿宋" w:hAnsi="仿宋" w:eastAsia="仿宋" w:cs="Times New Roman"/>
          <w:sz w:val="24"/>
          <w:szCs w:val="24"/>
          <w:lang w:val="en-US" w:eastAsia="zh-CN"/>
        </w:rPr>
        <w:t>零星基建</w:t>
      </w:r>
      <w:r>
        <w:rPr>
          <w:rFonts w:hint="eastAsia" w:ascii="仿宋" w:hAnsi="仿宋" w:eastAsia="仿宋" w:cs="Times New Roman"/>
          <w:sz w:val="24"/>
          <w:szCs w:val="24"/>
        </w:rPr>
        <w:t>项目审计服务项目的相关采购需</w:t>
      </w:r>
      <w:r>
        <w:rPr>
          <w:rFonts w:hint="eastAsia" w:ascii="仿宋" w:hAnsi="仿宋" w:eastAsia="仿宋"/>
          <w:sz w:val="24"/>
          <w:szCs w:val="24"/>
        </w:rPr>
        <w:t>求。</w:t>
      </w:r>
    </w:p>
    <w:p w14:paraId="03AB06DB">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03B7E568">
      <w:pPr>
        <w:spacing w:line="480" w:lineRule="auto"/>
        <w:jc w:val="left"/>
        <w:rPr>
          <w:rFonts w:hint="default" w:ascii="仿宋" w:hAnsi="仿宋" w:eastAsia="仿宋" w:cs="宋体"/>
          <w:sz w:val="24"/>
          <w:szCs w:val="24"/>
          <w:lang w:val="en-US"/>
        </w:rPr>
      </w:pPr>
      <w:r>
        <w:rPr>
          <w:rFonts w:hint="eastAsia" w:ascii="仿宋" w:hAnsi="仿宋" w:eastAsia="仿宋" w:cs="宋体"/>
          <w:sz w:val="24"/>
          <w:szCs w:val="24"/>
        </w:rPr>
        <w:t>我司最终报价：</w:t>
      </w:r>
      <w:r>
        <w:rPr>
          <w:rFonts w:hint="eastAsia" w:ascii="仿宋" w:hAnsi="仿宋" w:eastAsia="仿宋" w:cs="Times New Roman"/>
          <w:sz w:val="24"/>
          <w:szCs w:val="24"/>
          <w:lang w:val="en-US" w:eastAsia="zh-CN"/>
        </w:rPr>
        <w:t>零星基建</w:t>
      </w:r>
      <w:r>
        <w:rPr>
          <w:rFonts w:hint="eastAsia" w:ascii="仿宋" w:hAnsi="仿宋" w:eastAsia="仿宋" w:cs="Times New Roman"/>
          <w:sz w:val="24"/>
          <w:szCs w:val="24"/>
        </w:rPr>
        <w:t>项目审计服务项目</w:t>
      </w:r>
      <w:r>
        <w:rPr>
          <w:rFonts w:hint="eastAsia" w:ascii="仿宋" w:hAnsi="仿宋" w:eastAsia="仿宋" w:cs="宋体"/>
          <w:sz w:val="24"/>
          <w:szCs w:val="24"/>
          <w:lang w:eastAsia="zh-CN"/>
        </w:rPr>
        <w:t>投标综合费</w:t>
      </w:r>
      <w:r>
        <w:rPr>
          <w:rFonts w:hint="eastAsia" w:ascii="仿宋" w:hAnsi="仿宋" w:eastAsia="仿宋" w:cs="宋体"/>
          <w:sz w:val="24"/>
          <w:szCs w:val="24"/>
          <w:lang w:val="en-US" w:eastAsia="zh-CN"/>
        </w:rPr>
        <w:t>率</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lang w:val="en-US" w:eastAsia="zh-CN"/>
        </w:rPr>
        <w:t>%</w:t>
      </w:r>
    </w:p>
    <w:p w14:paraId="6C2EA6DF">
      <w:pPr>
        <w:spacing w:line="480" w:lineRule="auto"/>
        <w:ind w:firstLine="482" w:firstLineChars="200"/>
        <w:jc w:val="left"/>
        <w:rPr>
          <w:rFonts w:hint="eastAsia" w:ascii="仿宋" w:hAnsi="仿宋" w:eastAsia="仿宋" w:cs="宋体"/>
          <w:sz w:val="24"/>
          <w:szCs w:val="24"/>
        </w:rPr>
      </w:pPr>
      <w:r>
        <w:rPr>
          <w:rFonts w:hint="eastAsia" w:ascii="仿宋" w:hAnsi="仿宋" w:eastAsia="仿宋" w:cs="宋体"/>
          <w:b/>
          <w:bCs/>
          <w:sz w:val="24"/>
          <w:szCs w:val="24"/>
        </w:rPr>
        <w:t>备注：</w:t>
      </w:r>
      <w:r>
        <w:rPr>
          <w:rFonts w:hint="eastAsia" w:ascii="仿宋" w:hAnsi="仿宋" w:eastAsia="仿宋" w:cs="宋体"/>
          <w:sz w:val="24"/>
          <w:szCs w:val="24"/>
        </w:rPr>
        <w:t>投标综合费率不得高于湘建价协〔2016〕25号文计费标准的70%。</w:t>
      </w:r>
    </w:p>
    <w:p w14:paraId="5F526C0A">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default" w:ascii="仿宋" w:hAnsi="仿宋" w:eastAsia="仿宋" w:cs="宋体"/>
          <w:sz w:val="24"/>
          <w:szCs w:val="24"/>
          <w:lang w:val="en-US" w:eastAsia="zh-CN"/>
        </w:rPr>
      </w:pPr>
    </w:p>
    <w:p w14:paraId="7D71E965">
      <w:pPr>
        <w:spacing w:line="480" w:lineRule="auto"/>
        <w:ind w:firstLine="480" w:firstLineChars="200"/>
        <w:jc w:val="left"/>
        <w:rPr>
          <w:rFonts w:hint="eastAsia" w:ascii="仿宋" w:hAnsi="仿宋" w:eastAsia="仿宋" w:cs="宋体"/>
          <w:sz w:val="24"/>
          <w:szCs w:val="24"/>
          <w:lang w:val="en-US" w:eastAsia="zh-CN"/>
        </w:rPr>
      </w:pPr>
    </w:p>
    <w:p w14:paraId="2764409D">
      <w:pPr>
        <w:pStyle w:val="7"/>
        <w:rPr>
          <w:rFonts w:hint="eastAsia" w:ascii="仿宋" w:hAnsi="仿宋" w:eastAsia="仿宋"/>
        </w:rPr>
      </w:pPr>
    </w:p>
    <w:p w14:paraId="158B07DC">
      <w:pPr>
        <w:pStyle w:val="7"/>
        <w:ind w:left="0" w:leftChars="0" w:firstLine="0"/>
        <w:rPr>
          <w:rFonts w:hint="eastAsia" w:ascii="仿宋" w:hAnsi="仿宋" w:eastAsia="仿宋"/>
        </w:rPr>
      </w:pPr>
    </w:p>
    <w:p w14:paraId="1509142D">
      <w:pPr>
        <w:spacing w:line="360" w:lineRule="auto"/>
        <w:ind w:firstLine="640"/>
        <w:jc w:val="left"/>
        <w:rPr>
          <w:rFonts w:hint="eastAsia" w:ascii="仿宋" w:hAnsi="仿宋" w:eastAsia="仿宋"/>
          <w:sz w:val="24"/>
          <w:szCs w:val="24"/>
        </w:rPr>
      </w:pPr>
    </w:p>
    <w:p w14:paraId="23CE821F">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02713314">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00E24B6C">
      <w:pPr>
        <w:spacing w:line="480" w:lineRule="auto"/>
        <w:ind w:firstLine="5520" w:firstLineChars="2300"/>
        <w:jc w:val="left"/>
        <w:rPr>
          <w:rFonts w:hint="eastAsia" w:ascii="仿宋" w:hAnsi="仿宋" w:eastAsia="仿宋"/>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19"/>
      </w:rPr>
    </w:pPr>
    <w:r>
      <w:fldChar w:fldCharType="begin"/>
    </w:r>
    <w:r>
      <w:rPr>
        <w:rStyle w:val="19"/>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83E6C5"/>
    <w:multiLevelType w:val="singleLevel"/>
    <w:tmpl w:val="3583E6C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5B6B52"/>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5D95635"/>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2C65BB0"/>
    <w:rsid w:val="353327D7"/>
    <w:rsid w:val="35A3072E"/>
    <w:rsid w:val="35BA60CE"/>
    <w:rsid w:val="38CA49CD"/>
    <w:rsid w:val="39D54C2E"/>
    <w:rsid w:val="3A731769"/>
    <w:rsid w:val="3B3140E6"/>
    <w:rsid w:val="3B8763FC"/>
    <w:rsid w:val="3C0E61D6"/>
    <w:rsid w:val="3D912B45"/>
    <w:rsid w:val="3DC92B7D"/>
    <w:rsid w:val="3E135601"/>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7E37FE4"/>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6ED741F"/>
    <w:rsid w:val="68B735CD"/>
    <w:rsid w:val="6A400653"/>
    <w:rsid w:val="6A7F45BF"/>
    <w:rsid w:val="6B5A68F5"/>
    <w:rsid w:val="6BBF5D79"/>
    <w:rsid w:val="6BC9041D"/>
    <w:rsid w:val="6DAB7F02"/>
    <w:rsid w:val="719E17CE"/>
    <w:rsid w:val="71CD20B4"/>
    <w:rsid w:val="72567DE8"/>
    <w:rsid w:val="72C16AF2"/>
    <w:rsid w:val="72FA6ED8"/>
    <w:rsid w:val="73A76E7D"/>
    <w:rsid w:val="74A23383"/>
    <w:rsid w:val="751E1916"/>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Body Text Indent"/>
    <w:basedOn w:val="1"/>
    <w:next w:val="7"/>
    <w:unhideWhenUsed/>
    <w:qFormat/>
    <w:uiPriority w:val="99"/>
    <w:pPr>
      <w:spacing w:after="120"/>
      <w:ind w:left="420" w:leftChars="200"/>
    </w:pPr>
  </w:style>
  <w:style w:type="paragraph" w:styleId="7">
    <w:name w:val="Body Text First Indent 2"/>
    <w:basedOn w:val="6"/>
    <w:next w:val="5"/>
    <w:unhideWhenUsed/>
    <w:qFormat/>
    <w:uiPriority w:val="99"/>
    <w:pPr>
      <w:spacing w:before="100" w:beforeAutospacing="1"/>
      <w:ind w:firstLine="420"/>
    </w:pPr>
    <w:rPr>
      <w:szCs w:val="21"/>
    </w:rPr>
  </w:style>
  <w:style w:type="paragraph" w:styleId="8">
    <w:name w:val="Document Map"/>
    <w:basedOn w:val="1"/>
    <w:link w:val="22"/>
    <w:semiHidden/>
    <w:unhideWhenUsed/>
    <w:qFormat/>
    <w:uiPriority w:val="99"/>
    <w:rPr>
      <w:rFonts w:ascii="宋体"/>
      <w:sz w:val="18"/>
      <w:szCs w:val="18"/>
    </w:rPr>
  </w:style>
  <w:style w:type="paragraph" w:styleId="9">
    <w:name w:val="Body Text"/>
    <w:basedOn w:val="1"/>
    <w:next w:val="1"/>
    <w:link w:val="34"/>
    <w:qFormat/>
    <w:uiPriority w:val="0"/>
    <w:pPr>
      <w:spacing w:after="120"/>
    </w:pPr>
    <w:rPr>
      <w:rFonts w:ascii="Times New Roman" w:hAnsi="Times New Roman"/>
      <w:szCs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Body Text Indent 2"/>
    <w:basedOn w:val="1"/>
    <w:link w:val="38"/>
    <w:qFormat/>
    <w:uiPriority w:val="99"/>
    <w:pPr>
      <w:spacing w:after="120" w:line="480" w:lineRule="auto"/>
      <w:ind w:left="420" w:leftChars="200"/>
    </w:pPr>
    <w:rPr>
      <w:kern w:val="0"/>
      <w:sz w:val="24"/>
    </w:rPr>
  </w:style>
  <w:style w:type="paragraph" w:styleId="13">
    <w:name w:val="footer"/>
    <w:basedOn w:val="1"/>
    <w:link w:val="21"/>
    <w:unhideWhenUsed/>
    <w:qFormat/>
    <w:uiPriority w:val="99"/>
    <w:pPr>
      <w:tabs>
        <w:tab w:val="center" w:pos="4153"/>
        <w:tab w:val="right" w:pos="8306"/>
      </w:tabs>
      <w:snapToGrid w:val="0"/>
      <w:jc w:val="left"/>
    </w:pPr>
    <w:rPr>
      <w:sz w:val="18"/>
      <w:szCs w:val="18"/>
    </w:rPr>
  </w:style>
  <w:style w:type="paragraph" w:styleId="14">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4"/>
    <w:qFormat/>
    <w:uiPriority w:val="0"/>
    <w:rPr>
      <w:rFonts w:ascii="Calibri" w:hAnsi="Calibri" w:eastAsia="宋体" w:cs="Times New Roman"/>
      <w:sz w:val="18"/>
      <w:szCs w:val="18"/>
    </w:rPr>
  </w:style>
  <w:style w:type="character" w:customStyle="1" w:styleId="21">
    <w:name w:val="页脚 字符"/>
    <w:basedOn w:val="18"/>
    <w:link w:val="13"/>
    <w:qFormat/>
    <w:uiPriority w:val="99"/>
    <w:rPr>
      <w:rFonts w:ascii="Calibri" w:hAnsi="Calibri" w:eastAsia="宋体" w:cs="Times New Roman"/>
      <w:sz w:val="18"/>
      <w:szCs w:val="18"/>
    </w:rPr>
  </w:style>
  <w:style w:type="character" w:customStyle="1" w:styleId="22">
    <w:name w:val="文档结构图 字符"/>
    <w:basedOn w:val="18"/>
    <w:link w:val="8"/>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9"/>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12"/>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4397</Words>
  <Characters>4531</Characters>
  <Lines>31</Lines>
  <Paragraphs>9</Paragraphs>
  <TotalTime>0</TotalTime>
  <ScaleCrop>false</ScaleCrop>
  <LinksUpToDate>false</LinksUpToDate>
  <CharactersWithSpaces>5119</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zxx</cp:lastModifiedBy>
  <cp:lastPrinted>2020-08-24T02:17:00Z</cp:lastPrinted>
  <dcterms:modified xsi:type="dcterms:W3CDTF">2025-07-31T01:02:29Z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876EFAC487C041C695F76400A0A4405F_13</vt:lpwstr>
  </property>
  <property fmtid="{D5CDD505-2E9C-101B-9397-08002B2CF9AE}" pid="4" name="KSOTemplateDocerSaveRecord">
    <vt:lpwstr>eyJoZGlkIjoiN2FiYzBiMmI2YzliNDI5N2I4ODQxYzZhMTJiMDEyMzgiLCJ1c2VySWQiOiIyODM1OTU1MzIifQ==</vt:lpwstr>
  </property>
</Properties>
</file>