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firstLine="405"/>
        <w:rPr>
          <w:rFonts w:hint="eastAsia" w:ascii="仿宋_GB2312" w:hAnsi="华文中宋" w:eastAsia="仿宋_GB2312"/>
          <w:b/>
          <w:sz w:val="84"/>
          <w:szCs w:val="84"/>
        </w:rPr>
      </w:pPr>
    </w:p>
    <w:p>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pPr>
        <w:pStyle w:val="10"/>
        <w:adjustRightInd w:val="0"/>
        <w:snapToGrid w:val="0"/>
        <w:spacing w:line="360" w:lineRule="auto"/>
        <w:ind w:left="846" w:leftChars="403" w:firstLine="157" w:firstLineChars="49"/>
        <w:rPr>
          <w:rFonts w:hint="eastAsia" w:ascii="黑体" w:hAnsi="黑体" w:eastAsia="黑体"/>
          <w:b/>
          <w:sz w:val="32"/>
          <w:szCs w:val="32"/>
        </w:rPr>
      </w:pPr>
    </w:p>
    <w:p>
      <w:pPr>
        <w:pStyle w:val="10"/>
        <w:adjustRightInd w:val="0"/>
        <w:snapToGrid w:val="0"/>
        <w:spacing w:line="360" w:lineRule="auto"/>
        <w:ind w:left="846" w:leftChars="403" w:firstLine="157" w:firstLineChars="49"/>
        <w:rPr>
          <w:rFonts w:hint="eastAsia" w:ascii="黑体" w:hAnsi="黑体" w:eastAsia="黑体"/>
          <w:b/>
          <w:sz w:val="32"/>
          <w:szCs w:val="32"/>
        </w:rPr>
      </w:pPr>
    </w:p>
    <w:p>
      <w:pPr>
        <w:pStyle w:val="10"/>
        <w:adjustRightInd w:val="0"/>
        <w:snapToGrid w:val="0"/>
        <w:spacing w:line="360" w:lineRule="auto"/>
        <w:ind w:left="846" w:leftChars="403" w:firstLine="157" w:firstLineChars="49"/>
        <w:rPr>
          <w:rFonts w:hint="eastAsia" w:ascii="黑体" w:hAnsi="黑体" w:eastAsia="黑体"/>
          <w:b/>
          <w:sz w:val="32"/>
          <w:szCs w:val="32"/>
        </w:rPr>
      </w:pPr>
    </w:p>
    <w:p>
      <w:pPr>
        <w:pStyle w:val="10"/>
        <w:adjustRightInd w:val="0"/>
        <w:snapToGrid w:val="0"/>
        <w:spacing w:line="360" w:lineRule="auto"/>
        <w:ind w:left="846" w:leftChars="403" w:firstLine="157" w:firstLineChars="49"/>
        <w:rPr>
          <w:rFonts w:hint="eastAsia" w:ascii="黑体" w:hAnsi="黑体" w:eastAsia="黑体"/>
          <w:b/>
          <w:sz w:val="32"/>
          <w:szCs w:val="32"/>
        </w:rPr>
      </w:pPr>
    </w:p>
    <w:p>
      <w:pPr>
        <w:pStyle w:val="10"/>
        <w:adjustRightInd w:val="0"/>
        <w:snapToGrid w:val="0"/>
        <w:spacing w:line="360" w:lineRule="auto"/>
        <w:ind w:left="846" w:leftChars="403" w:firstLine="157" w:firstLineChars="49"/>
        <w:rPr>
          <w:rFonts w:hint="eastAsia" w:ascii="黑体" w:hAnsi="黑体" w:eastAsia="黑体"/>
          <w:b/>
          <w:sz w:val="32"/>
          <w:szCs w:val="32"/>
        </w:rPr>
      </w:pPr>
    </w:p>
    <w:p>
      <w:pPr>
        <w:pStyle w:val="40"/>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lang w:val="en-US" w:eastAsia="zh-CN"/>
        </w:rPr>
        <w:t>专业建设与教学创新骨干高级研修班专题研修酒店食</w:t>
      </w:r>
      <w:r>
        <w:rPr>
          <w:rFonts w:hint="eastAsia" w:ascii="黑体" w:hAnsi="黑体" w:eastAsia="黑体"/>
          <w:kern w:val="0"/>
          <w:sz w:val="32"/>
          <w:szCs w:val="32"/>
        </w:rPr>
        <w:t>宿及会场</w:t>
      </w:r>
      <w:r>
        <w:rPr>
          <w:rFonts w:hint="eastAsia" w:ascii="黑体" w:hAnsi="黑体" w:eastAsia="黑体"/>
          <w:kern w:val="0"/>
          <w:sz w:val="32"/>
          <w:szCs w:val="32"/>
          <w:lang w:val="en-US" w:eastAsia="zh-CN"/>
        </w:rPr>
        <w:t>租赁</w:t>
      </w:r>
      <w:r>
        <w:rPr>
          <w:rFonts w:hint="eastAsia" w:ascii="黑体" w:hAnsi="黑体" w:eastAsia="黑体"/>
          <w:kern w:val="0"/>
          <w:sz w:val="32"/>
          <w:szCs w:val="32"/>
        </w:rPr>
        <w:t>服务项目</w:t>
      </w:r>
    </w:p>
    <w:p>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pPr>
        <w:pStyle w:val="10"/>
        <w:adjustRightInd w:val="0"/>
        <w:snapToGrid w:val="0"/>
        <w:spacing w:before="156" w:beforeLines="50" w:after="156" w:afterLines="50"/>
        <w:rPr>
          <w:rFonts w:hint="eastAsia" w:ascii="黑体" w:hAnsi="黑体" w:eastAsia="黑体"/>
          <w:sz w:val="32"/>
          <w:szCs w:val="32"/>
        </w:rPr>
      </w:pPr>
    </w:p>
    <w:p>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pPr>
        <w:pStyle w:val="10"/>
        <w:adjustRightInd w:val="0"/>
        <w:snapToGrid w:val="0"/>
        <w:spacing w:line="440" w:lineRule="exact"/>
        <w:jc w:val="center"/>
        <w:rPr>
          <w:rFonts w:hint="eastAsia" w:ascii="黑体" w:hAnsi="黑体" w:eastAsia="黑体"/>
          <w:b/>
          <w:sz w:val="32"/>
        </w:rPr>
      </w:pPr>
    </w:p>
    <w:p>
      <w:pPr>
        <w:pStyle w:val="10"/>
        <w:adjustRightInd w:val="0"/>
        <w:snapToGrid w:val="0"/>
        <w:spacing w:line="440" w:lineRule="exact"/>
        <w:jc w:val="center"/>
        <w:rPr>
          <w:rFonts w:hint="eastAsia" w:ascii="黑体" w:hAnsi="黑体" w:eastAsia="黑体"/>
          <w:b/>
          <w:sz w:val="32"/>
        </w:rPr>
      </w:pPr>
    </w:p>
    <w:p>
      <w:pPr>
        <w:pStyle w:val="10"/>
        <w:adjustRightInd w:val="0"/>
        <w:snapToGrid w:val="0"/>
        <w:spacing w:line="440" w:lineRule="exact"/>
        <w:jc w:val="center"/>
        <w:rPr>
          <w:rFonts w:hint="eastAsia" w:ascii="黑体" w:hAnsi="黑体" w:eastAsia="黑体"/>
          <w:b/>
          <w:sz w:val="32"/>
        </w:rPr>
      </w:pPr>
    </w:p>
    <w:p>
      <w:pPr>
        <w:pStyle w:val="10"/>
        <w:adjustRightInd w:val="0"/>
        <w:snapToGrid w:val="0"/>
        <w:spacing w:line="440" w:lineRule="exact"/>
        <w:jc w:val="center"/>
        <w:rPr>
          <w:rFonts w:hint="eastAsia" w:ascii="黑体" w:hAnsi="黑体" w:eastAsia="黑体"/>
          <w:b/>
          <w:sz w:val="32"/>
        </w:rPr>
      </w:pPr>
    </w:p>
    <w:p>
      <w:pPr>
        <w:pStyle w:val="10"/>
        <w:adjustRightInd w:val="0"/>
        <w:snapToGrid w:val="0"/>
        <w:spacing w:line="440" w:lineRule="exact"/>
        <w:jc w:val="center"/>
        <w:rPr>
          <w:rFonts w:hint="eastAsia" w:ascii="黑体" w:hAnsi="黑体" w:eastAsia="黑体"/>
          <w:b/>
          <w:sz w:val="32"/>
        </w:rPr>
      </w:pPr>
    </w:p>
    <w:p>
      <w:pPr>
        <w:pStyle w:val="10"/>
        <w:adjustRightInd w:val="0"/>
        <w:snapToGrid w:val="0"/>
        <w:spacing w:line="440" w:lineRule="exact"/>
        <w:jc w:val="center"/>
        <w:rPr>
          <w:rFonts w:hint="eastAsia" w:ascii="黑体" w:hAnsi="黑体" w:eastAsia="黑体"/>
          <w:b/>
          <w:sz w:val="32"/>
        </w:rPr>
      </w:pPr>
    </w:p>
    <w:p>
      <w:pPr>
        <w:pStyle w:val="10"/>
        <w:adjustRightInd w:val="0"/>
        <w:snapToGrid w:val="0"/>
        <w:spacing w:line="440" w:lineRule="exact"/>
        <w:jc w:val="center"/>
        <w:rPr>
          <w:rFonts w:hint="eastAsia" w:ascii="黑体" w:hAnsi="黑体" w:eastAsia="黑体"/>
          <w:b/>
          <w:sz w:val="32"/>
        </w:rPr>
      </w:pPr>
    </w:p>
    <w:p>
      <w:pPr>
        <w:pStyle w:val="10"/>
        <w:adjustRightInd w:val="0"/>
        <w:snapToGrid w:val="0"/>
        <w:spacing w:line="440" w:lineRule="exact"/>
        <w:jc w:val="center"/>
        <w:rPr>
          <w:rFonts w:hint="eastAsia" w:ascii="黑体" w:hAnsi="黑体" w:eastAsia="黑体"/>
          <w:b/>
          <w:sz w:val="32"/>
        </w:rPr>
      </w:pPr>
    </w:p>
    <w:p>
      <w:pPr>
        <w:pStyle w:val="10"/>
        <w:adjustRightInd w:val="0"/>
        <w:snapToGrid w:val="0"/>
        <w:spacing w:line="440" w:lineRule="exact"/>
        <w:jc w:val="center"/>
        <w:rPr>
          <w:rFonts w:hint="eastAsia" w:ascii="黑体" w:hAnsi="黑体" w:eastAsia="黑体"/>
          <w:b/>
          <w:sz w:val="32"/>
        </w:rPr>
      </w:pPr>
    </w:p>
    <w:p>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p>
    <w:p>
      <w:pPr>
        <w:pStyle w:val="16"/>
      </w:pPr>
    </w:p>
    <w:p>
      <w:pPr>
        <w:pStyle w:val="16"/>
        <w:rPr>
          <w:szCs w:val="22"/>
        </w:rPr>
      </w:pPr>
    </w:p>
    <w:p>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湖南铁道职业技术学院</w:t>
      </w:r>
    </w:p>
    <w:p>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lang w:val="en-US" w:eastAsia="zh-CN"/>
        </w:rPr>
        <w:t>专业建设与教学创新骨干高级研修班专题研修酒店食</w:t>
      </w:r>
      <w:r>
        <w:rPr>
          <w:rFonts w:hint="eastAsia" w:ascii="黑体" w:hAnsi="黑体" w:eastAsia="黑体" w:cs="Times New Roman"/>
          <w:b/>
          <w:sz w:val="36"/>
          <w:szCs w:val="36"/>
        </w:rPr>
        <w:t>宿及会场</w:t>
      </w:r>
      <w:r>
        <w:rPr>
          <w:rFonts w:hint="eastAsia" w:ascii="黑体" w:hAnsi="黑体" w:eastAsia="黑体" w:cs="Times New Roman"/>
          <w:b/>
          <w:sz w:val="36"/>
          <w:szCs w:val="36"/>
          <w:lang w:val="en-US" w:eastAsia="zh-CN"/>
        </w:rPr>
        <w:t>租赁</w:t>
      </w:r>
      <w:r>
        <w:rPr>
          <w:rFonts w:hint="eastAsia" w:ascii="黑体" w:hAnsi="黑体" w:eastAsia="黑体" w:cs="Times New Roman"/>
          <w:b/>
          <w:sz w:val="36"/>
          <w:szCs w:val="36"/>
        </w:rPr>
        <w:t>服务项目询比采购公告</w:t>
      </w:r>
    </w:p>
    <w:p>
      <w:pPr>
        <w:pStyle w:val="16"/>
        <w:snapToGrid w:val="0"/>
        <w:spacing w:before="0" w:beforeAutospacing="0" w:after="0" w:line="360" w:lineRule="auto"/>
        <w:ind w:left="0" w:leftChars="0" w:firstLine="480" w:firstLineChars="200"/>
        <w:jc w:val="left"/>
        <w:rPr>
          <w:rFonts w:ascii="仿宋" w:hAnsi="仿宋" w:eastAsia="仿宋"/>
          <w:sz w:val="24"/>
          <w:szCs w:val="24"/>
        </w:rPr>
      </w:pP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lang w:eastAsia="zh-CN"/>
        </w:rPr>
        <w:t>专业建设与教学创新骨干高级研修班专题研修培训</w:t>
      </w:r>
      <w:r>
        <w:rPr>
          <w:rFonts w:hint="eastAsia" w:ascii="仿宋" w:hAnsi="仿宋" w:eastAsia="仿宋"/>
          <w:sz w:val="24"/>
          <w:szCs w:val="24"/>
          <w:u w:val="none"/>
        </w:rPr>
        <w:t>项目酒店食宿及会场</w:t>
      </w:r>
      <w:r>
        <w:rPr>
          <w:rFonts w:hint="eastAsia" w:ascii="仿宋" w:hAnsi="仿宋" w:eastAsia="仿宋"/>
          <w:sz w:val="24"/>
          <w:szCs w:val="24"/>
          <w:u w:val="none"/>
          <w:lang w:val="en-US" w:eastAsia="zh-CN"/>
        </w:rPr>
        <w:t>租赁</w:t>
      </w:r>
      <w:r>
        <w:rPr>
          <w:rFonts w:hint="eastAsia" w:ascii="仿宋" w:hAnsi="仿宋" w:eastAsia="仿宋"/>
          <w:sz w:val="24"/>
          <w:szCs w:val="24"/>
          <w:u w:val="none"/>
        </w:rPr>
        <w:t>服务项目</w:t>
      </w:r>
      <w:r>
        <w:rPr>
          <w:rFonts w:hint="eastAsia" w:ascii="仿宋" w:hAnsi="仿宋" w:eastAsia="仿宋"/>
          <w:sz w:val="24"/>
          <w:szCs w:val="24"/>
        </w:rPr>
        <w:t>需进行采购，现采用发布公告方式，邀请符合资格条件的供应商参与采购活动。</w:t>
      </w:r>
    </w:p>
    <w:p>
      <w:pPr>
        <w:snapToGrid w:val="0"/>
        <w:spacing w:line="360" w:lineRule="auto"/>
        <w:ind w:firstLine="480" w:firstLineChars="200"/>
        <w:jc w:val="left"/>
        <w:rPr>
          <w:rFonts w:hint="eastAsia" w:ascii="仿宋" w:hAnsi="仿宋" w:eastAsia="仿宋" w:cs="仿宋"/>
          <w:b/>
          <w:bCs/>
          <w:color w:val="333333"/>
          <w:kern w:val="0"/>
          <w:sz w:val="24"/>
          <w:szCs w:val="24"/>
        </w:rPr>
      </w:pPr>
      <w:bookmarkStart w:id="0" w:name="_Toc4659"/>
      <w:bookmarkStart w:id="1" w:name="_Toc31662_WPSOffice_Level2"/>
      <w:bookmarkStart w:id="2" w:name="_Toc3564"/>
      <w:bookmarkStart w:id="3" w:name="_Toc26475"/>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lang w:val="en-US" w:eastAsia="zh-CN"/>
        </w:rPr>
        <w:t>:</w:t>
      </w:r>
      <w:r>
        <w:rPr>
          <w:rFonts w:hint="eastAsia" w:ascii="仿宋" w:hAnsi="仿宋" w:eastAsia="仿宋"/>
          <w:sz w:val="24"/>
          <w:szCs w:val="24"/>
          <w:u w:val="none"/>
          <w:lang w:val="en-US" w:eastAsia="zh-CN"/>
        </w:rPr>
        <w:t>专业建设与教学创新骨干高级研修班专题研修培训</w:t>
      </w:r>
      <w:r>
        <w:rPr>
          <w:rFonts w:hint="eastAsia" w:ascii="仿宋" w:hAnsi="仿宋" w:eastAsia="仿宋"/>
          <w:sz w:val="24"/>
          <w:szCs w:val="24"/>
          <w:u w:val="none"/>
        </w:rPr>
        <w:t>培训项目酒店食宿及会场</w:t>
      </w:r>
      <w:r>
        <w:rPr>
          <w:rFonts w:hint="eastAsia" w:ascii="仿宋" w:hAnsi="仿宋" w:eastAsia="仿宋"/>
          <w:sz w:val="24"/>
          <w:szCs w:val="24"/>
          <w:u w:val="none"/>
          <w:lang w:val="en-US" w:eastAsia="zh-CN"/>
        </w:rPr>
        <w:t>租赁</w:t>
      </w:r>
      <w:r>
        <w:rPr>
          <w:rFonts w:hint="eastAsia" w:ascii="仿宋" w:hAnsi="仿宋" w:eastAsia="仿宋"/>
          <w:sz w:val="24"/>
          <w:szCs w:val="24"/>
          <w:u w:val="none"/>
        </w:rPr>
        <w:t>服务项目</w:t>
      </w:r>
    </w:p>
    <w:p>
      <w:pPr>
        <w:widowControl/>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2.项目概况:</w:t>
      </w:r>
      <w:r>
        <w:rPr>
          <w:rFonts w:hint="eastAsia" w:ascii="仿宋" w:hAnsi="仿宋" w:eastAsia="仿宋" w:cs="Times New Roman"/>
          <w:kern w:val="2"/>
          <w:sz w:val="24"/>
          <w:szCs w:val="24"/>
          <w:u w:val="none"/>
          <w:lang w:val="en-US" w:eastAsia="zh-CN" w:bidi="ar-SA"/>
        </w:rPr>
        <w:t>本项目为2026年承接专业建设与教学创新骨干高级研修班专题研修培训,培训对象为二级学院正副院长、专业群带头人、专业负责人；培训实施采用线下的培训的方式，培训内容主要为课程标准开发、课程思政设计、模块化教学实施、新形态教材开发等。</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cs="Times New Roman"/>
          <w:kern w:val="2"/>
          <w:sz w:val="24"/>
          <w:szCs w:val="24"/>
          <w:u w:val="none"/>
          <w:lang w:val="en-US" w:eastAsia="zh-CN" w:bidi="ar-SA"/>
        </w:rPr>
        <w:t>为培训学员及工作人员在培训期间提供客房住宿服务、餐饮及培训会场等服务（约50名培训学员、培训时长10天），</w:t>
      </w:r>
      <w:r>
        <w:rPr>
          <w:rFonts w:hint="eastAsia" w:ascii="仿宋" w:hAnsi="仿宋" w:eastAsia="仿宋"/>
          <w:sz w:val="24"/>
          <w:szCs w:val="24"/>
        </w:rPr>
        <w:t>具体内容详见采购文件（见附件）。</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6.64</w:t>
      </w:r>
      <w:r>
        <w:rPr>
          <w:rFonts w:ascii="仿宋" w:hAnsi="仿宋" w:eastAsia="仿宋"/>
          <w:sz w:val="24"/>
          <w:szCs w:val="24"/>
          <w:u w:val="none"/>
        </w:rPr>
        <w:t>万元</w:t>
      </w:r>
    </w:p>
    <w:p>
      <w:pPr>
        <w:pStyle w:val="16"/>
        <w:snapToGrid w:val="0"/>
        <w:spacing w:before="0" w:beforeAutospacing="0" w:after="0" w:line="360" w:lineRule="auto"/>
        <w:ind w:left="0" w:leftChars="0" w:firstLine="480"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bookmarkStart w:id="5" w:name="_Toc58335831"/>
      <w:r>
        <w:rPr>
          <w:rFonts w:hint="eastAsia" w:ascii="仿宋" w:hAnsi="仿宋" w:eastAsia="仿宋"/>
          <w:sz w:val="24"/>
          <w:szCs w:val="24"/>
        </w:rPr>
        <w:t>2、特定资格条件</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投标人须自有经营场所用于本项目接待，提供有效期内：①旅馆业特种行业许可证；②食品经营许可证；③公共场所卫生许可证；④公众聚集场所投入使用、营业前消防安全检查合格意见书，确保经营场所符合国家住宿、餐饮经营卫生、消防规范标准。</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3、不接受联合体投标</w:t>
      </w:r>
    </w:p>
    <w:p>
      <w:pPr>
        <w:pStyle w:val="16"/>
        <w:snapToGrid w:val="0"/>
        <w:spacing w:before="0" w:beforeAutospacing="0" w:after="0" w:line="360" w:lineRule="auto"/>
        <w:ind w:left="0" w:leftChars="0" w:firstLine="480"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pPr>
        <w:pStyle w:val="16"/>
        <w:snapToGrid w:val="0"/>
        <w:spacing w:before="0" w:beforeAutospacing="0" w:after="0" w:line="360" w:lineRule="auto"/>
        <w:ind w:left="0" w:leftChars="0" w:firstLine="480" w:firstLineChars="200"/>
        <w:jc w:val="left"/>
        <w:rPr>
          <w:rFonts w:hint="eastAsia" w:ascii="仿宋" w:hAnsi="仿宋" w:eastAsia="仿宋"/>
          <w:sz w:val="24"/>
          <w:szCs w:val="24"/>
          <w:highlight w:val="none"/>
          <w:u w:val="none"/>
        </w:rPr>
      </w:pPr>
      <w:r>
        <w:rPr>
          <w:rFonts w:hint="eastAsia" w:ascii="仿宋" w:hAnsi="仿宋" w:eastAsia="仿宋"/>
          <w:sz w:val="24"/>
          <w:szCs w:val="24"/>
          <w:highlight w:val="none"/>
          <w:u w:val="none"/>
        </w:rPr>
        <w:t>1．首次响应文件的提交截止时间：202</w:t>
      </w:r>
      <w:r>
        <w:rPr>
          <w:rFonts w:hint="eastAsia" w:ascii="仿宋" w:hAnsi="仿宋" w:eastAsia="仿宋"/>
          <w:sz w:val="24"/>
          <w:szCs w:val="24"/>
          <w:highlight w:val="none"/>
          <w:u w:val="none"/>
          <w:lang w:val="en-US" w:eastAsia="zh-CN"/>
        </w:rPr>
        <w:t>6</w:t>
      </w:r>
      <w:r>
        <w:rPr>
          <w:rFonts w:hint="eastAsia" w:ascii="仿宋" w:hAnsi="仿宋" w:eastAsia="仿宋"/>
          <w:sz w:val="24"/>
          <w:szCs w:val="24"/>
          <w:highlight w:val="none"/>
          <w:u w:val="none"/>
        </w:rPr>
        <w:t>年</w:t>
      </w:r>
      <w:r>
        <w:rPr>
          <w:rFonts w:hint="eastAsia" w:ascii="仿宋" w:hAnsi="仿宋" w:eastAsia="仿宋"/>
          <w:sz w:val="24"/>
          <w:szCs w:val="24"/>
          <w:highlight w:val="none"/>
          <w:u w:val="none"/>
          <w:lang w:val="en-US" w:eastAsia="zh-CN"/>
        </w:rPr>
        <w:t>7</w:t>
      </w:r>
      <w:r>
        <w:rPr>
          <w:rFonts w:hint="eastAsia" w:ascii="仿宋" w:hAnsi="仿宋" w:eastAsia="仿宋"/>
          <w:sz w:val="24"/>
          <w:szCs w:val="24"/>
          <w:highlight w:val="none"/>
          <w:u w:val="none"/>
        </w:rPr>
        <w:t>月</w:t>
      </w:r>
      <w:r>
        <w:rPr>
          <w:rFonts w:hint="eastAsia" w:ascii="仿宋" w:hAnsi="仿宋" w:eastAsia="仿宋"/>
          <w:sz w:val="24"/>
          <w:szCs w:val="24"/>
          <w:highlight w:val="none"/>
          <w:u w:val="none"/>
          <w:lang w:val="en-US" w:eastAsia="zh-CN"/>
        </w:rPr>
        <w:t>2</w:t>
      </w:r>
      <w:r>
        <w:rPr>
          <w:rFonts w:hint="eastAsia" w:ascii="仿宋" w:hAnsi="仿宋" w:eastAsia="仿宋"/>
          <w:sz w:val="24"/>
          <w:szCs w:val="24"/>
          <w:highlight w:val="none"/>
          <w:u w:val="none"/>
        </w:rPr>
        <w:t>日</w:t>
      </w:r>
      <w:r>
        <w:rPr>
          <w:rFonts w:hint="eastAsia" w:ascii="仿宋" w:hAnsi="仿宋" w:eastAsia="仿宋"/>
          <w:sz w:val="24"/>
          <w:szCs w:val="24"/>
          <w:highlight w:val="none"/>
          <w:u w:val="none"/>
          <w:lang w:val="en-US" w:eastAsia="zh-CN"/>
        </w:rPr>
        <w:t>10</w:t>
      </w:r>
      <w:r>
        <w:rPr>
          <w:rFonts w:hint="eastAsia" w:ascii="仿宋" w:hAnsi="仿宋" w:eastAsia="仿宋"/>
          <w:sz w:val="24"/>
          <w:szCs w:val="24"/>
          <w:highlight w:val="none"/>
          <w:u w:val="none"/>
        </w:rPr>
        <w:t>时</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highlight w:val="none"/>
          <w:u w:val="none"/>
        </w:rPr>
      </w:pPr>
      <w:r>
        <w:rPr>
          <w:rFonts w:hint="eastAsia" w:ascii="仿宋" w:hAnsi="仿宋" w:eastAsia="仿宋"/>
          <w:sz w:val="24"/>
          <w:szCs w:val="24"/>
          <w:highlight w:val="none"/>
          <w:u w:val="none"/>
        </w:rPr>
        <w:t>2．首次响应文件的开启时间：202</w:t>
      </w:r>
      <w:r>
        <w:rPr>
          <w:rFonts w:hint="eastAsia" w:ascii="仿宋" w:hAnsi="仿宋" w:eastAsia="仿宋"/>
          <w:sz w:val="24"/>
          <w:szCs w:val="24"/>
          <w:highlight w:val="none"/>
          <w:u w:val="none"/>
          <w:lang w:val="en-US" w:eastAsia="zh-CN"/>
        </w:rPr>
        <w:t>6</w:t>
      </w:r>
      <w:r>
        <w:rPr>
          <w:rFonts w:hint="eastAsia" w:ascii="仿宋" w:hAnsi="仿宋" w:eastAsia="仿宋"/>
          <w:sz w:val="24"/>
          <w:szCs w:val="24"/>
          <w:highlight w:val="none"/>
          <w:u w:val="none"/>
        </w:rPr>
        <w:t>年</w:t>
      </w:r>
      <w:r>
        <w:rPr>
          <w:rFonts w:hint="eastAsia" w:ascii="仿宋" w:hAnsi="仿宋" w:eastAsia="仿宋"/>
          <w:sz w:val="24"/>
          <w:szCs w:val="24"/>
          <w:highlight w:val="none"/>
          <w:u w:val="none"/>
          <w:lang w:val="en-US" w:eastAsia="zh-CN"/>
        </w:rPr>
        <w:t>7</w:t>
      </w:r>
      <w:r>
        <w:rPr>
          <w:rFonts w:hint="eastAsia" w:ascii="仿宋" w:hAnsi="仿宋" w:eastAsia="仿宋"/>
          <w:sz w:val="24"/>
          <w:szCs w:val="24"/>
          <w:highlight w:val="none"/>
          <w:u w:val="none"/>
        </w:rPr>
        <w:t>月</w:t>
      </w:r>
      <w:r>
        <w:rPr>
          <w:rFonts w:hint="eastAsia" w:ascii="仿宋" w:hAnsi="仿宋" w:eastAsia="仿宋"/>
          <w:sz w:val="24"/>
          <w:szCs w:val="24"/>
          <w:highlight w:val="none"/>
          <w:u w:val="none"/>
          <w:lang w:val="en-US" w:eastAsia="zh-CN"/>
        </w:rPr>
        <w:t>2</w:t>
      </w:r>
      <w:r>
        <w:rPr>
          <w:rFonts w:hint="eastAsia" w:ascii="仿宋" w:hAnsi="仿宋" w:eastAsia="仿宋"/>
          <w:sz w:val="24"/>
          <w:szCs w:val="24"/>
          <w:highlight w:val="none"/>
          <w:u w:val="none"/>
        </w:rPr>
        <w:t>日</w:t>
      </w:r>
      <w:r>
        <w:rPr>
          <w:rFonts w:hint="eastAsia" w:ascii="仿宋" w:hAnsi="仿宋" w:eastAsia="仿宋"/>
          <w:sz w:val="24"/>
          <w:szCs w:val="24"/>
          <w:highlight w:val="none"/>
          <w:u w:val="none"/>
          <w:lang w:val="en-US" w:eastAsia="zh-CN"/>
        </w:rPr>
        <w:t>10</w:t>
      </w:r>
      <w:r>
        <w:rPr>
          <w:rFonts w:hint="eastAsia" w:ascii="仿宋" w:hAnsi="仿宋" w:eastAsia="仿宋"/>
          <w:sz w:val="24"/>
          <w:szCs w:val="24"/>
          <w:highlight w:val="none"/>
          <w:u w:val="none"/>
        </w:rPr>
        <w:t>时</w:t>
      </w:r>
    </w:p>
    <w:p>
      <w:pPr>
        <w:pStyle w:val="16"/>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pPr>
        <w:pStyle w:val="3"/>
        <w:snapToGrid w:val="0"/>
        <w:spacing w:before="0" w:after="0" w:line="360" w:lineRule="auto"/>
        <w:ind w:firstLine="468"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pPr>
        <w:pStyle w:val="3"/>
        <w:snapToGrid w:val="0"/>
        <w:spacing w:before="0" w:after="0" w:line="360" w:lineRule="auto"/>
        <w:ind w:firstLine="468"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pPr>
        <w:pStyle w:val="3"/>
        <w:snapToGrid w:val="0"/>
        <w:spacing w:before="0" w:after="0" w:line="360" w:lineRule="auto"/>
        <w:ind w:firstLine="468"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w:t>
      </w:r>
      <w:r>
        <w:rPr>
          <w:rFonts w:hint="default" w:ascii="仿宋" w:hAnsi="仿宋" w:eastAsia="仿宋" w:cstheme="minorEastAsia"/>
          <w:sz w:val="24"/>
          <w:szCs w:val="24"/>
          <w:woUserID w:val="1"/>
        </w:rPr>
        <w:t>旷</w:t>
      </w:r>
      <w:r>
        <w:rPr>
          <w:rFonts w:hint="eastAsia" w:ascii="仿宋" w:hAnsi="仿宋" w:eastAsia="仿宋" w:cstheme="minorEastAsia"/>
          <w:sz w:val="24"/>
          <w:szCs w:val="24"/>
          <w:lang w:val="en-US" w:eastAsia="zh-CN"/>
        </w:rPr>
        <w:t>老师</w:t>
      </w:r>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r>
        <w:rPr>
          <w:rFonts w:hint="default" w:ascii="仿宋" w:hAnsi="仿宋" w:eastAsia="仿宋" w:cstheme="minorEastAsia"/>
          <w:sz w:val="24"/>
          <w:szCs w:val="24"/>
          <w:woUserID w:val="1"/>
        </w:rPr>
        <w:t>18007330744</w:t>
      </w:r>
      <w:bookmarkStart w:id="10" w:name="_GoBack"/>
      <w:bookmarkEnd w:id="10"/>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w:t>
      </w:r>
      <w:r>
        <w:rPr>
          <w:rFonts w:hint="eastAsia" w:ascii="仿宋" w:hAnsi="仿宋" w:eastAsia="仿宋" w:cstheme="minorEastAsia"/>
          <w:sz w:val="24"/>
          <w:szCs w:val="24"/>
          <w:lang w:val="en-US" w:eastAsia="zh-CN"/>
        </w:rPr>
        <w:t>石峰区智慧路1号</w:t>
      </w:r>
    </w:p>
    <w:p>
      <w:pPr>
        <w:rPr>
          <w:rFonts w:ascii="仿宋" w:hAnsi="仿宋" w:eastAsia="仿宋"/>
          <w:b/>
          <w:sz w:val="36"/>
          <w:szCs w:val="36"/>
        </w:rPr>
      </w:pPr>
      <w:r>
        <w:rPr>
          <w:rFonts w:ascii="仿宋" w:hAnsi="仿宋" w:eastAsia="仿宋"/>
          <w:b/>
          <w:sz w:val="36"/>
          <w:szCs w:val="36"/>
        </w:rPr>
        <w:br w:type="page"/>
      </w:r>
    </w:p>
    <w:p>
      <w:pPr>
        <w:pStyle w:val="16"/>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pPr>
        <w:snapToGrid w:val="0"/>
        <w:spacing w:line="360" w:lineRule="auto"/>
        <w:ind w:firstLine="480"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lang w:val="en-US" w:eastAsia="zh-CN"/>
        </w:rPr>
        <w:t>专业建设与教学创新骨干高级研修班专题研修培训项目</w:t>
      </w:r>
      <w:r>
        <w:rPr>
          <w:rFonts w:hint="eastAsia" w:ascii="仿宋" w:hAnsi="仿宋" w:eastAsia="仿宋" w:cs="仿宋"/>
          <w:color w:val="333333"/>
          <w:kern w:val="0"/>
          <w:sz w:val="24"/>
          <w:szCs w:val="24"/>
          <w:u w:val="none"/>
        </w:rPr>
        <w:t>酒店食宿及会场</w:t>
      </w:r>
      <w:r>
        <w:rPr>
          <w:rFonts w:hint="eastAsia" w:ascii="仿宋" w:hAnsi="仿宋" w:eastAsia="仿宋" w:cs="仿宋"/>
          <w:color w:val="333333"/>
          <w:kern w:val="0"/>
          <w:sz w:val="24"/>
          <w:szCs w:val="24"/>
          <w:u w:val="none"/>
          <w:lang w:val="en-US" w:eastAsia="zh-CN"/>
        </w:rPr>
        <w:t>租赁</w:t>
      </w:r>
      <w:r>
        <w:rPr>
          <w:rFonts w:hint="eastAsia" w:ascii="仿宋" w:hAnsi="仿宋" w:eastAsia="仿宋" w:cs="仿宋"/>
          <w:color w:val="333333"/>
          <w:kern w:val="0"/>
          <w:sz w:val="24"/>
          <w:szCs w:val="24"/>
          <w:u w:val="none"/>
        </w:rPr>
        <w:t>服务项目</w:t>
      </w:r>
    </w:p>
    <w:p>
      <w:pPr>
        <w:pStyle w:val="41"/>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lang w:val="en-US" w:eastAsia="zh-CN"/>
        </w:rPr>
        <w:t>2026年7月5日-9日，5</w:t>
      </w:r>
      <w:r>
        <w:rPr>
          <w:rFonts w:hint="eastAsia" w:ascii="仿宋" w:hAnsi="仿宋" w:eastAsia="仿宋" w:cs="仿宋"/>
          <w:color w:val="333333"/>
          <w:kern w:val="0"/>
          <w:sz w:val="24"/>
          <w:szCs w:val="24"/>
          <w:u w:val="none"/>
          <w:lang w:val="en-US" w:eastAsia="zh-CN"/>
        </w:rPr>
        <w:t>天</w:t>
      </w:r>
      <w:r>
        <w:rPr>
          <w:rFonts w:hint="eastAsia" w:ascii="仿宋" w:hAnsi="仿宋" w:eastAsia="仿宋" w:cs="仿宋"/>
          <w:color w:val="333333"/>
          <w:kern w:val="0"/>
          <w:sz w:val="24"/>
          <w:szCs w:val="24"/>
          <w:u w:val="none"/>
        </w:rPr>
        <w:t>。</w:t>
      </w:r>
    </w:p>
    <w:p>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pPr>
        <w:snapToGrid w:val="0"/>
        <w:spacing w:before="156" w:beforeLines="50" w:line="360" w:lineRule="auto"/>
        <w:ind w:firstLine="480" w:firstLineChars="200"/>
        <w:jc w:val="left"/>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（一）住宿服务</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1.为参训人员快速办理入住、退房手续，提供24小时前台服务；</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2.每日完成客房清洁，按规定更换床上用品、一次性洗漱用品；</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3.接到客房设备故障报修后及时维修处置；</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4.提供叫醒、行李寄存等个性化服务；</w:t>
      </w:r>
    </w:p>
    <w:p>
      <w:pPr>
        <w:pStyle w:val="41"/>
        <w:spacing w:line="520" w:lineRule="exact"/>
        <w:ind w:firstLine="480"/>
        <w:rPr>
          <w:rFonts w:hint="eastAsia" w:eastAsia="宋体"/>
          <w:sz w:val="24"/>
          <w:lang w:val="en-US" w:eastAsia="zh-CN"/>
        </w:rPr>
      </w:pPr>
      <w:r>
        <w:rPr>
          <w:rFonts w:hint="eastAsia" w:ascii="仿宋" w:hAnsi="仿宋" w:eastAsia="仿宋" w:cs="仿宋"/>
          <w:color w:val="333333"/>
          <w:kern w:val="0"/>
          <w:sz w:val="24"/>
          <w:szCs w:val="24"/>
        </w:rPr>
        <w:t>5.住宿区域配齐消防、监控设备，安排专人巡逻值守，保障住宿安全。</w:t>
      </w:r>
    </w:p>
    <w:p>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（二）餐饮服务</w:t>
      </w:r>
    </w:p>
    <w:p>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1.根据学校培训日程制定供餐计划，按时提供早、中、晚餐；</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2.严格把控食材品质，保证食材新鲜、卫生、安全；</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3.主动收集学员用餐反馈，及时优化菜品口味与品类，兼顾特殊饮食需求；</w:t>
      </w:r>
    </w:p>
    <w:p>
      <w:pPr>
        <w:pStyle w:val="41"/>
        <w:spacing w:line="520" w:lineRule="exact"/>
        <w:ind w:firstLine="480"/>
        <w:rPr>
          <w:rFonts w:hint="eastAsia" w:ascii="仿宋" w:hAnsi="仿宋" w:eastAsia="仿宋" w:cs="仿宋"/>
          <w:b/>
          <w:bCs/>
          <w:color w:val="333333"/>
          <w:kern w:val="0"/>
          <w:sz w:val="24"/>
          <w:szCs w:val="24"/>
          <w:lang w:val="en-US" w:eastAsia="zh-CN" w:bidi="ar-SA"/>
        </w:rPr>
      </w:pPr>
      <w:r>
        <w:rPr>
          <w:rFonts w:hint="eastAsia" w:ascii="仿宋" w:hAnsi="仿宋" w:eastAsia="仿宋" w:cs="仿宋"/>
          <w:color w:val="333333"/>
          <w:kern w:val="0"/>
          <w:sz w:val="24"/>
          <w:szCs w:val="24"/>
        </w:rPr>
        <w:t>4.严格落实食品留样、卫生消杀制度，规范厨房及餐厅操作流程，留存完整记录。</w:t>
      </w:r>
    </w:p>
    <w:p>
      <w:pPr>
        <w:keepNext w:val="0"/>
        <w:keepLines w:val="0"/>
        <w:pageBreakBefore w:val="0"/>
        <w:widowControl w:val="0"/>
        <w:numPr>
          <w:ilvl w:val="0"/>
          <w:numId w:val="0"/>
        </w:numPr>
        <w:tabs>
          <w:tab w:val="left" w:pos="-200"/>
        </w:tabs>
        <w:kinsoku/>
        <w:wordWrap/>
        <w:overflowPunct/>
        <w:topLinePunct w:val="0"/>
        <w:autoSpaceDE/>
        <w:autoSpaceDN/>
        <w:bidi w:val="0"/>
        <w:adjustRightInd/>
        <w:snapToGrid/>
        <w:spacing w:before="156" w:beforeLines="50" w:line="360" w:lineRule="auto"/>
        <w:ind w:firstLine="480" w:firstLineChars="200"/>
        <w:textAlignment w:val="auto"/>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（三）会场服务</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1.根据培训需求完成会场布置、桌椅摆放、设备调试工作；</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2.培训期间安排专人负责设备操作、现场秩序维护，提供茶水、</w:t>
      </w:r>
      <w:r>
        <w:rPr>
          <w:rFonts w:hint="eastAsia" w:ascii="仿宋" w:hAnsi="仿宋" w:eastAsia="仿宋" w:cs="仿宋"/>
          <w:color w:val="333333"/>
          <w:kern w:val="0"/>
          <w:sz w:val="24"/>
          <w:szCs w:val="24"/>
          <w:lang w:val="en-US" w:eastAsia="zh-CN"/>
        </w:rPr>
        <w:t>咖啡</w:t>
      </w:r>
      <w:r>
        <w:rPr>
          <w:rFonts w:hint="eastAsia" w:ascii="仿宋" w:hAnsi="仿宋" w:eastAsia="仿宋" w:cs="仿宋"/>
          <w:color w:val="333333"/>
          <w:kern w:val="0"/>
          <w:sz w:val="24"/>
          <w:szCs w:val="24"/>
        </w:rPr>
        <w:t>等配套服务；</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3.第一时间处置设备故障及各类突发情况；</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4.培训结束后及时完成会场清理、设备回收、场地消杀工作。</w:t>
      </w:r>
    </w:p>
    <w:p>
      <w:pPr>
        <w:pStyle w:val="41"/>
        <w:spacing w:line="520" w:lineRule="exact"/>
        <w:ind w:left="0" w:leftChars="0" w:firstLine="480" w:firstLineChars="200"/>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四</w:t>
      </w:r>
      <w:r>
        <w:rPr>
          <w:rFonts w:hint="eastAsia" w:ascii="仿宋" w:hAnsi="仿宋" w:eastAsia="仿宋" w:cs="仿宋"/>
          <w:b/>
          <w:bCs/>
          <w:color w:val="auto"/>
          <w:kern w:val="0"/>
          <w:sz w:val="24"/>
          <w:szCs w:val="24"/>
          <w:lang w:eastAsia="zh-CN"/>
        </w:rPr>
        <w:t>）</w:t>
      </w:r>
      <w:r>
        <w:rPr>
          <w:rFonts w:hint="eastAsia" w:ascii="仿宋" w:hAnsi="仿宋" w:eastAsia="仿宋" w:cs="仿宋"/>
          <w:b/>
          <w:bCs/>
          <w:color w:val="auto"/>
          <w:kern w:val="0"/>
          <w:sz w:val="24"/>
          <w:szCs w:val="24"/>
          <w:lang w:val="en-US" w:eastAsia="zh-CN"/>
        </w:rPr>
        <w:t>位置要求</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auto"/>
          <w:kern w:val="0"/>
          <w:sz w:val="24"/>
          <w:szCs w:val="24"/>
          <w:lang w:val="en-US" w:eastAsia="zh-CN"/>
        </w:rPr>
        <w:t>为方便开展本校培训服务、对接教师和学员，本项目服务和实施场地须位于株洲市主城区（包括天元区、芦淞区、荷塘区、石峰区、云龙区），投标人中标后提供的酒店经营场所须坐落于上述区域内，并满足采购人日常培训通勤、集中管理需求，若中标人提供的酒店不在上述区域，采购人有权取消中标资格，不予签订合同。</w:t>
      </w:r>
    </w:p>
    <w:p>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（一）硬件要求</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1.住宿条件</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标准双人间数量不少于</w:t>
      </w:r>
      <w:r>
        <w:rPr>
          <w:rFonts w:hint="eastAsia" w:ascii="仿宋" w:hAnsi="仿宋" w:eastAsia="仿宋" w:cs="仿宋"/>
          <w:color w:val="333333"/>
          <w:kern w:val="0"/>
          <w:sz w:val="24"/>
          <w:szCs w:val="24"/>
          <w:lang w:val="en-US" w:eastAsia="zh-CN"/>
        </w:rPr>
        <w:t>36</w:t>
      </w:r>
      <w:r>
        <w:rPr>
          <w:rFonts w:hint="eastAsia" w:ascii="仿宋" w:hAnsi="仿宋" w:eastAsia="仿宋" w:cs="仿宋"/>
          <w:color w:val="333333"/>
          <w:kern w:val="0"/>
          <w:sz w:val="24"/>
          <w:szCs w:val="24"/>
        </w:rPr>
        <w:t>间，单间客房建筑面积不低于</w:t>
      </w:r>
      <w:r>
        <w:rPr>
          <w:rFonts w:hint="eastAsia" w:ascii="仿宋" w:hAnsi="仿宋" w:eastAsia="仿宋" w:cs="仿宋"/>
          <w:color w:val="333333"/>
          <w:kern w:val="0"/>
          <w:sz w:val="24"/>
          <w:szCs w:val="24"/>
          <w:lang w:val="en-US" w:eastAsia="zh-CN"/>
        </w:rPr>
        <w:t>30</w:t>
      </w:r>
      <w:r>
        <w:rPr>
          <w:rFonts w:hint="eastAsia" w:ascii="仿宋" w:hAnsi="仿宋" w:eastAsia="仿宋" w:cs="仿宋"/>
          <w:color w:val="333333"/>
          <w:kern w:val="0"/>
          <w:sz w:val="24"/>
          <w:szCs w:val="24"/>
        </w:rPr>
        <w:t>平方米；客房内配齐空调、液晶电视、无线网络、独立卫浴等设施，所有设备完好、正常使用。</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2.餐饮条件</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拥有可同时容纳</w:t>
      </w:r>
      <w:r>
        <w:rPr>
          <w:rFonts w:hint="eastAsia" w:ascii="仿宋" w:hAnsi="仿宋" w:eastAsia="仿宋" w:cs="仿宋"/>
          <w:color w:val="333333"/>
          <w:kern w:val="0"/>
          <w:sz w:val="24"/>
          <w:szCs w:val="24"/>
          <w:lang w:val="en-US" w:eastAsia="zh-CN"/>
        </w:rPr>
        <w:t>55</w:t>
      </w:r>
      <w:r>
        <w:rPr>
          <w:rFonts w:hint="eastAsia" w:ascii="仿宋" w:hAnsi="仿宋" w:eastAsia="仿宋" w:cs="仿宋"/>
          <w:color w:val="333333"/>
          <w:kern w:val="0"/>
          <w:sz w:val="24"/>
          <w:szCs w:val="24"/>
        </w:rPr>
        <w:t>人及以上就餐的专用餐厅，厨房设备齐全、布局规范；食材采购渠道正规、可溯源；可提供早、中、晚三餐，每餐菜品（含主食、副食、汤品）至少</w:t>
      </w:r>
      <w:r>
        <w:rPr>
          <w:rFonts w:hint="eastAsia" w:ascii="仿宋" w:hAnsi="仿宋" w:eastAsia="仿宋" w:cs="仿宋"/>
          <w:color w:val="333333"/>
          <w:kern w:val="0"/>
          <w:sz w:val="24"/>
          <w:szCs w:val="24"/>
          <w:lang w:val="en-US" w:eastAsia="zh-CN"/>
        </w:rPr>
        <w:t>8</w:t>
      </w:r>
      <w:r>
        <w:rPr>
          <w:rFonts w:hint="eastAsia" w:ascii="仿宋" w:hAnsi="仿宋" w:eastAsia="仿宋" w:cs="仿宋"/>
          <w:color w:val="333333"/>
          <w:kern w:val="0"/>
          <w:sz w:val="24"/>
          <w:szCs w:val="24"/>
        </w:rPr>
        <w:t>-1</w:t>
      </w:r>
      <w:r>
        <w:rPr>
          <w:rFonts w:hint="eastAsia" w:ascii="仿宋" w:hAnsi="仿宋" w:eastAsia="仿宋" w:cs="仿宋"/>
          <w:color w:val="333333"/>
          <w:kern w:val="0"/>
          <w:sz w:val="24"/>
          <w:szCs w:val="24"/>
          <w:lang w:val="en-US" w:eastAsia="zh-CN"/>
        </w:rPr>
        <w:t>0</w:t>
      </w:r>
      <w:r>
        <w:rPr>
          <w:rFonts w:hint="eastAsia" w:ascii="仿宋" w:hAnsi="仿宋" w:eastAsia="仿宋" w:cs="仿宋"/>
          <w:color w:val="333333"/>
          <w:kern w:val="0"/>
          <w:sz w:val="24"/>
          <w:szCs w:val="24"/>
        </w:rPr>
        <w:t>种，菜品搭配营养均衡、品类丰富。</w:t>
      </w:r>
    </w:p>
    <w:p>
      <w:pPr>
        <w:pStyle w:val="41"/>
        <w:spacing w:line="520" w:lineRule="exact"/>
        <w:ind w:firstLine="480"/>
        <w:rPr>
          <w:rFonts w:hint="eastAsia"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3.会场条件</w:t>
      </w:r>
    </w:p>
    <w:p>
      <w:pPr>
        <w:pStyle w:val="41"/>
        <w:spacing w:line="520" w:lineRule="exact"/>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（1）需</w:t>
      </w:r>
      <w:r>
        <w:rPr>
          <w:rFonts w:hint="eastAsia" w:ascii="仿宋" w:hAnsi="仿宋" w:eastAsia="仿宋" w:cs="仿宋"/>
          <w:color w:val="333333"/>
          <w:kern w:val="0"/>
          <w:sz w:val="24"/>
          <w:szCs w:val="24"/>
        </w:rPr>
        <w:t>配备1处面积大于1</w:t>
      </w:r>
      <w:r>
        <w:rPr>
          <w:rFonts w:hint="eastAsia" w:ascii="仿宋" w:hAnsi="仿宋" w:eastAsia="仿宋" w:cs="仿宋"/>
          <w:color w:val="333333"/>
          <w:kern w:val="0"/>
          <w:sz w:val="24"/>
          <w:szCs w:val="24"/>
          <w:lang w:val="en-US" w:eastAsia="zh-CN"/>
        </w:rPr>
        <w:t>8</w:t>
      </w:r>
      <w:r>
        <w:rPr>
          <w:rFonts w:hint="eastAsia" w:ascii="仿宋" w:hAnsi="仿宋" w:eastAsia="仿宋" w:cs="仿宋"/>
          <w:color w:val="333333"/>
          <w:kern w:val="0"/>
          <w:sz w:val="24"/>
          <w:szCs w:val="24"/>
        </w:rPr>
        <w:t>0㎡、可容纳150人以上的培训会场</w:t>
      </w:r>
      <w:r>
        <w:rPr>
          <w:rFonts w:hint="eastAsia" w:ascii="仿宋" w:hAnsi="仿宋" w:eastAsia="仿宋" w:cs="仿宋"/>
          <w:color w:val="333333"/>
          <w:kern w:val="0"/>
          <w:sz w:val="24"/>
          <w:szCs w:val="24"/>
          <w:lang w:eastAsia="zh-CN"/>
        </w:rPr>
        <w:t>。</w:t>
      </w:r>
    </w:p>
    <w:p>
      <w:pPr>
        <w:pStyle w:val="41"/>
        <w:spacing w:line="520" w:lineRule="exact"/>
        <w:ind w:firstLine="480"/>
        <w:rPr>
          <w:rFonts w:hint="eastAsia" w:ascii="仿宋" w:hAnsi="仿宋" w:eastAsia="仿宋" w:cs="仿宋"/>
          <w:color w:val="333333"/>
          <w:kern w:val="0"/>
          <w:sz w:val="24"/>
          <w:szCs w:val="24"/>
          <w:lang w:eastAsia="zh-CN"/>
        </w:rPr>
      </w:pPr>
      <w:r>
        <w:rPr>
          <w:rFonts w:hint="eastAsia" w:ascii="仿宋" w:hAnsi="仿宋" w:eastAsia="仿宋" w:cs="仿宋"/>
          <w:color w:val="333333"/>
          <w:kern w:val="0"/>
          <w:sz w:val="24"/>
          <w:szCs w:val="24"/>
          <w:lang w:val="en-US" w:eastAsia="zh-CN"/>
        </w:rPr>
        <w:t>（2）</w:t>
      </w:r>
      <w:r>
        <w:rPr>
          <w:rFonts w:hint="eastAsia" w:ascii="仿宋" w:hAnsi="仿宋" w:eastAsia="仿宋" w:cs="仿宋"/>
          <w:color w:val="333333"/>
          <w:kern w:val="0"/>
          <w:sz w:val="24"/>
          <w:szCs w:val="24"/>
        </w:rPr>
        <w:t>会场配齐专业音响、LED电子屏、无线麦克风、成套桌椅等设施，可满足教学、会议、小组研讨等使用需求。</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（二）住宿质量要求</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客房装修整洁舒适，设施定期维保；客房卫生符合国家卫生标准，无异味、污渍、蚊虫；布草及洗漱用品选用优质产品，严格执行更换清洗制度。</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（三）餐饮质量要求</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所有菜品符合食品安全标准，口味适口；食材采购索证索票齐全；服务人员着装统一、服务规范热情。</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（四）会场质量要求</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会场安静整洁、通风良好、温度适宜；音视频、显示设备运行稳定，画面、声音清晰；现场服务人员熟练操作各类设备，具备应急处置能力。</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（五）安全管理要求</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建立完善安全管理制度，定期检修消防、监控等安防设备；制定突发事件应急预案并定期组织演练。</w:t>
      </w:r>
    </w:p>
    <w:p>
      <w:pPr>
        <w:snapToGrid w:val="0"/>
        <w:spacing w:before="156" w:beforeLines="50"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（一）评分标准</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1.住宿服务</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客房设施故障未及时修复，每处扣2分；客房卫生不达标，每间次扣1分；未按规定更换客房用品，每次扣2分；未提供约定个性化服务，每次扣3分。</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2.餐饮服务</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菜品出现质量问题，每例扣5分；未响应特殊饮食需求，每次扣3分；餐厅、厨房卫生不达标，每次扣2分；未按规定留样或记录不全，每次扣2分。</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3.会场服务</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会场设备调试不到位影响培训开展，每次扣3分；服务人员未及时处置现场问题，每次扣2分；培训结束未及时清理会场，每次扣1分。</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4.安全管理</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安全管理制度不健全，扣5分；安防设备故障未及时修复，每次扣3分；未制定应急预案或未组织演练，扣5分；发生安全事故，视情节扣10—20分。</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（二）考核方式</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1.日常检查</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采购人安排专人开展定期或不定期现场检查，并留存书面记录。</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2.学员评价</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每期培训结束后组织学员问卷调查，综合满意度低于80%的，每降低1个百分点扣2分。</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3.综合考核</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单期培训班结束后开展综合考评，结合日常检查与学员评价计分。年度综合考核总分低于80分，采购人有权终止合作合同；年度得分在80—90分之间，要求限期整改。</w:t>
      </w:r>
    </w:p>
    <w:p>
      <w:pPr>
        <w:adjustRightInd w:val="0"/>
        <w:snapToGrid w:val="0"/>
        <w:spacing w:line="520" w:lineRule="exact"/>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w:t>
      </w:r>
      <w:r>
        <w:rPr>
          <w:rFonts w:hint="eastAsia" w:ascii="仿宋" w:hAnsi="仿宋" w:eastAsia="仿宋" w:cs="仿宋"/>
          <w:color w:val="333333"/>
          <w:kern w:val="0"/>
          <w:sz w:val="24"/>
          <w:szCs w:val="24"/>
          <w:u w:val="none"/>
        </w:rPr>
        <w:t>限价为</w:t>
      </w:r>
      <w:r>
        <w:rPr>
          <w:rFonts w:hint="eastAsia" w:ascii="仿宋" w:hAnsi="仿宋" w:eastAsia="仿宋" w:cs="仿宋"/>
          <w:color w:val="333333"/>
          <w:kern w:val="0"/>
          <w:sz w:val="24"/>
          <w:szCs w:val="24"/>
          <w:u w:val="none"/>
          <w:lang w:val="en-US" w:eastAsia="zh-CN"/>
        </w:rPr>
        <w:t>6.64</w:t>
      </w:r>
      <w:r>
        <w:rPr>
          <w:rFonts w:hint="eastAsia" w:ascii="仿宋" w:hAnsi="仿宋" w:eastAsia="仿宋" w:cs="仿宋"/>
          <w:color w:val="333333"/>
          <w:kern w:val="0"/>
          <w:sz w:val="24"/>
          <w:szCs w:val="24"/>
          <w:u w:val="none"/>
        </w:rPr>
        <w:t>万</w:t>
      </w:r>
      <w:r>
        <w:rPr>
          <w:rFonts w:hint="eastAsia" w:ascii="仿宋" w:hAnsi="仿宋" w:eastAsia="仿宋" w:cs="仿宋"/>
          <w:color w:val="333333"/>
          <w:kern w:val="0"/>
          <w:sz w:val="24"/>
          <w:szCs w:val="24"/>
        </w:rPr>
        <w:t>元，报价为一次性分细项报价。</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分项预算如下表所示。</w:t>
      </w:r>
    </w:p>
    <w:tbl>
      <w:tblPr>
        <w:tblStyle w:val="18"/>
        <w:tblW w:w="84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9"/>
        <w:gridCol w:w="1701"/>
        <w:gridCol w:w="851"/>
        <w:gridCol w:w="968"/>
        <w:gridCol w:w="1186"/>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序号</w:t>
            </w:r>
          </w:p>
        </w:tc>
        <w:tc>
          <w:tcPr>
            <w:tcW w:w="1559"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名称</w:t>
            </w:r>
          </w:p>
        </w:tc>
        <w:tc>
          <w:tcPr>
            <w:tcW w:w="170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规格</w:t>
            </w:r>
          </w:p>
        </w:tc>
        <w:tc>
          <w:tcPr>
            <w:tcW w:w="85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单位</w:t>
            </w:r>
          </w:p>
        </w:tc>
        <w:tc>
          <w:tcPr>
            <w:tcW w:w="968"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数量</w:t>
            </w:r>
          </w:p>
        </w:tc>
        <w:tc>
          <w:tcPr>
            <w:tcW w:w="118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单价(元)</w:t>
            </w:r>
          </w:p>
        </w:tc>
        <w:tc>
          <w:tcPr>
            <w:tcW w:w="1351" w:type="dxa"/>
            <w:vAlign w:val="center"/>
          </w:tcPr>
          <w:p>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1</w:t>
            </w:r>
          </w:p>
        </w:tc>
        <w:tc>
          <w:tcPr>
            <w:tcW w:w="1559"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住宿</w:t>
            </w:r>
          </w:p>
        </w:tc>
        <w:tc>
          <w:tcPr>
            <w:tcW w:w="170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标双</w:t>
            </w:r>
          </w:p>
        </w:tc>
        <w:tc>
          <w:tcPr>
            <w:tcW w:w="85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间</w:t>
            </w:r>
          </w:p>
        </w:tc>
        <w:tc>
          <w:tcPr>
            <w:tcW w:w="968"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lang w:val="en-US" w:eastAsia="zh-CN"/>
              </w:rPr>
            </w:pPr>
            <w:r>
              <w:rPr>
                <w:rFonts w:hint="eastAsia" w:ascii="仿宋" w:hAnsi="仿宋" w:eastAsia="仿宋" w:cs="仿宋"/>
                <w:color w:val="333333"/>
                <w:kern w:val="0"/>
                <w:szCs w:val="21"/>
                <w:lang w:val="en-US" w:eastAsia="zh-CN"/>
              </w:rPr>
              <w:t>120</w:t>
            </w:r>
          </w:p>
        </w:tc>
        <w:tc>
          <w:tcPr>
            <w:tcW w:w="118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220.00</w:t>
            </w:r>
          </w:p>
        </w:tc>
        <w:tc>
          <w:tcPr>
            <w:tcW w:w="1351" w:type="dxa"/>
            <w:vAlign w:val="center"/>
          </w:tcPr>
          <w:p>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26400.00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2</w:t>
            </w:r>
          </w:p>
        </w:tc>
        <w:tc>
          <w:tcPr>
            <w:tcW w:w="1559"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餐饮</w:t>
            </w:r>
          </w:p>
        </w:tc>
        <w:tc>
          <w:tcPr>
            <w:tcW w:w="170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标准</w:t>
            </w:r>
          </w:p>
        </w:tc>
        <w:tc>
          <w:tcPr>
            <w:tcW w:w="85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餐</w:t>
            </w:r>
          </w:p>
        </w:tc>
        <w:tc>
          <w:tcPr>
            <w:tcW w:w="968"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lang w:val="en-US" w:eastAsia="zh-CN"/>
              </w:rPr>
            </w:pPr>
            <w:r>
              <w:rPr>
                <w:rFonts w:hint="eastAsia" w:ascii="仿宋" w:hAnsi="仿宋" w:eastAsia="仿宋" w:cs="仿宋"/>
                <w:color w:val="333333"/>
                <w:kern w:val="0"/>
                <w:sz w:val="21"/>
                <w:szCs w:val="21"/>
                <w:lang w:val="en-US" w:eastAsia="zh-CN" w:bidi="ar"/>
              </w:rPr>
              <w:t>300</w:t>
            </w:r>
          </w:p>
        </w:tc>
        <w:tc>
          <w:tcPr>
            <w:tcW w:w="118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50.00</w:t>
            </w:r>
          </w:p>
        </w:tc>
        <w:tc>
          <w:tcPr>
            <w:tcW w:w="1351" w:type="dxa"/>
            <w:vAlign w:val="center"/>
          </w:tcPr>
          <w:p>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30000.00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3</w:t>
            </w:r>
          </w:p>
        </w:tc>
        <w:tc>
          <w:tcPr>
            <w:tcW w:w="1559"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highlight w:val="none"/>
                <w:lang w:val="en-US" w:eastAsia="zh-CN" w:bidi="ar"/>
              </w:rPr>
              <w:t>教学培训场地</w:t>
            </w:r>
          </w:p>
        </w:tc>
        <w:tc>
          <w:tcPr>
            <w:tcW w:w="170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auto"/>
                <w:kern w:val="0"/>
                <w:szCs w:val="21"/>
              </w:rPr>
            </w:pPr>
            <w:r>
              <w:rPr>
                <w:rFonts w:hint="eastAsia" w:ascii="仿宋" w:hAnsi="仿宋" w:eastAsia="仿宋" w:cs="仿宋"/>
                <w:kern w:val="0"/>
                <w:sz w:val="21"/>
                <w:szCs w:val="21"/>
                <w:lang w:val="en-US" w:eastAsia="zh-CN" w:bidi="ar"/>
              </w:rPr>
              <w:t>180平米以上</w:t>
            </w:r>
          </w:p>
        </w:tc>
        <w:tc>
          <w:tcPr>
            <w:tcW w:w="85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auto"/>
                <w:kern w:val="0"/>
                <w:szCs w:val="21"/>
                <w:lang w:val="en-US" w:eastAsia="zh-CN"/>
              </w:rPr>
            </w:pPr>
            <w:r>
              <w:rPr>
                <w:rFonts w:hint="eastAsia" w:ascii="仿宋" w:hAnsi="仿宋" w:eastAsia="仿宋" w:cs="仿宋"/>
                <w:kern w:val="0"/>
                <w:sz w:val="21"/>
                <w:szCs w:val="21"/>
                <w:lang w:val="en-US" w:eastAsia="zh-CN" w:bidi="ar"/>
              </w:rPr>
              <w:t>场次</w:t>
            </w:r>
          </w:p>
        </w:tc>
        <w:tc>
          <w:tcPr>
            <w:tcW w:w="968"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default" w:ascii="仿宋" w:hAnsi="仿宋" w:eastAsia="仿宋" w:cs="仿宋"/>
                <w:color w:val="333333"/>
                <w:kern w:val="0"/>
                <w:szCs w:val="21"/>
                <w:lang w:val="en-US" w:eastAsia="zh-CN"/>
              </w:rPr>
            </w:pPr>
            <w:r>
              <w:rPr>
                <w:rFonts w:hint="eastAsia" w:ascii="仿宋" w:hAnsi="仿宋" w:eastAsia="仿宋" w:cs="仿宋"/>
                <w:color w:val="333333"/>
                <w:kern w:val="0"/>
                <w:sz w:val="21"/>
                <w:szCs w:val="21"/>
                <w:lang w:val="en-US" w:eastAsia="zh-CN" w:bidi="ar"/>
              </w:rPr>
              <w:t>10</w:t>
            </w:r>
          </w:p>
        </w:tc>
        <w:tc>
          <w:tcPr>
            <w:tcW w:w="118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1000.00</w:t>
            </w:r>
          </w:p>
        </w:tc>
        <w:tc>
          <w:tcPr>
            <w:tcW w:w="1351" w:type="dxa"/>
            <w:vAlign w:val="center"/>
          </w:tcPr>
          <w:p>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10000.00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1559"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170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851"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968"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合计（元）</w:t>
            </w:r>
          </w:p>
        </w:tc>
        <w:tc>
          <w:tcPr>
            <w:tcW w:w="1186" w:type="dxa"/>
            <w:vAlign w:val="center"/>
          </w:tcPr>
          <w:p>
            <w:pPr>
              <w:pStyle w:val="14"/>
              <w:keepNext w:val="0"/>
              <w:keepLines w:val="0"/>
              <w:widowControl w:val="0"/>
              <w:suppressLineNumbers w:val="0"/>
              <w:spacing w:before="0" w:beforeAutospacing="0" w:after="0" w:afterAutospacing="0" w:line="300" w:lineRule="exact"/>
              <w:ind w:left="0" w:leftChars="0" w:right="0" w:rightChars="0" w:firstLine="0" w:firstLineChars="0"/>
              <w:jc w:val="center"/>
              <w:rPr>
                <w:rFonts w:hint="eastAsia" w:ascii="仿宋" w:hAnsi="仿宋" w:eastAsia="仿宋" w:cs="仿宋"/>
                <w:color w:val="333333"/>
                <w:kern w:val="0"/>
                <w:szCs w:val="21"/>
              </w:rPr>
            </w:pPr>
          </w:p>
        </w:tc>
        <w:tc>
          <w:tcPr>
            <w:tcW w:w="1351" w:type="dxa"/>
            <w:vAlign w:val="center"/>
          </w:tcPr>
          <w:p>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color w:val="333333"/>
                <w:kern w:val="0"/>
                <w:szCs w:val="21"/>
              </w:rPr>
            </w:pPr>
            <w:r>
              <w:rPr>
                <w:rFonts w:hint="eastAsia" w:ascii="仿宋" w:hAnsi="仿宋" w:eastAsia="仿宋" w:cs="仿宋"/>
                <w:color w:val="333333"/>
                <w:kern w:val="0"/>
                <w:sz w:val="21"/>
                <w:szCs w:val="21"/>
                <w:lang w:val="en-US" w:eastAsia="zh-CN" w:bidi="ar"/>
              </w:rPr>
              <w:t>66400.00</w:t>
            </w:r>
          </w:p>
        </w:tc>
      </w:tr>
    </w:tbl>
    <w:p>
      <w:pPr>
        <w:adjustRightInd w:val="0"/>
        <w:snapToGrid w:val="0"/>
        <w:spacing w:line="520" w:lineRule="exact"/>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pPr>
        <w:pStyle w:val="41"/>
        <w:spacing w:line="520" w:lineRule="exact"/>
        <w:ind w:firstLine="480"/>
        <w:rPr>
          <w:rFonts w:hint="eastAsia" w:ascii="仿宋" w:hAnsi="仿宋" w:eastAsia="仿宋" w:cs="仿宋"/>
          <w:color w:val="333333"/>
          <w:kern w:val="0"/>
          <w:sz w:val="24"/>
          <w:szCs w:val="24"/>
        </w:rPr>
      </w:pPr>
      <w:r>
        <w:rPr>
          <w:rFonts w:hint="eastAsia" w:ascii="仿宋" w:hAnsi="仿宋" w:eastAsia="仿宋" w:cstheme="minorEastAsia"/>
          <w:kern w:val="2"/>
          <w:sz w:val="24"/>
          <w:szCs w:val="24"/>
          <w:lang w:val="en-US" w:eastAsia="zh-CN" w:bidi="ar-SA"/>
        </w:rPr>
        <w:t>本合同价格以最终中标单价为准，按实际服务数量据实结算，最终实际总价不得超过采购预算总价。成交供应商收到成交通知后，应在一周内签订合同。</w:t>
      </w:r>
    </w:p>
    <w:p>
      <w:pPr>
        <w:snapToGrid w:val="0"/>
        <w:spacing w:line="360" w:lineRule="auto"/>
        <w:ind w:firstLine="480"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单期培训班结束后，供应商在10个工作日内提交完整费用明细清单及正规发票，采购人审核无误后，一次性支付该期全部服务费用。</w:t>
      </w:r>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具体以签订的合同为准。</w:t>
      </w:r>
    </w:p>
    <w:p>
      <w:pPr>
        <w:rPr>
          <w:rFonts w:hint="eastAsia"/>
        </w:rPr>
      </w:pPr>
    </w:p>
    <w:p>
      <w:pPr>
        <w:pStyle w:val="16"/>
        <w:ind w:left="0" w:leftChars="0" w:firstLine="0"/>
        <w:jc w:val="center"/>
        <w:rPr>
          <w:rFonts w:hint="eastAsia" w:ascii="仿宋" w:hAnsi="仿宋" w:eastAsia="仿宋"/>
          <w:b/>
          <w:sz w:val="36"/>
          <w:szCs w:val="36"/>
        </w:rPr>
      </w:pPr>
    </w:p>
    <w:p>
      <w:pPr>
        <w:pStyle w:val="16"/>
        <w:ind w:left="0" w:leftChars="0" w:firstLine="0"/>
        <w:jc w:val="center"/>
        <w:rPr>
          <w:rFonts w:hint="eastAsia" w:ascii="仿宋" w:hAnsi="仿宋" w:eastAsia="仿宋"/>
          <w:b/>
          <w:sz w:val="36"/>
          <w:szCs w:val="36"/>
        </w:rPr>
      </w:pPr>
    </w:p>
    <w:p>
      <w:pPr>
        <w:pStyle w:val="16"/>
        <w:ind w:left="0" w:leftChars="0" w:firstLine="0"/>
        <w:jc w:val="center"/>
        <w:rPr>
          <w:rFonts w:hint="eastAsia" w:ascii="仿宋" w:hAnsi="仿宋" w:eastAsia="仿宋"/>
          <w:b/>
          <w:sz w:val="36"/>
          <w:szCs w:val="36"/>
        </w:rPr>
      </w:pPr>
    </w:p>
    <w:p>
      <w:pPr>
        <w:pStyle w:val="16"/>
        <w:ind w:left="0" w:leftChars="0" w:firstLine="0"/>
        <w:jc w:val="center"/>
        <w:rPr>
          <w:rFonts w:hint="eastAsia" w:ascii="仿宋" w:hAnsi="仿宋" w:eastAsia="仿宋"/>
          <w:b/>
          <w:sz w:val="36"/>
          <w:szCs w:val="36"/>
        </w:rPr>
      </w:pPr>
    </w:p>
    <w:p>
      <w:pPr>
        <w:pStyle w:val="16"/>
        <w:ind w:left="0" w:leftChars="0" w:firstLine="0"/>
        <w:jc w:val="center"/>
        <w:rPr>
          <w:rFonts w:hint="eastAsia" w:ascii="仿宋" w:hAnsi="仿宋" w:eastAsia="仿宋"/>
          <w:b/>
          <w:sz w:val="36"/>
          <w:szCs w:val="36"/>
        </w:rPr>
      </w:pPr>
    </w:p>
    <w:p>
      <w:pPr>
        <w:pStyle w:val="16"/>
        <w:ind w:left="0" w:leftChars="0" w:firstLine="0"/>
        <w:jc w:val="center"/>
        <w:rPr>
          <w:rFonts w:hint="eastAsia" w:ascii="仿宋" w:hAnsi="仿宋" w:eastAsia="仿宋"/>
          <w:b/>
          <w:sz w:val="36"/>
          <w:szCs w:val="36"/>
        </w:rPr>
      </w:pPr>
    </w:p>
    <w:p>
      <w:pPr>
        <w:pStyle w:val="16"/>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pPr>
        <w:spacing w:line="360" w:lineRule="auto"/>
        <w:ind w:firstLine="480" w:firstLineChars="200"/>
        <w:rPr>
          <w:rFonts w:hint="eastAsia" w:ascii="仿宋" w:hAnsi="仿宋" w:eastAsia="仿宋"/>
          <w:b/>
          <w:sz w:val="24"/>
          <w:szCs w:val="24"/>
        </w:rPr>
      </w:pPr>
      <w:r>
        <w:rPr>
          <w:rFonts w:hint="eastAsia" w:ascii="仿宋" w:hAnsi="仿宋" w:eastAsia="仿宋"/>
          <w:b/>
          <w:sz w:val="24"/>
          <w:szCs w:val="24"/>
        </w:rPr>
        <w:t>1.询比小组</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pPr>
        <w:spacing w:line="360" w:lineRule="auto"/>
        <w:ind w:firstLine="480" w:firstLineChars="200"/>
        <w:rPr>
          <w:rFonts w:hint="eastAsia" w:ascii="仿宋" w:hAnsi="仿宋" w:eastAsia="仿宋"/>
          <w:b/>
          <w:sz w:val="24"/>
          <w:szCs w:val="24"/>
        </w:rPr>
      </w:pPr>
      <w:r>
        <w:rPr>
          <w:rFonts w:hint="eastAsia" w:ascii="仿宋" w:hAnsi="仿宋" w:eastAsia="仿宋"/>
          <w:b/>
          <w:sz w:val="24"/>
          <w:szCs w:val="24"/>
        </w:rPr>
        <w:t>2.评审方法</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pPr>
        <w:spacing w:line="360" w:lineRule="auto"/>
        <w:ind w:firstLine="480" w:firstLineChars="200"/>
        <w:rPr>
          <w:rFonts w:hint="eastAsia" w:ascii="仿宋" w:hAnsi="仿宋" w:eastAsia="仿宋"/>
          <w:b/>
          <w:sz w:val="24"/>
          <w:szCs w:val="24"/>
        </w:rPr>
      </w:pPr>
      <w:r>
        <w:rPr>
          <w:rFonts w:hint="eastAsia" w:ascii="仿宋" w:hAnsi="仿宋" w:eastAsia="仿宋"/>
          <w:b/>
          <w:sz w:val="24"/>
          <w:szCs w:val="24"/>
        </w:rPr>
        <w:t>3.比较与评价</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pPr>
        <w:pStyle w:val="16"/>
        <w:spacing w:before="0" w:beforeAutospacing="0" w:after="0" w:line="240" w:lineRule="atLeast"/>
        <w:ind w:left="0" w:leftChars="0" w:firstLine="0"/>
        <w:jc w:val="center"/>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583"/>
        <w:gridCol w:w="1357"/>
        <w:gridCol w:w="827"/>
        <w:gridCol w:w="5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23" w:type="pct"/>
            <w:vAlign w:val="center"/>
          </w:tcPr>
          <w:p>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序号</w:t>
            </w:r>
          </w:p>
        </w:tc>
        <w:tc>
          <w:tcPr>
            <w:tcW w:w="1138" w:type="pct"/>
            <w:gridSpan w:val="2"/>
            <w:vAlign w:val="center"/>
          </w:tcPr>
          <w:p>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485" w:type="pct"/>
            <w:vAlign w:val="center"/>
          </w:tcPr>
          <w:p>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kern w:val="0"/>
                <w:sz w:val="24"/>
                <w:szCs w:val="24"/>
              </w:rPr>
              <w:t>权值</w:t>
            </w:r>
          </w:p>
        </w:tc>
        <w:tc>
          <w:tcPr>
            <w:tcW w:w="2952" w:type="pct"/>
            <w:vAlign w:val="center"/>
          </w:tcPr>
          <w:p>
            <w:pPr>
              <w:keepNext w:val="0"/>
              <w:keepLines w:val="0"/>
              <w:suppressLineNumbers w:val="0"/>
              <w:spacing w:before="0" w:beforeAutospacing="0" w:after="0" w:afterAutospacing="0"/>
              <w:ind w:left="0" w:right="0"/>
              <w:jc w:val="center"/>
              <w:rPr>
                <w:rFonts w:hint="eastAsia" w:ascii="仿宋" w:hAnsi="仿宋" w:eastAsia="仿宋"/>
                <w:b/>
                <w:sz w:val="24"/>
                <w:szCs w:val="24"/>
              </w:rPr>
            </w:pPr>
            <w:r>
              <w:rPr>
                <w:rFonts w:hint="eastAsia" w:ascii="仿宋" w:hAnsi="仿宋" w:eastAsia="仿宋"/>
                <w:b/>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3"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1</w:t>
            </w:r>
          </w:p>
        </w:tc>
        <w:tc>
          <w:tcPr>
            <w:tcW w:w="342" w:type="pct"/>
            <w:vMerge w:val="restart"/>
            <w:vAlign w:val="center"/>
          </w:tcPr>
          <w:p>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报价</w:t>
            </w:r>
          </w:p>
        </w:tc>
        <w:tc>
          <w:tcPr>
            <w:tcW w:w="796" w:type="pct"/>
            <w:vAlign w:val="center"/>
          </w:tcPr>
          <w:p>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住宿报价</w:t>
            </w:r>
          </w:p>
        </w:tc>
        <w:tc>
          <w:tcPr>
            <w:tcW w:w="485" w:type="pct"/>
            <w:vAlign w:val="center"/>
          </w:tcPr>
          <w:p>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20</w:t>
            </w:r>
          </w:p>
        </w:tc>
        <w:tc>
          <w:tcPr>
            <w:tcW w:w="2952" w:type="pct"/>
            <w:vAlign w:val="center"/>
          </w:tcPr>
          <w:p>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以经评委会一致认定满足招标文件要求且投标住宿价格最低的投标报价为评标基准价，其价格得分计20分。其他投标人的价格得分统一按公式计算：报价得分=（评标基准价/投标报价）×价格权重。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423"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仿宋" w:hAnsi="仿宋" w:eastAsia="仿宋" w:cs="宋体"/>
                <w:sz w:val="24"/>
                <w:szCs w:val="24"/>
              </w:rPr>
              <w:t>2</w:t>
            </w:r>
          </w:p>
        </w:tc>
        <w:tc>
          <w:tcPr>
            <w:tcW w:w="342" w:type="pct"/>
            <w:vMerge w:val="continue"/>
            <w:vAlign w:val="center"/>
          </w:tcPr>
          <w:p>
            <w:pPr>
              <w:keepNext w:val="0"/>
              <w:keepLines w:val="0"/>
              <w:suppressLineNumbers w:val="0"/>
              <w:spacing w:before="0" w:beforeAutospacing="0" w:after="0" w:afterAutospacing="0"/>
              <w:ind w:left="0" w:right="0"/>
              <w:jc w:val="center"/>
              <w:rPr>
                <w:rFonts w:hint="eastAsia" w:ascii="仿宋" w:hAnsi="仿宋" w:eastAsia="仿宋"/>
                <w:kern w:val="0"/>
                <w:sz w:val="24"/>
                <w:szCs w:val="24"/>
              </w:rPr>
            </w:pPr>
          </w:p>
        </w:tc>
        <w:tc>
          <w:tcPr>
            <w:tcW w:w="796" w:type="pct"/>
            <w:vAlign w:val="center"/>
          </w:tcPr>
          <w:p>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会场报价</w:t>
            </w:r>
          </w:p>
        </w:tc>
        <w:tc>
          <w:tcPr>
            <w:tcW w:w="485" w:type="pct"/>
            <w:vAlign w:val="center"/>
          </w:tcPr>
          <w:p>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lang w:val="en-US" w:eastAsia="zh-CN"/>
              </w:rPr>
              <w:t>20</w:t>
            </w:r>
          </w:p>
        </w:tc>
        <w:tc>
          <w:tcPr>
            <w:tcW w:w="2952" w:type="pct"/>
            <w:vAlign w:val="center"/>
          </w:tcPr>
          <w:p>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以经评委会一致认定满足招标文件要求且投标</w:t>
            </w:r>
            <w:r>
              <w:rPr>
                <w:rFonts w:hint="eastAsia" w:ascii="宋体" w:hAnsi="宋体" w:cs="宋体"/>
                <w:szCs w:val="21"/>
                <w:lang w:val="en-US" w:eastAsia="zh-CN"/>
              </w:rPr>
              <w:t>培训</w:t>
            </w:r>
            <w:r>
              <w:rPr>
                <w:rFonts w:hint="eastAsia" w:ascii="宋体" w:hAnsi="宋体" w:cs="宋体"/>
                <w:szCs w:val="21"/>
              </w:rPr>
              <w:t>会场（180平方米及以上）价格最低的投标报价为评标基准价，其价格得分计</w:t>
            </w:r>
            <w:r>
              <w:rPr>
                <w:rFonts w:hint="eastAsia" w:ascii="宋体" w:hAnsi="宋体" w:cs="宋体"/>
                <w:szCs w:val="21"/>
                <w:lang w:val="en-US" w:eastAsia="zh-CN"/>
              </w:rPr>
              <w:t>2</w:t>
            </w:r>
            <w:r>
              <w:rPr>
                <w:rFonts w:hint="eastAsia" w:ascii="宋体" w:hAnsi="宋体" w:cs="宋体"/>
                <w:szCs w:val="21"/>
              </w:rPr>
              <w:t>0分。其他投标人的价格得分统一按公式计算：报价得分=（评标基准价/投标报价）×价格权重。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423"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342" w:type="pct"/>
            <w:vMerge w:val="restart"/>
            <w:vAlign w:val="center"/>
          </w:tcPr>
          <w:p>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服务</w:t>
            </w:r>
          </w:p>
        </w:tc>
        <w:tc>
          <w:tcPr>
            <w:tcW w:w="796"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住宿服务</w:t>
            </w:r>
          </w:p>
        </w:tc>
        <w:tc>
          <w:tcPr>
            <w:tcW w:w="485"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highlight w:val="none"/>
              </w:rPr>
              <w:t>20</w:t>
            </w:r>
          </w:p>
        </w:tc>
        <w:tc>
          <w:tcPr>
            <w:tcW w:w="2952" w:type="pct"/>
            <w:vAlign w:val="center"/>
          </w:tcPr>
          <w:p>
            <w:pPr>
              <w:keepNext w:val="0"/>
              <w:keepLines w:val="0"/>
              <w:suppressLineNumbers w:val="0"/>
              <w:spacing w:before="0" w:beforeAutospacing="0" w:after="0" w:afterAutospacing="0"/>
              <w:ind w:left="0" w:right="0"/>
              <w:jc w:val="left"/>
              <w:rPr>
                <w:rFonts w:hint="default"/>
                <w:highlight w:val="none"/>
              </w:rPr>
            </w:pPr>
            <w:r>
              <w:rPr>
                <w:rFonts w:hint="eastAsia"/>
                <w:highlight w:val="none"/>
              </w:rPr>
              <w:t>（1）标准双人间数量得分：数量≥</w:t>
            </w:r>
            <w:r>
              <w:rPr>
                <w:rFonts w:hint="eastAsia"/>
                <w:highlight w:val="none"/>
                <w:lang w:val="en-US" w:eastAsia="zh-CN"/>
              </w:rPr>
              <w:t>30</w:t>
            </w:r>
            <w:r>
              <w:rPr>
                <w:rFonts w:hint="eastAsia"/>
                <w:highlight w:val="none"/>
              </w:rPr>
              <w:t>间，本项得</w:t>
            </w:r>
            <w:r>
              <w:rPr>
                <w:rFonts w:hint="eastAsia"/>
                <w:highlight w:val="none"/>
                <w:lang w:val="en-US" w:eastAsia="zh-CN"/>
              </w:rPr>
              <w:t>10</w:t>
            </w:r>
            <w:r>
              <w:rPr>
                <w:rFonts w:hint="eastAsia"/>
                <w:highlight w:val="none"/>
              </w:rPr>
              <w:t>分，数量&lt;</w:t>
            </w:r>
            <w:r>
              <w:rPr>
                <w:rFonts w:hint="eastAsia"/>
                <w:highlight w:val="none"/>
                <w:lang w:val="en-US" w:eastAsia="zh-CN"/>
              </w:rPr>
              <w:t>30</w:t>
            </w:r>
            <w:r>
              <w:rPr>
                <w:rFonts w:hint="eastAsia"/>
                <w:highlight w:val="none"/>
              </w:rPr>
              <w:t>间，不得分；</w:t>
            </w:r>
          </w:p>
          <w:p>
            <w:pPr>
              <w:keepNext w:val="0"/>
              <w:keepLines w:val="0"/>
              <w:suppressLineNumbers w:val="0"/>
              <w:spacing w:before="0" w:beforeAutospacing="0" w:after="0" w:afterAutospacing="0"/>
              <w:ind w:left="0" w:right="0"/>
              <w:jc w:val="left"/>
              <w:rPr>
                <w:rFonts w:hint="default"/>
                <w:highlight w:val="none"/>
              </w:rPr>
            </w:pPr>
            <w:r>
              <w:rPr>
                <w:rFonts w:hint="eastAsia"/>
                <w:highlight w:val="none"/>
              </w:rPr>
              <w:t>（</w:t>
            </w:r>
            <w:r>
              <w:rPr>
                <w:rFonts w:hint="eastAsia"/>
                <w:highlight w:val="none"/>
                <w:lang w:val="en-US" w:eastAsia="zh-CN"/>
              </w:rPr>
              <w:t>2</w:t>
            </w:r>
            <w:r>
              <w:rPr>
                <w:rFonts w:hint="eastAsia"/>
                <w:highlight w:val="none"/>
              </w:rPr>
              <w:t>）客房装修年限得分：装修年限在10年以上（含）不得分，每低1年加1分，本项最多得10分。</w:t>
            </w:r>
          </w:p>
          <w:p>
            <w:pPr>
              <w:keepNext w:val="0"/>
              <w:keepLines w:val="0"/>
              <w:suppressLineNumbers w:val="0"/>
              <w:spacing w:before="0" w:beforeAutospacing="0" w:after="0" w:afterAutospacing="0"/>
              <w:ind w:left="0" w:right="0"/>
              <w:jc w:val="left"/>
              <w:rPr>
                <w:rFonts w:hint="default"/>
              </w:rPr>
            </w:pPr>
            <w:r>
              <w:rPr>
                <w:rFonts w:hint="eastAsia"/>
              </w:rPr>
              <w:t>本项累计最多得20分。</w:t>
            </w:r>
          </w:p>
          <w:p>
            <w:pPr>
              <w:keepNext w:val="0"/>
              <w:keepLines w:val="0"/>
              <w:suppressLineNumbers w:val="0"/>
              <w:spacing w:before="0" w:beforeAutospacing="0" w:after="0" w:afterAutospacing="0"/>
              <w:ind w:left="0" w:right="0"/>
              <w:jc w:val="left"/>
              <w:rPr>
                <w:rFonts w:hint="eastAsia" w:ascii="仿宋" w:hAnsi="仿宋" w:cs="宋体"/>
                <w:sz w:val="24"/>
                <w:szCs w:val="24"/>
              </w:rPr>
            </w:pPr>
            <w:r>
              <w:rPr>
                <w:rFonts w:hint="eastAsia" w:ascii="宋体" w:hAnsi="宋体" w:cs="宋体"/>
                <w:b/>
                <w:bCs/>
                <w:szCs w:val="21"/>
              </w:rPr>
              <w:t>【说明】</w:t>
            </w:r>
            <w:r>
              <w:rPr>
                <w:rFonts w:hint="eastAsia"/>
                <w:b/>
                <w:bCs/>
              </w:rPr>
              <w:t>提供标准双人间数量证明资料或承诺函；提供星级酒店证明资料；提供客房装修合同或其他证明资料。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423"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4</w:t>
            </w:r>
          </w:p>
        </w:tc>
        <w:tc>
          <w:tcPr>
            <w:tcW w:w="342" w:type="pct"/>
            <w:vMerge w:val="continue"/>
            <w:vAlign w:val="center"/>
          </w:tcPr>
          <w:p>
            <w:pPr>
              <w:keepNext w:val="0"/>
              <w:keepLines w:val="0"/>
              <w:suppressLineNumbers w:val="0"/>
              <w:spacing w:before="0" w:beforeAutospacing="0" w:after="0" w:afterAutospacing="0"/>
              <w:ind w:left="0" w:right="0"/>
              <w:jc w:val="center"/>
              <w:rPr>
                <w:rFonts w:hint="eastAsia" w:ascii="宋体" w:hAnsi="宋体" w:cs="宋体"/>
                <w:szCs w:val="21"/>
              </w:rPr>
            </w:pPr>
          </w:p>
        </w:tc>
        <w:tc>
          <w:tcPr>
            <w:tcW w:w="796"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餐饮服务</w:t>
            </w:r>
          </w:p>
        </w:tc>
        <w:tc>
          <w:tcPr>
            <w:tcW w:w="485"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10</w:t>
            </w:r>
          </w:p>
        </w:tc>
        <w:tc>
          <w:tcPr>
            <w:tcW w:w="2952" w:type="pct"/>
            <w:vAlign w:val="center"/>
          </w:tcPr>
          <w:p>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（1）餐厅可容纳人数得分：人数≥</w:t>
            </w:r>
            <w:r>
              <w:rPr>
                <w:rFonts w:hint="eastAsia" w:ascii="宋体" w:hAnsi="宋体" w:cs="宋体"/>
                <w:szCs w:val="21"/>
                <w:lang w:val="en-US" w:eastAsia="zh-CN"/>
              </w:rPr>
              <w:t>55</w:t>
            </w:r>
            <w:r>
              <w:rPr>
                <w:rFonts w:hint="eastAsia" w:ascii="宋体" w:hAnsi="宋体" w:cs="宋体"/>
                <w:szCs w:val="21"/>
              </w:rPr>
              <w:t>人，得5分，人数</w:t>
            </w:r>
            <w:r>
              <w:rPr>
                <w:rFonts w:hint="eastAsia"/>
              </w:rPr>
              <w:t>&lt;</w:t>
            </w:r>
            <w:r>
              <w:rPr>
                <w:rFonts w:hint="eastAsia"/>
                <w:lang w:val="en-US" w:eastAsia="zh-CN"/>
              </w:rPr>
              <w:t>55</w:t>
            </w:r>
            <w:r>
              <w:rPr>
                <w:rFonts w:hint="eastAsia"/>
              </w:rPr>
              <w:t>人，不得分</w:t>
            </w:r>
            <w:r>
              <w:rPr>
                <w:rFonts w:hint="eastAsia" w:ascii="宋体" w:hAnsi="宋体" w:cs="宋体"/>
                <w:szCs w:val="21"/>
              </w:rPr>
              <w:t>；</w:t>
            </w:r>
          </w:p>
          <w:p>
            <w:pPr>
              <w:keepNext w:val="0"/>
              <w:keepLines w:val="0"/>
              <w:widowControl/>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（2）菜品种类得分：每餐菜品提供1</w:t>
            </w:r>
            <w:r>
              <w:rPr>
                <w:rFonts w:hint="eastAsia" w:ascii="宋体" w:hAnsi="宋体" w:cs="宋体"/>
                <w:szCs w:val="21"/>
                <w:lang w:val="en-US" w:eastAsia="zh-CN"/>
              </w:rPr>
              <w:t>0</w:t>
            </w:r>
            <w:r>
              <w:rPr>
                <w:rFonts w:hint="eastAsia" w:ascii="宋体" w:hAnsi="宋体" w:cs="宋体"/>
                <w:szCs w:val="21"/>
              </w:rPr>
              <w:t>种以上（含），得5分；提供</w:t>
            </w:r>
            <w:r>
              <w:rPr>
                <w:rFonts w:hint="eastAsia" w:ascii="宋体" w:hAnsi="宋体" w:cs="宋体"/>
                <w:szCs w:val="21"/>
                <w:lang w:val="en-US" w:eastAsia="zh-CN"/>
              </w:rPr>
              <w:t>8</w:t>
            </w:r>
            <w:r>
              <w:rPr>
                <w:rFonts w:hint="eastAsia" w:ascii="宋体" w:hAnsi="宋体" w:cs="宋体"/>
                <w:szCs w:val="21"/>
              </w:rPr>
              <w:t>-</w:t>
            </w:r>
            <w:r>
              <w:rPr>
                <w:rFonts w:hint="eastAsia" w:ascii="宋体" w:hAnsi="宋体" w:cs="宋体"/>
                <w:szCs w:val="21"/>
                <w:lang w:val="en-US" w:eastAsia="zh-CN"/>
              </w:rPr>
              <w:t>9</w:t>
            </w:r>
            <w:r>
              <w:rPr>
                <w:rFonts w:hint="eastAsia" w:ascii="宋体" w:hAnsi="宋体" w:cs="宋体"/>
                <w:szCs w:val="21"/>
              </w:rPr>
              <w:t>种，得3分，少于</w:t>
            </w:r>
            <w:r>
              <w:rPr>
                <w:rFonts w:hint="eastAsia" w:ascii="宋体" w:hAnsi="宋体" w:cs="宋体"/>
                <w:szCs w:val="21"/>
                <w:lang w:val="en-US" w:eastAsia="zh-CN"/>
              </w:rPr>
              <w:t>8</w:t>
            </w:r>
            <w:r>
              <w:rPr>
                <w:rFonts w:hint="eastAsia" w:ascii="宋体" w:hAnsi="宋体" w:cs="宋体"/>
                <w:szCs w:val="21"/>
              </w:rPr>
              <w:t>种不得分。</w:t>
            </w:r>
          </w:p>
          <w:p>
            <w:pPr>
              <w:keepNext w:val="0"/>
              <w:keepLines w:val="0"/>
              <w:widowControl/>
              <w:suppressLineNumbers w:val="0"/>
              <w:spacing w:before="0" w:beforeAutospacing="0" w:after="0" w:afterAutospacing="0"/>
              <w:ind w:left="0" w:right="0"/>
              <w:jc w:val="left"/>
              <w:rPr>
                <w:rFonts w:hint="eastAsia" w:ascii="宋体" w:hAnsi="宋体" w:cs="宋体"/>
                <w:b/>
                <w:bCs/>
                <w:szCs w:val="21"/>
              </w:rPr>
            </w:pPr>
            <w:r>
              <w:rPr>
                <w:rFonts w:hint="eastAsia" w:ascii="宋体" w:hAnsi="宋体" w:cs="宋体"/>
                <w:b/>
                <w:bCs/>
                <w:szCs w:val="21"/>
              </w:rPr>
              <w:t>本项累计最多得10分。</w:t>
            </w:r>
          </w:p>
          <w:p>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b/>
                <w:bCs/>
                <w:szCs w:val="21"/>
              </w:rPr>
              <w:t>【说明】提供餐厅可容纳人数及菜品品种有关证明材料或承诺函。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5</w:t>
            </w:r>
          </w:p>
        </w:tc>
        <w:tc>
          <w:tcPr>
            <w:tcW w:w="342" w:type="pct"/>
            <w:vMerge w:val="continue"/>
            <w:vAlign w:val="center"/>
          </w:tcPr>
          <w:p>
            <w:pPr>
              <w:keepNext w:val="0"/>
              <w:keepLines w:val="0"/>
              <w:suppressLineNumbers w:val="0"/>
              <w:spacing w:before="0" w:beforeAutospacing="0" w:after="0" w:afterAutospacing="0"/>
              <w:ind w:left="0" w:right="0"/>
              <w:jc w:val="center"/>
              <w:rPr>
                <w:rFonts w:hint="eastAsia" w:ascii="宋体" w:hAnsi="宋体" w:cs="宋体"/>
                <w:szCs w:val="21"/>
              </w:rPr>
            </w:pPr>
          </w:p>
        </w:tc>
        <w:tc>
          <w:tcPr>
            <w:tcW w:w="796"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会场服务</w:t>
            </w:r>
          </w:p>
        </w:tc>
        <w:tc>
          <w:tcPr>
            <w:tcW w:w="485"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highlight w:val="none"/>
              </w:rPr>
              <w:t>20</w:t>
            </w:r>
          </w:p>
        </w:tc>
        <w:tc>
          <w:tcPr>
            <w:tcW w:w="2952" w:type="pct"/>
            <w:vAlign w:val="center"/>
          </w:tcPr>
          <w:p>
            <w:pPr>
              <w:keepNext w:val="0"/>
              <w:keepLines w:val="0"/>
              <w:widowControl/>
              <w:suppressLineNumbers w:val="0"/>
              <w:spacing w:before="0" w:beforeAutospacing="0" w:after="0" w:afterAutospacing="0"/>
              <w:ind w:left="0" w:right="0"/>
              <w:jc w:val="left"/>
              <w:rPr>
                <w:rFonts w:hint="eastAsia" w:ascii="宋体" w:hAnsi="宋体" w:cs="宋体"/>
                <w:color w:val="auto"/>
                <w:szCs w:val="21"/>
              </w:rPr>
            </w:pPr>
            <w:r>
              <w:rPr>
                <w:rFonts w:hint="eastAsia" w:ascii="宋体" w:hAnsi="宋体" w:cs="宋体"/>
                <w:szCs w:val="21"/>
              </w:rPr>
              <w:t>（1）提</w:t>
            </w:r>
            <w:r>
              <w:rPr>
                <w:rFonts w:hint="eastAsia" w:ascii="宋体" w:hAnsi="宋体" w:cs="宋体"/>
                <w:color w:val="auto"/>
                <w:szCs w:val="21"/>
              </w:rPr>
              <w:t>供</w:t>
            </w:r>
            <w:r>
              <w:rPr>
                <w:rFonts w:hint="eastAsia" w:ascii="宋体" w:hAnsi="宋体" w:cs="宋体"/>
                <w:color w:val="auto"/>
                <w:szCs w:val="21"/>
                <w:lang w:val="en-US" w:eastAsia="zh-CN"/>
              </w:rPr>
              <w:t>1</w:t>
            </w:r>
            <w:r>
              <w:rPr>
                <w:rFonts w:hint="eastAsia" w:ascii="宋体" w:hAnsi="宋体" w:cs="宋体"/>
                <w:color w:val="auto"/>
                <w:szCs w:val="21"/>
              </w:rPr>
              <w:t>处</w:t>
            </w:r>
            <w:r>
              <w:rPr>
                <w:rFonts w:hint="eastAsia" w:ascii="宋体" w:hAnsi="宋体" w:cs="宋体"/>
                <w:szCs w:val="21"/>
              </w:rPr>
              <w:t>1</w:t>
            </w:r>
            <w:r>
              <w:rPr>
                <w:rFonts w:hint="eastAsia" w:ascii="宋体" w:hAnsi="宋体" w:cs="宋体"/>
                <w:color w:val="auto"/>
                <w:szCs w:val="21"/>
              </w:rPr>
              <w:t>80㎡（含）以上</w:t>
            </w:r>
            <w:r>
              <w:rPr>
                <w:rFonts w:hint="eastAsia" w:ascii="宋体" w:hAnsi="宋体" w:cs="宋体"/>
                <w:color w:val="auto"/>
                <w:szCs w:val="21"/>
                <w:lang w:val="en-US" w:eastAsia="zh-CN"/>
              </w:rPr>
              <w:t>且可</w:t>
            </w:r>
            <w:r>
              <w:rPr>
                <w:rFonts w:hint="eastAsia" w:ascii="宋体" w:hAnsi="宋体" w:cs="宋体"/>
                <w:color w:val="auto"/>
                <w:szCs w:val="21"/>
              </w:rPr>
              <w:t>容纳 150 人以上</w:t>
            </w:r>
            <w:r>
              <w:rPr>
                <w:rFonts w:hint="eastAsia" w:ascii="宋体" w:hAnsi="宋体" w:cs="宋体"/>
                <w:color w:val="auto"/>
                <w:szCs w:val="21"/>
                <w:lang w:eastAsia="zh-CN"/>
              </w:rPr>
              <w:t>的</w:t>
            </w:r>
            <w:r>
              <w:rPr>
                <w:rFonts w:hint="eastAsia" w:ascii="宋体" w:hAnsi="宋体" w:cs="宋体"/>
                <w:color w:val="auto"/>
                <w:szCs w:val="21"/>
                <w:lang w:val="en-US" w:eastAsia="zh-CN"/>
              </w:rPr>
              <w:t>培训</w:t>
            </w:r>
            <w:r>
              <w:rPr>
                <w:rFonts w:hint="eastAsia" w:ascii="宋体" w:hAnsi="宋体" w:cs="宋体"/>
                <w:color w:val="auto"/>
                <w:szCs w:val="21"/>
              </w:rPr>
              <w:t>会</w:t>
            </w:r>
            <w:r>
              <w:rPr>
                <w:rFonts w:hint="eastAsia" w:ascii="宋体" w:hAnsi="宋体" w:cs="宋体"/>
                <w:color w:val="auto"/>
                <w:szCs w:val="21"/>
                <w:highlight w:val="none"/>
              </w:rPr>
              <w:t>场，得</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r>
              <w:rPr>
                <w:rFonts w:hint="eastAsia" w:ascii="宋体" w:hAnsi="宋体" w:cs="宋体"/>
                <w:color w:val="auto"/>
                <w:szCs w:val="21"/>
              </w:rPr>
              <w:t>不能提供的不得分；</w:t>
            </w:r>
          </w:p>
          <w:p>
            <w:pPr>
              <w:keepNext w:val="0"/>
              <w:keepLines w:val="0"/>
              <w:widowControl/>
              <w:suppressLineNumbers w:val="0"/>
              <w:spacing w:before="0" w:beforeAutospacing="0" w:after="0" w:afterAutospacing="0"/>
              <w:ind w:left="0" w:right="0"/>
              <w:jc w:val="left"/>
              <w:rPr>
                <w:rFonts w:hint="eastAsia" w:ascii="宋体" w:hAnsi="宋体" w:cs="宋体"/>
                <w:color w:val="auto"/>
                <w:szCs w:val="21"/>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auto"/>
                <w:szCs w:val="21"/>
              </w:rPr>
              <w:t>能提供音响、LED屏、麦克风等必备培训设备，</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r>
              <w:rPr>
                <w:rFonts w:hint="eastAsia" w:ascii="宋体" w:hAnsi="宋体" w:cs="宋体"/>
                <w:color w:val="auto"/>
                <w:szCs w:val="21"/>
              </w:rPr>
              <w:t>提供不全的得2分，不能提供的不得分。</w:t>
            </w:r>
          </w:p>
          <w:p>
            <w:pPr>
              <w:keepNext w:val="0"/>
              <w:keepLines w:val="0"/>
              <w:widowControl/>
              <w:suppressLineNumbers w:val="0"/>
              <w:spacing w:before="0" w:beforeAutospacing="0" w:after="0" w:afterAutospacing="0"/>
              <w:ind w:left="0" w:right="0"/>
              <w:jc w:val="left"/>
              <w:rPr>
                <w:rFonts w:hint="eastAsia" w:ascii="宋体" w:hAnsi="宋体" w:eastAsia="宋体" w:cs="宋体"/>
                <w:color w:val="auto"/>
                <w:szCs w:val="21"/>
              </w:rPr>
            </w:pPr>
            <w:r>
              <w:rPr>
                <w:rFonts w:hint="eastAsia" w:ascii="宋体" w:hAnsi="宋体" w:eastAsia="宋体" w:cs="宋体"/>
                <w:color w:val="auto"/>
                <w:szCs w:val="21"/>
              </w:rPr>
              <w:t>（3）提供茶水，咖啡、矿泉水等会场</w:t>
            </w:r>
            <w:r>
              <w:rPr>
                <w:rFonts w:hint="eastAsia" w:ascii="宋体" w:hAnsi="宋体" w:eastAsia="宋体" w:cs="宋体"/>
                <w:color w:val="auto"/>
                <w:szCs w:val="21"/>
                <w:lang w:val="en-US" w:eastAsia="zh-CN"/>
              </w:rPr>
              <w:t>茶歇</w:t>
            </w:r>
            <w:r>
              <w:rPr>
                <w:rFonts w:hint="eastAsia" w:ascii="宋体" w:hAnsi="宋体" w:eastAsia="宋体" w:cs="宋体"/>
                <w:color w:val="auto"/>
                <w:szCs w:val="21"/>
              </w:rPr>
              <w:t>服务，得5分，提供不全的得2分，不能提供的不得分。</w:t>
            </w:r>
          </w:p>
          <w:p>
            <w:pPr>
              <w:keepNext w:val="0"/>
              <w:keepLines w:val="0"/>
              <w:suppressLineNumbers w:val="0"/>
              <w:spacing w:before="0" w:beforeAutospacing="0" w:after="0" w:afterAutospacing="0"/>
              <w:ind w:left="0" w:right="0"/>
              <w:jc w:val="left"/>
              <w:rPr>
                <w:rFonts w:hint="eastAsia" w:ascii="宋体" w:hAnsi="宋体" w:cs="宋体"/>
                <w:b/>
                <w:bCs/>
                <w:szCs w:val="21"/>
              </w:rPr>
            </w:pPr>
            <w:r>
              <w:rPr>
                <w:rFonts w:hint="eastAsia" w:ascii="宋体" w:hAnsi="宋体" w:cs="宋体"/>
                <w:b/>
                <w:bCs/>
                <w:szCs w:val="21"/>
              </w:rPr>
              <w:t>本项累计最多得20分。</w:t>
            </w:r>
          </w:p>
          <w:p>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b/>
                <w:bCs/>
                <w:szCs w:val="21"/>
              </w:rPr>
              <w:t>【说明】提供会场照片及面积、数量有关证明资料或承诺函；</w:t>
            </w:r>
            <w:r>
              <w:rPr>
                <w:rFonts w:hint="eastAsia" w:ascii="宋体" w:hAnsi="宋体" w:cs="宋体"/>
                <w:b/>
                <w:bCs/>
                <w:szCs w:val="21"/>
                <w:lang w:val="en-US" w:eastAsia="zh-CN"/>
              </w:rPr>
              <w:t>茶歇服务提供承诺函；</w:t>
            </w:r>
            <w:r>
              <w:rPr>
                <w:rFonts w:hint="eastAsia" w:ascii="宋体" w:hAnsi="宋体" w:cs="宋体"/>
                <w:b/>
                <w:bCs/>
                <w:szCs w:val="21"/>
              </w:rPr>
              <w:t>提供各项培训设备清单及购置或租赁等证明材料。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6</w:t>
            </w:r>
          </w:p>
        </w:tc>
        <w:tc>
          <w:tcPr>
            <w:tcW w:w="342" w:type="pct"/>
            <w:vAlign w:val="center"/>
          </w:tcPr>
          <w:p>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业绩</w:t>
            </w:r>
          </w:p>
        </w:tc>
        <w:tc>
          <w:tcPr>
            <w:tcW w:w="796"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同类业绩</w:t>
            </w:r>
          </w:p>
        </w:tc>
        <w:tc>
          <w:tcPr>
            <w:tcW w:w="485" w:type="pct"/>
            <w:vAlign w:val="center"/>
          </w:tcPr>
          <w:p>
            <w:pPr>
              <w:keepNext w:val="0"/>
              <w:keepLines w:val="0"/>
              <w:suppressLineNumbers w:val="0"/>
              <w:spacing w:before="0" w:beforeAutospacing="0" w:after="0" w:afterAutospacing="0"/>
              <w:ind w:left="0" w:right="0"/>
              <w:jc w:val="center"/>
              <w:rPr>
                <w:rFonts w:hint="eastAsia" w:ascii="仿宋" w:hAnsi="仿宋" w:eastAsia="仿宋" w:cs="宋体"/>
                <w:sz w:val="24"/>
                <w:szCs w:val="24"/>
              </w:rPr>
            </w:pPr>
            <w:r>
              <w:rPr>
                <w:rFonts w:hint="eastAsia" w:ascii="宋体" w:hAnsi="宋体" w:cs="宋体"/>
                <w:szCs w:val="21"/>
              </w:rPr>
              <w:t>10</w:t>
            </w:r>
          </w:p>
        </w:tc>
        <w:tc>
          <w:tcPr>
            <w:tcW w:w="2952" w:type="pct"/>
            <w:vAlign w:val="center"/>
          </w:tcPr>
          <w:p>
            <w:pPr>
              <w:keepNext w:val="0"/>
              <w:keepLines w:val="0"/>
              <w:suppressLineNumbers w:val="0"/>
              <w:spacing w:before="0" w:beforeAutospacing="0" w:after="0" w:afterAutospacing="0"/>
              <w:ind w:left="0" w:right="0"/>
              <w:jc w:val="left"/>
              <w:rPr>
                <w:rFonts w:hint="eastAsia" w:ascii="宋体" w:hAnsi="宋体" w:cs="宋体"/>
                <w:szCs w:val="21"/>
              </w:rPr>
            </w:pPr>
            <w:r>
              <w:rPr>
                <w:rFonts w:hint="eastAsia" w:ascii="宋体" w:hAnsi="宋体" w:cs="宋体"/>
                <w:szCs w:val="21"/>
              </w:rPr>
              <w:t>提供近两年同类培训或会议服务业绩，每提供一项得</w:t>
            </w:r>
            <w:r>
              <w:rPr>
                <w:rFonts w:hint="eastAsia" w:ascii="宋体" w:hAnsi="宋体" w:cs="宋体"/>
                <w:szCs w:val="21"/>
                <w:lang w:val="en-US" w:eastAsia="zh-CN"/>
              </w:rPr>
              <w:t>10</w:t>
            </w:r>
            <w:r>
              <w:rPr>
                <w:rFonts w:hint="eastAsia" w:ascii="宋体" w:hAnsi="宋体" w:cs="宋体"/>
                <w:szCs w:val="21"/>
              </w:rPr>
              <w:t>分，本项最多得10分。</w:t>
            </w:r>
          </w:p>
          <w:p>
            <w:pPr>
              <w:keepNext w:val="0"/>
              <w:keepLines w:val="0"/>
              <w:suppressLineNumbers w:val="0"/>
              <w:spacing w:before="0" w:beforeAutospacing="0" w:after="0" w:afterAutospacing="0"/>
              <w:ind w:left="0" w:right="0"/>
              <w:jc w:val="left"/>
              <w:rPr>
                <w:rFonts w:hint="eastAsia" w:ascii="仿宋" w:hAnsi="仿宋" w:eastAsia="仿宋" w:cs="宋体"/>
                <w:sz w:val="24"/>
                <w:szCs w:val="24"/>
              </w:rPr>
            </w:pPr>
            <w:r>
              <w:rPr>
                <w:rFonts w:hint="eastAsia" w:ascii="宋体" w:hAnsi="宋体" w:cs="宋体"/>
                <w:b/>
                <w:bCs/>
                <w:szCs w:val="21"/>
              </w:rPr>
              <w:t>【说明】：提供2024年6月1日至今，同类培训服务项目的合同复印件，合同没有公章或者公章无法辨识，视为无效合同。</w:t>
            </w:r>
          </w:p>
        </w:tc>
      </w:tr>
    </w:tbl>
    <w:p>
      <w:r>
        <w:rPr>
          <w:rFonts w:hint="eastAsia"/>
        </w:rPr>
        <w:t>【说明】餐饮报价不参与评分，仅作为签订服务合同的依据，餐饮</w:t>
      </w:r>
      <w:r>
        <w:rPr>
          <w:rFonts w:hint="eastAsia"/>
          <w:lang w:val="en-US" w:eastAsia="zh-CN"/>
        </w:rPr>
        <w:t>报价</w:t>
      </w:r>
      <w:r>
        <w:rPr>
          <w:rFonts w:hint="eastAsia"/>
        </w:rPr>
        <w:t>不</w:t>
      </w:r>
      <w:r>
        <w:rPr>
          <w:rFonts w:hint="eastAsia"/>
          <w:lang w:val="en-US" w:eastAsia="zh-CN"/>
        </w:rPr>
        <w:t>得</w:t>
      </w:r>
      <w:r>
        <w:rPr>
          <w:rFonts w:hint="eastAsia"/>
        </w:rPr>
        <w:t>超过最高限价。</w:t>
      </w:r>
    </w:p>
    <w:p>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pPr>
        <w:adjustRightInd w:val="0"/>
        <w:snapToGrid w:val="0"/>
        <w:spacing w:line="360" w:lineRule="auto"/>
        <w:ind w:firstLine="480"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pPr>
        <w:adjustRightInd w:val="0"/>
        <w:snapToGrid w:val="0"/>
        <w:spacing w:line="360" w:lineRule="auto"/>
        <w:ind w:firstLine="480"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pPr>
        <w:pStyle w:val="16"/>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p>
      <w:pPr>
        <w:pStyle w:val="16"/>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pPr>
        <w:pStyle w:val="10"/>
        <w:adjustRightInd w:val="0"/>
        <w:snapToGrid w:val="0"/>
        <w:spacing w:line="360" w:lineRule="auto"/>
        <w:rPr>
          <w:rFonts w:hint="eastAsia" w:ascii="仿宋_GB2312" w:hAnsi="宋体" w:eastAsia="仿宋_GB2312"/>
          <w:b/>
        </w:rPr>
      </w:pPr>
    </w:p>
    <w:p>
      <w:pPr>
        <w:pStyle w:val="10"/>
        <w:adjustRightInd w:val="0"/>
        <w:snapToGrid w:val="0"/>
        <w:spacing w:line="360" w:lineRule="auto"/>
        <w:rPr>
          <w:rFonts w:hint="eastAsia" w:ascii="仿宋_GB2312" w:hAnsi="宋体" w:eastAsia="仿宋_GB2312"/>
          <w:b/>
        </w:rPr>
      </w:pPr>
      <w:r>
        <w:rPr>
          <w:rFonts w:hint="eastAsia" w:ascii="仿宋_GB2312" w:hAnsi="宋体" w:eastAsia="仿宋_GB2312"/>
          <w:b/>
        </w:rPr>
        <w:br w:type="page"/>
      </w:r>
    </w:p>
    <w:p>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pPr>
        <w:adjustRightInd w:val="0"/>
        <w:snapToGrid w:val="0"/>
        <w:spacing w:line="360" w:lineRule="auto"/>
        <w:rPr>
          <w:rFonts w:hint="eastAsia" w:ascii="仿宋_GB2312" w:hAnsi="宋体" w:eastAsia="仿宋_GB2312"/>
          <w:sz w:val="24"/>
          <w:szCs w:val="24"/>
        </w:rPr>
      </w:pPr>
    </w:p>
    <w:p>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lang w:eastAsia="zh-CN"/>
        </w:rPr>
        <w:t>专业建设与教学创新骨干高级研修班专题研修培训</w:t>
      </w:r>
      <w:r>
        <w:rPr>
          <w:rFonts w:hint="eastAsia" w:ascii="仿宋" w:hAnsi="仿宋" w:eastAsia="仿宋"/>
          <w:sz w:val="24"/>
          <w:szCs w:val="24"/>
        </w:rPr>
        <w:t>酒店食宿及会场</w:t>
      </w:r>
      <w:r>
        <w:rPr>
          <w:rFonts w:hint="eastAsia" w:ascii="仿宋" w:hAnsi="仿宋" w:eastAsia="仿宋"/>
          <w:sz w:val="24"/>
          <w:szCs w:val="24"/>
          <w:lang w:val="en-US" w:eastAsia="zh-CN"/>
        </w:rPr>
        <w:t>租赁</w:t>
      </w:r>
      <w:r>
        <w:rPr>
          <w:rFonts w:hint="eastAsia" w:ascii="仿宋" w:hAnsi="仿宋" w:eastAsia="仿宋"/>
          <w:sz w:val="24"/>
          <w:szCs w:val="24"/>
        </w:rPr>
        <w:t>服务</w:t>
      </w:r>
      <w:r>
        <w:rPr>
          <w:rFonts w:hint="eastAsia" w:ascii="仿宋" w:hAnsi="仿宋" w:eastAsia="仿宋"/>
          <w:sz w:val="24"/>
          <w:szCs w:val="24"/>
          <w:lang w:val="en-US" w:eastAsia="zh-CN"/>
        </w:rPr>
        <w:t>项目</w:t>
      </w:r>
      <w:r>
        <w:rPr>
          <w:rFonts w:hint="eastAsia" w:ascii="仿宋" w:hAnsi="仿宋" w:eastAsia="仿宋"/>
          <w:sz w:val="24"/>
          <w:szCs w:val="24"/>
        </w:rPr>
        <w:t>的询比采购文件的全部内容，知悉参加询比的风险，我方承诺接受询比采购文件的全部条款且无任何异议。</w:t>
      </w:r>
    </w:p>
    <w:p>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pPr>
        <w:adjustRightInd w:val="0"/>
        <w:snapToGrid w:val="0"/>
        <w:spacing w:line="360" w:lineRule="auto"/>
        <w:ind w:right="24"/>
        <w:rPr>
          <w:rFonts w:hint="eastAsia" w:ascii="仿宋" w:hAnsi="仿宋" w:eastAsia="仿宋"/>
          <w:bCs/>
          <w:sz w:val="24"/>
          <w:szCs w:val="24"/>
        </w:rPr>
      </w:pPr>
    </w:p>
    <w:p>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附1-1：</w:t>
      </w:r>
      <w:r>
        <w:rPr>
          <w:rFonts w:hint="eastAsia" w:ascii="仿宋" w:hAnsi="仿宋" w:eastAsia="仿宋"/>
          <w:sz w:val="24"/>
          <w:szCs w:val="24"/>
        </w:rPr>
        <w:t>法定代表人身份证明(法定代表人参加询比)</w:t>
      </w:r>
    </w:p>
    <w:p>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：法定代表人授权书(委托代理人参加询比)</w:t>
      </w:r>
    </w:p>
    <w:p>
      <w:pPr>
        <w:pStyle w:val="10"/>
        <w:adjustRightInd w:val="0"/>
        <w:snapToGrid w:val="0"/>
        <w:spacing w:line="360" w:lineRule="auto"/>
        <w:rPr>
          <w:rFonts w:hint="eastAsia" w:ascii="仿宋" w:hAnsi="仿宋" w:eastAsia="仿宋"/>
          <w:sz w:val="24"/>
          <w:szCs w:val="24"/>
        </w:rPr>
      </w:pPr>
    </w:p>
    <w:p>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adjustRightInd w:val="0"/>
        <w:snapToGrid w:val="0"/>
        <w:spacing w:line="360" w:lineRule="auto"/>
        <w:ind w:right="24"/>
        <w:rPr>
          <w:rFonts w:hint="eastAsia" w:ascii="仿宋" w:hAnsi="仿宋" w:eastAsia="仿宋"/>
          <w:bCs/>
          <w:sz w:val="24"/>
        </w:rPr>
      </w:pPr>
      <w:r>
        <w:rPr>
          <w:rFonts w:hint="eastAsia" w:ascii="仿宋" w:hAnsi="仿宋" w:eastAsia="仿宋"/>
          <w:bCs/>
          <w:sz w:val="24"/>
        </w:rPr>
        <w:br w:type="page"/>
      </w:r>
    </w:p>
    <w:p>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附1-1：</w:t>
      </w:r>
    </w:p>
    <w:p>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pPr>
        <w:snapToGrid w:val="0"/>
        <w:spacing w:line="480" w:lineRule="auto"/>
        <w:rPr>
          <w:rFonts w:hint="eastAsia" w:ascii="仿宋" w:hAnsi="仿宋" w:eastAsia="仿宋"/>
          <w:sz w:val="24"/>
          <w:szCs w:val="24"/>
        </w:rPr>
      </w:pP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pPr>
        <w:adjustRightInd w:val="0"/>
        <w:snapToGrid w:val="0"/>
        <w:spacing w:line="360" w:lineRule="auto"/>
        <w:rPr>
          <w:rFonts w:hint="eastAsia" w:ascii="仿宋" w:hAnsi="仿宋" w:eastAsia="仿宋"/>
          <w:sz w:val="24"/>
          <w:szCs w:val="24"/>
        </w:rPr>
      </w:pP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附1-2</w:t>
      </w:r>
      <w:r>
        <w:rPr>
          <w:rFonts w:hint="eastAsia" w:ascii="仿宋" w:hAnsi="仿宋" w:eastAsia="仿宋"/>
          <w:sz w:val="24"/>
          <w:szCs w:val="24"/>
        </w:rPr>
        <w:t>：</w:t>
      </w:r>
    </w:p>
    <w:p>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pPr>
        <w:adjustRightInd w:val="0"/>
        <w:snapToGrid w:val="0"/>
        <w:spacing w:line="360" w:lineRule="auto"/>
        <w:jc w:val="center"/>
        <w:rPr>
          <w:rFonts w:hint="eastAsia" w:ascii="仿宋" w:hAnsi="仿宋" w:eastAsia="仿宋"/>
          <w:b/>
          <w:sz w:val="24"/>
          <w:szCs w:val="24"/>
        </w:rPr>
      </w:pPr>
    </w:p>
    <w:p>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spacing w:line="360" w:lineRule="exact"/>
        <w:rPr>
          <w:rFonts w:ascii="仿宋_GB2312" w:eastAsia="仿宋_GB2312"/>
          <w:b/>
          <w:sz w:val="24"/>
          <w:szCs w:val="24"/>
        </w:rPr>
      </w:pPr>
    </w:p>
    <w:p/>
    <w:p>
      <w:r>
        <w:br w:type="page"/>
      </w:r>
    </w:p>
    <w:p>
      <w:pPr>
        <w:pStyle w:val="16"/>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pPr>
        <w:jc w:val="center"/>
        <w:rPr>
          <w:rFonts w:hint="eastAsia" w:ascii="仿宋" w:hAnsi="仿宋" w:eastAsia="仿宋"/>
          <w:b/>
          <w:sz w:val="32"/>
          <w:szCs w:val="32"/>
        </w:rPr>
      </w:pPr>
      <w:r>
        <w:rPr>
          <w:rFonts w:ascii="仿宋" w:hAnsi="仿宋" w:eastAsia="仿宋"/>
          <w:b/>
          <w:sz w:val="32"/>
          <w:szCs w:val="32"/>
        </w:rPr>
        <w:t>报价函</w:t>
      </w:r>
    </w:p>
    <w:p>
      <w:pPr>
        <w:rPr>
          <w:rFonts w:hint="eastAsia" w:ascii="仿宋" w:hAnsi="仿宋" w:eastAsia="仿宋"/>
          <w:sz w:val="24"/>
          <w:szCs w:val="24"/>
        </w:rPr>
      </w:pPr>
      <w:r>
        <w:rPr>
          <w:rFonts w:hint="eastAsia" w:ascii="仿宋" w:hAnsi="仿宋" w:eastAsia="仿宋"/>
          <w:sz w:val="24"/>
          <w:szCs w:val="24"/>
        </w:rPr>
        <w:t xml:space="preserve">                               </w:t>
      </w:r>
    </w:p>
    <w:p>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lang w:eastAsia="zh-CN"/>
        </w:rPr>
        <w:t>专业建设与教学创新骨干高级研修班专题研修培训</w:t>
      </w:r>
      <w:r>
        <w:rPr>
          <w:rFonts w:hint="eastAsia" w:ascii="仿宋" w:hAnsi="仿宋" w:eastAsia="仿宋"/>
          <w:sz w:val="24"/>
          <w:szCs w:val="24"/>
        </w:rPr>
        <w:t>酒店食宿及会场</w:t>
      </w:r>
      <w:r>
        <w:rPr>
          <w:rFonts w:hint="eastAsia" w:ascii="仿宋" w:hAnsi="仿宋" w:eastAsia="仿宋"/>
          <w:sz w:val="24"/>
          <w:szCs w:val="24"/>
          <w:lang w:val="en-US" w:eastAsia="zh-CN"/>
        </w:rPr>
        <w:t>租赁</w:t>
      </w:r>
      <w:r>
        <w:rPr>
          <w:rFonts w:hint="eastAsia" w:ascii="仿宋" w:hAnsi="仿宋" w:eastAsia="仿宋"/>
          <w:sz w:val="24"/>
          <w:szCs w:val="24"/>
        </w:rPr>
        <w:t>服务项</w:t>
      </w:r>
      <w:r>
        <w:rPr>
          <w:rFonts w:hint="eastAsia" w:ascii="仿宋" w:hAnsi="仿宋" w:eastAsia="仿宋"/>
          <w:sz w:val="24"/>
          <w:szCs w:val="24"/>
          <w:u w:val="none"/>
        </w:rPr>
        <w:t>目询</w:t>
      </w:r>
      <w:r>
        <w:rPr>
          <w:rFonts w:hint="eastAsia" w:ascii="仿宋" w:hAnsi="仿宋" w:eastAsia="仿宋"/>
          <w:sz w:val="24"/>
          <w:szCs w:val="24"/>
        </w:rPr>
        <w:t>比文件，清楚文件中关于本项目的相关采购需求。</w:t>
      </w:r>
    </w:p>
    <w:p>
      <w:pPr>
        <w:spacing w:line="480" w:lineRule="auto"/>
        <w:ind w:firstLine="480"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 xml:space="preserve">我司最终报价如下： </w:t>
      </w:r>
    </w:p>
    <w:p>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1.住宿、餐饮报价</w:t>
      </w:r>
    </w:p>
    <w:tbl>
      <w:tblPr>
        <w:tblStyle w:val="18"/>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4"/>
        <w:gridCol w:w="4122"/>
        <w:gridCol w:w="1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80" w:type="pct"/>
            <w:vAlign w:val="center"/>
          </w:tcPr>
          <w:p>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类型</w:t>
            </w:r>
          </w:p>
        </w:tc>
        <w:tc>
          <w:tcPr>
            <w:tcW w:w="2418" w:type="pct"/>
            <w:vAlign w:val="center"/>
          </w:tcPr>
          <w:p>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报价</w:t>
            </w:r>
          </w:p>
        </w:tc>
        <w:tc>
          <w:tcPr>
            <w:tcW w:w="902" w:type="pct"/>
            <w:vAlign w:val="center"/>
          </w:tcPr>
          <w:p>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default" w:ascii="仿宋" w:hAnsi="仿宋" w:eastAsia="仿宋" w:cs="仿宋"/>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标准双人间（普通标间）</w:t>
            </w:r>
          </w:p>
        </w:tc>
        <w:tc>
          <w:tcPr>
            <w:tcW w:w="2418" w:type="pct"/>
            <w:vAlign w:val="center"/>
          </w:tcPr>
          <w:p>
            <w:pPr>
              <w:keepNext w:val="0"/>
              <w:keepLines w:val="0"/>
              <w:widowControl/>
              <w:suppressLineNumbers w:val="0"/>
              <w:spacing w:before="0" w:beforeAutospacing="0" w:after="0" w:afterAutospacing="0" w:line="450" w:lineRule="atLeast"/>
              <w:ind w:left="0" w:right="0"/>
              <w:textAlignment w:val="baseline"/>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default"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default"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元/间·天（含双早）</w:t>
            </w:r>
          </w:p>
        </w:tc>
        <w:tc>
          <w:tcPr>
            <w:tcW w:w="902"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宋体" w:hAnsi="宋体" w:cs="宋体"/>
                <w:szCs w:val="21"/>
              </w:rPr>
            </w:pPr>
            <w:r>
              <w:rPr>
                <w:rFonts w:hint="eastAsia" w:ascii="宋体" w:hAnsi="宋体" w:cs="宋体"/>
                <w:szCs w:val="21"/>
              </w:rPr>
              <w:t>限价≤220元 /间</w:t>
            </w:r>
            <w:r>
              <w:rPr>
                <w:rFonts w:hint="eastAsia" w:ascii="仿宋" w:hAnsi="仿宋" w:eastAsia="仿宋" w:cs="仿宋"/>
                <w:sz w:val="24"/>
                <w:szCs w:val="24"/>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80" w:type="pct"/>
            <w:vAlign w:val="center"/>
          </w:tcPr>
          <w:p>
            <w:pPr>
              <w:keepNext w:val="0"/>
              <w:keepLines w:val="0"/>
              <w:widowControl/>
              <w:suppressLineNumbers w:val="0"/>
              <w:spacing w:before="0" w:beforeAutospacing="0" w:after="0" w:afterAutospacing="0" w:line="45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正餐自助餐（中/晚餐）</w:t>
            </w:r>
          </w:p>
        </w:tc>
        <w:tc>
          <w:tcPr>
            <w:tcW w:w="2418" w:type="pct"/>
            <w:vAlign w:val="center"/>
          </w:tcPr>
          <w:p>
            <w:pPr>
              <w:keepNext w:val="0"/>
              <w:keepLines w:val="0"/>
              <w:widowControl/>
              <w:suppressLineNumbers w:val="0"/>
              <w:tabs>
                <w:tab w:val="left" w:pos="3470"/>
              </w:tabs>
              <w:spacing w:before="0" w:beforeAutospacing="0" w:after="0" w:afterAutospacing="0" w:line="450" w:lineRule="atLeast"/>
              <w:ind w:left="0" w:right="-108"/>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元/人·</w:t>
            </w:r>
            <w:r>
              <w:rPr>
                <w:rFonts w:hint="eastAsia" w:ascii="仿宋" w:hAnsi="仿宋" w:eastAsia="仿宋" w:cs="仿宋"/>
                <w:color w:val="auto"/>
                <w:sz w:val="24"/>
                <w:szCs w:val="24"/>
                <w:lang w:val="en-US" w:eastAsia="zh-CN"/>
              </w:rPr>
              <w:t>餐</w:t>
            </w:r>
            <w:r>
              <w:rPr>
                <w:rFonts w:hint="eastAsia" w:ascii="仿宋" w:hAnsi="仿宋" w:eastAsia="仿宋" w:cs="仿宋"/>
                <w:color w:val="auto"/>
                <w:sz w:val="24"/>
                <w:szCs w:val="24"/>
              </w:rPr>
              <w:t>（中/晚餐）</w:t>
            </w:r>
          </w:p>
        </w:tc>
        <w:tc>
          <w:tcPr>
            <w:tcW w:w="902"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宋体" w:hAnsi="宋体" w:eastAsia="宋体" w:cs="宋体"/>
                <w:color w:val="auto"/>
                <w:szCs w:val="21"/>
                <w:lang w:eastAsia="zh-CN"/>
              </w:rPr>
            </w:pPr>
            <w:r>
              <w:rPr>
                <w:rFonts w:hint="eastAsia" w:ascii="宋体" w:hAnsi="宋体" w:cs="宋体"/>
                <w:color w:val="auto"/>
                <w:szCs w:val="21"/>
              </w:rPr>
              <w:t>限价≤</w:t>
            </w:r>
            <w:r>
              <w:rPr>
                <w:rFonts w:hint="eastAsia" w:ascii="宋体" w:hAnsi="宋体" w:cs="宋体"/>
                <w:color w:val="auto"/>
                <w:szCs w:val="21"/>
                <w:lang w:val="en-US" w:eastAsia="zh-CN"/>
              </w:rPr>
              <w:t>50</w:t>
            </w:r>
            <w:r>
              <w:rPr>
                <w:rFonts w:hint="eastAsia" w:ascii="宋体" w:hAnsi="宋体" w:cs="宋体"/>
                <w:color w:val="auto"/>
                <w:szCs w:val="21"/>
              </w:rPr>
              <w:t>元/</w:t>
            </w:r>
            <w:r>
              <w:rPr>
                <w:rFonts w:hint="eastAsia" w:ascii="仿宋" w:hAnsi="仿宋" w:eastAsia="仿宋" w:cs="仿宋"/>
                <w:color w:val="auto"/>
                <w:sz w:val="24"/>
                <w:szCs w:val="24"/>
              </w:rPr>
              <w:t>人·</w:t>
            </w:r>
            <w:r>
              <w:rPr>
                <w:rFonts w:hint="eastAsia" w:ascii="宋体" w:hAnsi="宋体" w:cs="宋体"/>
                <w:color w:val="auto"/>
                <w:szCs w:val="21"/>
                <w:lang w:val="en-US" w:eastAsia="zh-CN"/>
              </w:rPr>
              <w:t>餐</w:t>
            </w:r>
          </w:p>
        </w:tc>
      </w:tr>
    </w:tbl>
    <w:p>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2.会场报价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8"/>
        <w:gridCol w:w="1865"/>
        <w:gridCol w:w="1408"/>
        <w:gridCol w:w="1410"/>
        <w:gridCol w:w="1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3"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bookmarkStart w:id="9" w:name="OLE_LINK22"/>
            <w:r>
              <w:rPr>
                <w:rFonts w:hint="default" w:ascii="仿宋" w:hAnsi="仿宋" w:eastAsia="仿宋" w:cs="仿宋"/>
                <w:sz w:val="24"/>
                <w:szCs w:val="24"/>
              </w:rPr>
              <w:t>会场类型</w:t>
            </w:r>
          </w:p>
        </w:tc>
        <w:tc>
          <w:tcPr>
            <w:tcW w:w="1094"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报价（元/</w:t>
            </w:r>
            <w:r>
              <w:rPr>
                <w:rFonts w:hint="eastAsia" w:ascii="仿宋" w:hAnsi="仿宋" w:eastAsia="仿宋" w:cs="仿宋"/>
                <w:color w:val="auto"/>
                <w:sz w:val="24"/>
                <w:szCs w:val="24"/>
                <w:lang w:val="en-US" w:eastAsia="zh-CN"/>
              </w:rPr>
              <w:t>天</w:t>
            </w:r>
            <w:r>
              <w:rPr>
                <w:rFonts w:hint="eastAsia" w:ascii="仿宋" w:hAnsi="仿宋" w:eastAsia="仿宋" w:cs="仿宋"/>
                <w:color w:val="auto"/>
                <w:sz w:val="24"/>
                <w:szCs w:val="24"/>
              </w:rPr>
              <w:t>）</w:t>
            </w:r>
          </w:p>
        </w:tc>
        <w:tc>
          <w:tcPr>
            <w:tcW w:w="826"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面积（㎡）</w:t>
            </w:r>
          </w:p>
        </w:tc>
        <w:tc>
          <w:tcPr>
            <w:tcW w:w="827"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可容纳</w:t>
            </w:r>
          </w:p>
          <w:p>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人数</w:t>
            </w:r>
          </w:p>
        </w:tc>
        <w:tc>
          <w:tcPr>
            <w:tcW w:w="868"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color w:val="auto"/>
                <w:sz w:val="24"/>
                <w:szCs w:val="24"/>
              </w:rPr>
            </w:pPr>
            <w:r>
              <w:rPr>
                <w:rFonts w:hint="default" w:ascii="仿宋" w:hAnsi="仿宋" w:eastAsia="仿宋" w:cs="仿宋"/>
                <w:color w:val="auto"/>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3"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仿宋" w:cs="仿宋"/>
                <w:sz w:val="24"/>
                <w:szCs w:val="24"/>
              </w:rPr>
            </w:pPr>
            <w:r>
              <w:rPr>
                <w:rFonts w:hint="eastAsia" w:ascii="仿宋" w:hAnsi="仿宋" w:eastAsia="仿宋" w:cs="仿宋"/>
                <w:sz w:val="24"/>
                <w:szCs w:val="24"/>
              </w:rPr>
              <w:t>18</w:t>
            </w:r>
            <w:r>
              <w:rPr>
                <w:rFonts w:hint="default" w:ascii="仿宋" w:hAnsi="仿宋" w:eastAsia="仿宋" w:cs="仿宋"/>
                <w:sz w:val="24"/>
                <w:szCs w:val="24"/>
              </w:rPr>
              <w:t>0平米以上</w:t>
            </w:r>
            <w:r>
              <w:rPr>
                <w:rFonts w:hint="eastAsia" w:ascii="仿宋" w:hAnsi="仿宋" w:eastAsia="仿宋" w:cs="仿宋"/>
                <w:sz w:val="24"/>
                <w:szCs w:val="24"/>
              </w:rPr>
              <w:t>且能容纳15</w:t>
            </w:r>
            <w:r>
              <w:rPr>
                <w:rFonts w:hint="default" w:ascii="仿宋" w:hAnsi="仿宋" w:eastAsia="仿宋" w:cs="仿宋"/>
                <w:sz w:val="24"/>
                <w:szCs w:val="24"/>
              </w:rPr>
              <w:t>0人以上</w:t>
            </w:r>
            <w:r>
              <w:rPr>
                <w:rFonts w:hint="eastAsia" w:ascii="仿宋" w:hAnsi="仿宋" w:eastAsia="仿宋" w:cs="仿宋"/>
                <w:sz w:val="24"/>
                <w:szCs w:val="24"/>
              </w:rPr>
              <w:t>会场</w:t>
            </w:r>
          </w:p>
        </w:tc>
        <w:tc>
          <w:tcPr>
            <w:tcW w:w="1094" w:type="pct"/>
            <w:vAlign w:val="center"/>
          </w:tcPr>
          <w:p>
            <w:pPr>
              <w:keepNext w:val="0"/>
              <w:keepLines w:val="0"/>
              <w:widowControl/>
              <w:suppressLineNumbers w:val="0"/>
              <w:spacing w:before="0" w:beforeAutospacing="0" w:after="0" w:afterAutospacing="0" w:line="300" w:lineRule="atLeast"/>
              <w:ind w:left="0" w:right="0"/>
              <w:jc w:val="left"/>
              <w:textAlignment w:val="baseline"/>
              <w:rPr>
                <w:rFonts w:hint="eastAsia" w:ascii="仿宋" w:hAnsi="仿宋" w:eastAsia="仿宋" w:cs="仿宋"/>
                <w:color w:val="auto"/>
                <w:sz w:val="24"/>
                <w:szCs w:val="24"/>
                <w:lang w:eastAsia="zh-CN"/>
              </w:rPr>
            </w:pPr>
            <w:r>
              <w:rPr>
                <w:rFonts w:hint="default" w:ascii="仿宋" w:hAnsi="仿宋" w:eastAsia="仿宋" w:cs="仿宋"/>
                <w:color w:val="auto"/>
                <w:sz w:val="24"/>
                <w:szCs w:val="24"/>
              </w:rPr>
              <w:t>________</w:t>
            </w:r>
            <w:r>
              <w:rPr>
                <w:rFonts w:hint="eastAsia" w:ascii="仿宋" w:hAnsi="仿宋" w:eastAsia="仿宋" w:cs="仿宋"/>
                <w:color w:val="auto"/>
                <w:sz w:val="24"/>
                <w:szCs w:val="24"/>
              </w:rPr>
              <w:t>元/</w:t>
            </w:r>
            <w:r>
              <w:rPr>
                <w:rFonts w:hint="eastAsia" w:ascii="仿宋" w:hAnsi="仿宋" w:eastAsia="仿宋" w:cs="仿宋"/>
                <w:color w:val="auto"/>
                <w:sz w:val="24"/>
                <w:szCs w:val="24"/>
                <w:lang w:val="en-US" w:eastAsia="zh-CN"/>
              </w:rPr>
              <w:t>天</w:t>
            </w:r>
          </w:p>
        </w:tc>
        <w:tc>
          <w:tcPr>
            <w:tcW w:w="826" w:type="pct"/>
            <w:vAlign w:val="center"/>
          </w:tcPr>
          <w:p>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827" w:type="pct"/>
            <w:vAlign w:val="center"/>
          </w:tcPr>
          <w:p>
            <w:pPr>
              <w:keepNext w:val="0"/>
              <w:keepLines w:val="0"/>
              <w:widowControl/>
              <w:suppressLineNumbers w:val="0"/>
              <w:spacing w:before="0" w:beforeAutospacing="0" w:after="0" w:afterAutospacing="0" w:line="300" w:lineRule="atLeast"/>
              <w:ind w:left="0" w:right="0"/>
              <w:jc w:val="righ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人</w:t>
            </w:r>
          </w:p>
        </w:tc>
        <w:tc>
          <w:tcPr>
            <w:tcW w:w="868" w:type="pct"/>
            <w:vAlign w:val="center"/>
          </w:tcPr>
          <w:p>
            <w:pPr>
              <w:keepNext w:val="0"/>
              <w:keepLines w:val="0"/>
              <w:widowControl/>
              <w:suppressLineNumbers w:val="0"/>
              <w:spacing w:before="0" w:beforeAutospacing="0" w:after="0" w:afterAutospacing="0" w:line="300" w:lineRule="atLeast"/>
              <w:ind w:left="0" w:right="0"/>
              <w:jc w:val="center"/>
              <w:textAlignment w:val="baseline"/>
              <w:rPr>
                <w:rFonts w:hint="eastAsia" w:ascii="仿宋" w:hAnsi="仿宋" w:eastAsia="宋体" w:cs="仿宋"/>
                <w:color w:val="auto"/>
                <w:szCs w:val="21"/>
                <w:lang w:eastAsia="zh-CN"/>
              </w:rPr>
            </w:pPr>
            <w:r>
              <w:rPr>
                <w:rFonts w:hint="eastAsia" w:ascii="宋体" w:hAnsi="宋体" w:cs="宋体"/>
                <w:color w:val="auto"/>
                <w:szCs w:val="21"/>
              </w:rPr>
              <w:t>限价≤</w:t>
            </w:r>
            <w:r>
              <w:rPr>
                <w:rFonts w:hint="eastAsia" w:ascii="宋体" w:hAnsi="宋体" w:cs="宋体"/>
                <w:color w:val="auto"/>
                <w:szCs w:val="21"/>
                <w:lang w:val="en-US" w:eastAsia="zh-CN"/>
              </w:rPr>
              <w:t>1000</w:t>
            </w:r>
            <w:r>
              <w:rPr>
                <w:rFonts w:hint="eastAsia" w:ascii="宋体" w:hAnsi="宋体" w:cs="宋体"/>
                <w:color w:val="auto"/>
                <w:szCs w:val="21"/>
              </w:rPr>
              <w:t xml:space="preserve"> 元 /</w:t>
            </w:r>
            <w:r>
              <w:rPr>
                <w:rFonts w:hint="eastAsia" w:ascii="宋体" w:hAnsi="宋体" w:cs="宋体"/>
                <w:color w:val="auto"/>
                <w:szCs w:val="21"/>
                <w:lang w:val="en-US" w:eastAsia="zh-CN"/>
              </w:rPr>
              <w:t>天</w:t>
            </w:r>
          </w:p>
        </w:tc>
      </w:tr>
      <w:bookmarkEnd w:id="9"/>
    </w:tbl>
    <w:p>
      <w:pPr>
        <w:adjustRightInd w:val="0"/>
        <w:snapToGrid w:val="0"/>
        <w:spacing w:line="360" w:lineRule="auto"/>
        <w:ind w:firstLine="420" w:firstLineChars="200"/>
        <w:rPr>
          <w:rFonts w:hint="eastAsia" w:ascii="仿宋" w:hAnsi="仿宋" w:eastAsia="仿宋"/>
          <w:szCs w:val="21"/>
        </w:rPr>
      </w:pPr>
      <w:r>
        <w:rPr>
          <w:rFonts w:ascii="仿宋" w:hAnsi="仿宋" w:eastAsia="仿宋"/>
          <w:szCs w:val="21"/>
        </w:rPr>
        <w:t>备注：</w:t>
      </w:r>
    </w:p>
    <w:p>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（1）</w:t>
      </w:r>
      <w:r>
        <w:rPr>
          <w:rFonts w:ascii="仿宋" w:hAnsi="仿宋" w:eastAsia="仿宋"/>
          <w:szCs w:val="21"/>
        </w:rPr>
        <w:t>所有报价均为含税价</w:t>
      </w:r>
      <w:r>
        <w:rPr>
          <w:rFonts w:hint="eastAsia" w:ascii="仿宋" w:hAnsi="仿宋" w:eastAsia="仿宋"/>
          <w:szCs w:val="21"/>
        </w:rPr>
        <w:t>；</w:t>
      </w:r>
    </w:p>
    <w:p>
      <w:pPr>
        <w:adjustRightInd w:val="0"/>
        <w:snapToGrid w:val="0"/>
        <w:spacing w:line="360" w:lineRule="auto"/>
        <w:ind w:firstLine="420" w:firstLineChars="200"/>
        <w:rPr>
          <w:rFonts w:hint="eastAsia" w:ascii="仿宋" w:hAnsi="仿宋" w:eastAsia="仿宋"/>
          <w:color w:val="auto"/>
          <w:szCs w:val="21"/>
        </w:rPr>
      </w:pPr>
      <w:r>
        <w:rPr>
          <w:rFonts w:hint="eastAsia" w:ascii="仿宋" w:hAnsi="仿宋" w:eastAsia="仿宋"/>
          <w:color w:val="auto"/>
          <w:szCs w:val="21"/>
        </w:rPr>
        <w:t>（2）会场报价统一以每</w:t>
      </w:r>
      <w:r>
        <w:rPr>
          <w:rFonts w:hint="eastAsia" w:ascii="仿宋" w:hAnsi="仿宋" w:eastAsia="仿宋"/>
          <w:color w:val="auto"/>
          <w:szCs w:val="21"/>
          <w:lang w:val="en-US" w:eastAsia="zh-CN"/>
        </w:rPr>
        <w:t>天</w:t>
      </w:r>
      <w:r>
        <w:rPr>
          <w:rFonts w:hint="eastAsia" w:ascii="仿宋" w:hAnsi="仿宋" w:eastAsia="仿宋"/>
          <w:color w:val="auto"/>
          <w:szCs w:val="21"/>
        </w:rPr>
        <w:t>（</w:t>
      </w:r>
      <w:r>
        <w:rPr>
          <w:rFonts w:hint="eastAsia" w:ascii="仿宋" w:hAnsi="仿宋" w:eastAsia="仿宋"/>
          <w:color w:val="auto"/>
          <w:szCs w:val="21"/>
          <w:lang w:val="en-US" w:eastAsia="zh-CN"/>
        </w:rPr>
        <w:t>8</w:t>
      </w:r>
      <w:r>
        <w:rPr>
          <w:rFonts w:hint="eastAsia" w:ascii="仿宋" w:hAnsi="仿宋" w:eastAsia="仿宋"/>
          <w:color w:val="auto"/>
          <w:szCs w:val="21"/>
        </w:rPr>
        <w:t>小时）为单位对每间会场进行报价；</w:t>
      </w:r>
    </w:p>
    <w:p>
      <w:pPr>
        <w:adjustRightInd w:val="0"/>
        <w:snapToGrid w:val="0"/>
        <w:spacing w:line="360" w:lineRule="auto"/>
        <w:ind w:firstLine="420" w:firstLineChars="200"/>
        <w:rPr>
          <w:rFonts w:hint="eastAsia" w:ascii="仿宋" w:hAnsi="仿宋" w:eastAsia="仿宋"/>
          <w:szCs w:val="21"/>
        </w:rPr>
      </w:pPr>
      <w:r>
        <w:rPr>
          <w:rFonts w:hint="eastAsia" w:ascii="仿宋" w:hAnsi="仿宋" w:eastAsia="仿宋"/>
          <w:szCs w:val="21"/>
        </w:rPr>
        <w:t>（3）餐饮报价不参与评分，仅作为签订服务合同的依据。</w:t>
      </w:r>
    </w:p>
    <w:p>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pPr>
        <w:spacing w:line="480" w:lineRule="auto"/>
        <w:ind w:firstLine="5520" w:firstLineChars="2300"/>
        <w:jc w:val="left"/>
        <w:rPr>
          <w:rFonts w:hint="default" w:ascii="仿宋" w:hAnsi="仿宋" w:eastAsia="仿宋"/>
          <w:sz w:val="24"/>
          <w:szCs w:val="24"/>
          <w:lang w:val="en-US" w:eastAsia="zh-CN"/>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华文中宋">
    <w:altName w:val="汉仪书宋二KW"/>
    <w:panose1 w:val="02010600040101010101"/>
    <w:charset w:val="86"/>
    <w:family w:val="auto"/>
    <w:pitch w:val="default"/>
    <w:sig w:usb0="00000000" w:usb1="0000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Calibri Light">
    <w:altName w:val="Arial"/>
    <w:panose1 w:val="020F0302020204030204"/>
    <w:charset w:val="00"/>
    <w:family w:val="swiss"/>
    <w:pitch w:val="default"/>
    <w:sig w:usb0="00000000" w:usb1="00000000" w:usb2="00000009" w:usb3="00000000" w:csb0="200001FF" w:csb1="00000000"/>
  </w:font>
  <w:font w:name="仿宋_GB2312">
    <w:altName w:val="汉仪仿宋KW"/>
    <w:panose1 w:val="02010609030101010101"/>
    <w:charset w:val="86"/>
    <w:family w:val="modern"/>
    <w:pitch w:val="default"/>
    <w:sig w:usb0="00000000" w:usb1="00000000" w:usb2="00000000" w:usb3="00000000" w:csb0="00040000" w:csb1="00000000"/>
  </w:font>
  <w:font w:name="Tahoma">
    <w:altName w:val="Verdana"/>
    <w:panose1 w:val="020B0604030504040204"/>
    <w:charset w:val="00"/>
    <w:family w:val="swiss"/>
    <w:pitch w:val="default"/>
    <w:sig w:usb0="00000000" w:usb1="00000000" w:usb2="00000029" w:usb3="00000000" w:csb0="200101FF" w:csb1="20280000"/>
  </w:font>
  <w:font w:name="方正小标宋简体">
    <w:altName w:val="汉仪书宋二KW"/>
    <w:panose1 w:val="02000000000000000000"/>
    <w:charset w:val="86"/>
    <w:family w:val="script"/>
    <w:pitch w:val="default"/>
    <w:sig w:usb0="00000000" w:usb1="00000000" w:usb2="00000012" w:usb3="00000000" w:csb0="00040001" w:csb1="00000000"/>
  </w:font>
  <w:font w:name="方正仿宋_GB2312">
    <w:altName w:val="汉仪仿宋KW"/>
    <w:panose1 w:val="02000000000000000000"/>
    <w:charset w:val="86"/>
    <w:family w:val="auto"/>
    <w:pitch w:val="default"/>
    <w:sig w:usb0="00000000" w:usb1="00000000" w:usb2="00000012" w:usb3="00000000" w:csb0="00040001" w:csb1="00000000"/>
  </w:font>
  <w:font w:name="楷体_GB2312">
    <w:altName w:val="汉仪楷体KW"/>
    <w:panose1 w:val="02010609030101010101"/>
    <w:charset w:val="86"/>
    <w:family w:val="modern"/>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Georgia">
    <w:panose1 w:val="02040502050405020303"/>
    <w:charset w:val="00"/>
    <w:family w:val="auto"/>
    <w:pitch w:val="default"/>
    <w:sig w:usb0="00000287" w:usb1="00000000" w:usb2="00000000" w:usb3="00000000" w:csb0="2000009F"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 w:name="Verdana">
    <w:panose1 w:val="020B0604030504040204"/>
    <w:charset w:val="00"/>
    <w:family w:val="auto"/>
    <w:pitch w:val="default"/>
    <w:sig w:usb0="A10006FF" w:usb1="4000205B" w:usb2="00000010" w:usb3="00000000" w:csb0="2000019F" w:csb1="00000000"/>
  </w:font>
  <w:font w:name="汉仪楷体KW">
    <w:panose1 w:val="00020600040101010101"/>
    <w:charset w:val="86"/>
    <w:family w:val="auto"/>
    <w:pitch w:val="default"/>
    <w:sig w:usb0="A00002BF" w:usb1="18EF7CFA" w:usb2="00000016" w:usb3="00000000" w:csb0="00040000" w:csb1="00000000"/>
  </w:font>
  <w:font w:name="DejaVu Sans">
    <w:panose1 w:val="020B0606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2"/>
          <w:jc w:val="center"/>
        </w:pPr>
        <w:r>
          <w:fldChar w:fldCharType="begin"/>
        </w:r>
        <w:r>
          <w:instrText xml:space="preserve">PAGE   \* MERGEFORMAT</w:instrText>
        </w:r>
        <w:r>
          <w:fldChar w:fldCharType="separate"/>
        </w:r>
        <w:r>
          <w:rPr>
            <w:lang w:val="zh-CN"/>
          </w:rPr>
          <w:t>25</w:t>
        </w:r>
        <w:r>
          <w:fldChar w:fldCharType="end"/>
        </w:r>
      </w:p>
    </w:sdtContent>
  </w:sdt>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0"/>
      </w:rPr>
    </w:pPr>
    <w:r>
      <w:fldChar w:fldCharType="begin"/>
    </w:r>
    <w:r>
      <w:rPr>
        <w:rStyle w:val="20"/>
      </w:rPr>
      <w:instrText xml:space="preserve">PAGE  </w:instrText>
    </w:r>
    <w: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AEB499A"/>
    <w:rsid w:val="0C3721EC"/>
    <w:rsid w:val="0CEC11E8"/>
    <w:rsid w:val="0CFD51A3"/>
    <w:rsid w:val="0D7A240F"/>
    <w:rsid w:val="0ECC1A91"/>
    <w:rsid w:val="0FB06655"/>
    <w:rsid w:val="10912321"/>
    <w:rsid w:val="10C81F6C"/>
    <w:rsid w:val="11BE5B42"/>
    <w:rsid w:val="13A26E3E"/>
    <w:rsid w:val="13AE369B"/>
    <w:rsid w:val="143B74EC"/>
    <w:rsid w:val="144F1BCA"/>
    <w:rsid w:val="14FD6A90"/>
    <w:rsid w:val="15455939"/>
    <w:rsid w:val="15B12877"/>
    <w:rsid w:val="15DF777B"/>
    <w:rsid w:val="16D36F75"/>
    <w:rsid w:val="16FC64CC"/>
    <w:rsid w:val="172E31C9"/>
    <w:rsid w:val="17C3509D"/>
    <w:rsid w:val="19E54DD6"/>
    <w:rsid w:val="1A07140F"/>
    <w:rsid w:val="1A620D3B"/>
    <w:rsid w:val="1A7D2861"/>
    <w:rsid w:val="1B451A26"/>
    <w:rsid w:val="1BB90E2F"/>
    <w:rsid w:val="1C4A0C72"/>
    <w:rsid w:val="1D2D77E9"/>
    <w:rsid w:val="1D444728"/>
    <w:rsid w:val="1E4F7829"/>
    <w:rsid w:val="1ECF44C6"/>
    <w:rsid w:val="1F3A4035"/>
    <w:rsid w:val="1F9951FF"/>
    <w:rsid w:val="201D3E7D"/>
    <w:rsid w:val="202D76F6"/>
    <w:rsid w:val="20746BB2"/>
    <w:rsid w:val="21E64000"/>
    <w:rsid w:val="22451D9C"/>
    <w:rsid w:val="2253195E"/>
    <w:rsid w:val="22FB1D2D"/>
    <w:rsid w:val="23646EBE"/>
    <w:rsid w:val="23E9602A"/>
    <w:rsid w:val="242B03F0"/>
    <w:rsid w:val="24F13006"/>
    <w:rsid w:val="26E533CB"/>
    <w:rsid w:val="28FF2109"/>
    <w:rsid w:val="295D104C"/>
    <w:rsid w:val="299C5AF9"/>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BA1CCE"/>
    <w:rsid w:val="3DC92B7D"/>
    <w:rsid w:val="3E7013C9"/>
    <w:rsid w:val="3F2D1069"/>
    <w:rsid w:val="3F3E1FD1"/>
    <w:rsid w:val="3F581B89"/>
    <w:rsid w:val="404D79B1"/>
    <w:rsid w:val="40CF23D7"/>
    <w:rsid w:val="411058C0"/>
    <w:rsid w:val="413277CA"/>
    <w:rsid w:val="41A31919"/>
    <w:rsid w:val="42507548"/>
    <w:rsid w:val="457F75CA"/>
    <w:rsid w:val="471A6376"/>
    <w:rsid w:val="476D5407"/>
    <w:rsid w:val="495E1E55"/>
    <w:rsid w:val="4A6C57DD"/>
    <w:rsid w:val="4A842484"/>
    <w:rsid w:val="4ACE4B79"/>
    <w:rsid w:val="4ADA413D"/>
    <w:rsid w:val="4C811ECE"/>
    <w:rsid w:val="4C8E75EA"/>
    <w:rsid w:val="4CD64AED"/>
    <w:rsid w:val="4D634C67"/>
    <w:rsid w:val="4DEA6AA2"/>
    <w:rsid w:val="4DF74D1B"/>
    <w:rsid w:val="505E5526"/>
    <w:rsid w:val="50B25872"/>
    <w:rsid w:val="50C025FA"/>
    <w:rsid w:val="51CA3B38"/>
    <w:rsid w:val="51DF4444"/>
    <w:rsid w:val="53425821"/>
    <w:rsid w:val="543D7D43"/>
    <w:rsid w:val="54413194"/>
    <w:rsid w:val="554E608A"/>
    <w:rsid w:val="558202D4"/>
    <w:rsid w:val="56D36709"/>
    <w:rsid w:val="56EB5013"/>
    <w:rsid w:val="578D16E1"/>
    <w:rsid w:val="57A557E8"/>
    <w:rsid w:val="57DD4F82"/>
    <w:rsid w:val="59337A15"/>
    <w:rsid w:val="5A031FBA"/>
    <w:rsid w:val="5A865DA5"/>
    <w:rsid w:val="5B3B1FAA"/>
    <w:rsid w:val="5BD156BD"/>
    <w:rsid w:val="5BEE021E"/>
    <w:rsid w:val="5BF22FC6"/>
    <w:rsid w:val="5CF8252C"/>
    <w:rsid w:val="5D0631CD"/>
    <w:rsid w:val="5D215911"/>
    <w:rsid w:val="5DBF70F0"/>
    <w:rsid w:val="5DF23B2E"/>
    <w:rsid w:val="5E7C394C"/>
    <w:rsid w:val="5F4578E7"/>
    <w:rsid w:val="5F4E26F5"/>
    <w:rsid w:val="5F97635E"/>
    <w:rsid w:val="60511ABB"/>
    <w:rsid w:val="62173015"/>
    <w:rsid w:val="6228716A"/>
    <w:rsid w:val="62652744"/>
    <w:rsid w:val="627B7CAD"/>
    <w:rsid w:val="63471E49"/>
    <w:rsid w:val="63A20CFF"/>
    <w:rsid w:val="63F83144"/>
    <w:rsid w:val="65AA7C28"/>
    <w:rsid w:val="66546D57"/>
    <w:rsid w:val="66AA2E1B"/>
    <w:rsid w:val="66DC6D4D"/>
    <w:rsid w:val="68B735CD"/>
    <w:rsid w:val="68E02B24"/>
    <w:rsid w:val="6A400653"/>
    <w:rsid w:val="6A7F45BF"/>
    <w:rsid w:val="6AD15D55"/>
    <w:rsid w:val="6B5A68F5"/>
    <w:rsid w:val="6B7358D0"/>
    <w:rsid w:val="6BBF5D79"/>
    <w:rsid w:val="6BC9041D"/>
    <w:rsid w:val="6D725D15"/>
    <w:rsid w:val="6DAB7F02"/>
    <w:rsid w:val="6DE237AA"/>
    <w:rsid w:val="719E17CE"/>
    <w:rsid w:val="71CD20B4"/>
    <w:rsid w:val="72567DE8"/>
    <w:rsid w:val="72C16AF2"/>
    <w:rsid w:val="72FA6ED8"/>
    <w:rsid w:val="73A76E7D"/>
    <w:rsid w:val="74733B4A"/>
    <w:rsid w:val="74A23383"/>
    <w:rsid w:val="75730384"/>
    <w:rsid w:val="75BC3839"/>
    <w:rsid w:val="75BF2D83"/>
    <w:rsid w:val="78401AE9"/>
    <w:rsid w:val="79627585"/>
    <w:rsid w:val="79B853F7"/>
    <w:rsid w:val="7A707A80"/>
    <w:rsid w:val="7B4E5EDA"/>
    <w:rsid w:val="7BEB3862"/>
    <w:rsid w:val="7C7B7C1A"/>
    <w:rsid w:val="7D210FAE"/>
    <w:rsid w:val="7DE95B7F"/>
    <w:rsid w:val="7DF64DA9"/>
    <w:rsid w:val="7E151C77"/>
    <w:rsid w:val="DDEFA9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4"/>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3"/>
    <w:semiHidden/>
    <w:unhideWhenUsed/>
    <w:qFormat/>
    <w:uiPriority w:val="99"/>
    <w:rPr>
      <w:rFonts w:ascii="宋体"/>
      <w:sz w:val="18"/>
      <w:szCs w:val="18"/>
    </w:rPr>
  </w:style>
  <w:style w:type="paragraph" w:styleId="7">
    <w:name w:val="Body Text"/>
    <w:basedOn w:val="1"/>
    <w:next w:val="1"/>
    <w:link w:val="35"/>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9"/>
    <w:qFormat/>
    <w:uiPriority w:val="99"/>
    <w:pPr>
      <w:spacing w:after="120" w:line="480" w:lineRule="auto"/>
      <w:ind w:left="420" w:leftChars="200"/>
    </w:pPr>
    <w:rPr>
      <w:kern w:val="0"/>
      <w:sz w:val="24"/>
    </w:rPr>
  </w:style>
  <w:style w:type="paragraph" w:styleId="10">
    <w:name w:val="Plain Text"/>
    <w:basedOn w:val="1"/>
    <w:link w:val="28"/>
    <w:qFormat/>
    <w:uiPriority w:val="0"/>
    <w:rPr>
      <w:rFonts w:ascii="宋体" w:hAnsi="Courier New"/>
      <w:kern w:val="0"/>
      <w:szCs w:val="20"/>
    </w:rPr>
  </w:style>
  <w:style w:type="paragraph" w:styleId="11">
    <w:name w:val="Date"/>
    <w:basedOn w:val="1"/>
    <w:next w:val="1"/>
    <w:link w:val="25"/>
    <w:semiHidden/>
    <w:unhideWhenUsed/>
    <w:qFormat/>
    <w:uiPriority w:val="99"/>
    <w:pPr>
      <w:ind w:left="100" w:leftChars="2500"/>
    </w:pPr>
  </w:style>
  <w:style w:type="paragraph" w:styleId="12">
    <w:name w:val="footer"/>
    <w:basedOn w:val="1"/>
    <w:link w:val="22"/>
    <w:unhideWhenUsed/>
    <w:qFormat/>
    <w:uiPriority w:val="99"/>
    <w:pPr>
      <w:tabs>
        <w:tab w:val="center" w:pos="4153"/>
        <w:tab w:val="right" w:pos="8306"/>
      </w:tabs>
      <w:snapToGrid w:val="0"/>
      <w:jc w:val="left"/>
    </w:pPr>
    <w:rPr>
      <w:sz w:val="18"/>
      <w:szCs w:val="18"/>
    </w:rPr>
  </w:style>
  <w:style w:type="paragraph" w:styleId="13">
    <w:name w:val="header"/>
    <w:basedOn w:val="1"/>
    <w:link w:val="2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6">
    <w:name w:val="Body Text First Indent 2"/>
    <w:basedOn w:val="8"/>
    <w:next w:val="1"/>
    <w:unhideWhenUsed/>
    <w:qFormat/>
    <w:uiPriority w:val="99"/>
    <w:pPr>
      <w:spacing w:before="100" w:beforeAutospacing="1"/>
      <w:ind w:firstLine="420"/>
    </w:pPr>
    <w:rPr>
      <w:szCs w:val="21"/>
    </w:rPr>
  </w:style>
  <w:style w:type="table" w:styleId="18">
    <w:name w:val="Table Grid"/>
    <w:basedOn w:val="1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customStyle="1" w:styleId="21">
    <w:name w:val="页眉 字符"/>
    <w:basedOn w:val="19"/>
    <w:link w:val="13"/>
    <w:qFormat/>
    <w:uiPriority w:val="0"/>
    <w:rPr>
      <w:rFonts w:ascii="Calibri" w:hAnsi="Calibri" w:eastAsia="宋体" w:cs="Times New Roman"/>
      <w:sz w:val="18"/>
      <w:szCs w:val="18"/>
    </w:rPr>
  </w:style>
  <w:style w:type="character" w:customStyle="1" w:styleId="22">
    <w:name w:val="页脚 字符"/>
    <w:basedOn w:val="19"/>
    <w:link w:val="12"/>
    <w:qFormat/>
    <w:uiPriority w:val="99"/>
    <w:rPr>
      <w:rFonts w:ascii="Calibri" w:hAnsi="Calibri" w:eastAsia="宋体" w:cs="Times New Roman"/>
      <w:sz w:val="18"/>
      <w:szCs w:val="18"/>
    </w:rPr>
  </w:style>
  <w:style w:type="character" w:customStyle="1" w:styleId="23">
    <w:name w:val="文档结构图 字符"/>
    <w:basedOn w:val="19"/>
    <w:link w:val="6"/>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9"/>
    <w:link w:val="11"/>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9"/>
    <w:link w:val="2"/>
    <w:qFormat/>
    <w:uiPriority w:val="0"/>
    <w:rPr>
      <w:rFonts w:ascii="Cambria" w:hAnsi="Cambria" w:eastAsia="华文中宋" w:cs="Times New Roman"/>
      <w:b/>
      <w:bCs/>
      <w:sz w:val="44"/>
      <w:szCs w:val="28"/>
    </w:rPr>
  </w:style>
  <w:style w:type="character" w:customStyle="1" w:styleId="28">
    <w:name w:val="纯文本 字符"/>
    <w:link w:val="10"/>
    <w:qFormat/>
    <w:locked/>
    <w:uiPriority w:val="0"/>
    <w:rPr>
      <w:rFonts w:ascii="宋体" w:hAnsi="Courier New"/>
      <w:sz w:val="21"/>
    </w:rPr>
  </w:style>
  <w:style w:type="character" w:customStyle="1" w:styleId="29">
    <w:name w:val="纯文本 Char"/>
    <w:basedOn w:val="19"/>
    <w:semiHidden/>
    <w:qFormat/>
    <w:uiPriority w:val="99"/>
    <w:rPr>
      <w:rFonts w:ascii="宋体" w:hAnsi="Courier New" w:cs="Courier New"/>
      <w:kern w:val="2"/>
      <w:sz w:val="21"/>
      <w:szCs w:val="21"/>
    </w:rPr>
  </w:style>
  <w:style w:type="character" w:customStyle="1" w:styleId="30">
    <w:name w:val="标题 2 字符"/>
    <w:basedOn w:val="19"/>
    <w:link w:val="3"/>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9"/>
    <w:link w:val="4"/>
    <w:qFormat/>
    <w:uiPriority w:val="9"/>
    <w:rPr>
      <w:rFonts w:asciiTheme="majorHAnsi" w:hAnsiTheme="majorHAnsi" w:eastAsiaTheme="majorEastAsia" w:cstheme="majorBidi"/>
      <w:b/>
      <w:bCs/>
      <w:kern w:val="2"/>
      <w:sz w:val="24"/>
      <w:szCs w:val="24"/>
    </w:rPr>
  </w:style>
  <w:style w:type="character" w:customStyle="1" w:styleId="35">
    <w:name w:val="正文文本 字符"/>
    <w:basedOn w:val="19"/>
    <w:link w:val="7"/>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qFormat/>
    <w:uiPriority w:val="0"/>
    <w:rPr>
      <w:rFonts w:ascii="Calibri" w:hAnsi="Calibri" w:eastAsia="宋体" w:cs="Times New Roman"/>
      <w:sz w:val="24"/>
      <w:szCs w:val="24"/>
      <w:lang w:val="en-US" w:eastAsia="zh-CN" w:bidi="ar-SA"/>
    </w:rPr>
  </w:style>
  <w:style w:type="character" w:customStyle="1" w:styleId="39">
    <w:name w:val="正文文本缩进 2 字符"/>
    <w:link w:val="9"/>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3">
    <w:name w:val="15"/>
    <w:basedOn w:val="19"/>
    <w:qFormat/>
    <w:uiPriority w:val="0"/>
    <w:rPr>
      <w:rFonts w:hint="default" w:ascii="Times New Roman" w:hAnsi="Times New Roman" w:cs="Times New Roman"/>
    </w:rPr>
  </w:style>
  <w:style w:type="character" w:customStyle="1" w:styleId="44">
    <w:name w:val="10"/>
    <w:basedOn w:val="1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5301</Words>
  <Characters>5517</Characters>
  <Lines>31</Lines>
  <Paragraphs>9</Paragraphs>
  <TotalTime>1</TotalTime>
  <ScaleCrop>false</ScaleCrop>
  <LinksUpToDate>false</LinksUpToDate>
  <CharactersWithSpaces>6046</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2025-01-19T11:35:00Z</dcterms:created>
  <dc:creator>china</dc:creator>
  <cp:lastModifiedBy></cp:lastModifiedBy>
  <cp:lastPrinted>2020-08-24T10:17:00Z</cp:lastPrinted>
  <dcterms:modified xsi:type="dcterms:W3CDTF">2026-06-27T13:42:03Z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B579C64B6B4C459F928F941CCD1E5245_13</vt:lpwstr>
  </property>
  <property fmtid="{D5CDD505-2E9C-101B-9397-08002B2CF9AE}" pid="4" name="KSOTemplateDocerSaveRecord">
    <vt:lpwstr>eyJoZGlkIjoiNjExNjA1MzY4NDcxNDhlNGIwYWUzMzQ5YTk5ZTk5ZTUiLCJ1c2VySWQiOiI0OTQ3NjU2MzMifQ==</vt:lpwstr>
  </property>
</Properties>
</file>