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ind w:firstLine="405"/>
        <w:rPr>
          <w:rFonts w:hint="eastAsia" w:ascii="仿宋_GB2312" w:hAnsi="华文中宋" w:eastAsia="仿宋_GB2312"/>
          <w:b/>
          <w:sz w:val="84"/>
          <w:szCs w:val="84"/>
        </w:rPr>
      </w:pPr>
    </w:p>
    <w:p>
      <w:pPr>
        <w:pStyle w:val="11"/>
        <w:jc w:val="center"/>
        <w:rPr>
          <w:rFonts w:hint="eastAsia" w:ascii="黑体" w:hAnsi="黑体" w:eastAsia="黑体"/>
          <w:bCs/>
          <w:sz w:val="84"/>
          <w:szCs w:val="84"/>
          <w14:shadow w14:blurRad="50800" w14:dist="38100" w14:dir="2700000" w14:sx="100000" w14:sy="100000" w14:kx="0" w14:ky="0" w14:algn="tl">
            <w14:srgbClr w14:val="000000">
              <w14:alpha w14:val="60001"/>
            </w14:srgbClr>
          </w14:shadow>
        </w:rPr>
      </w:pPr>
      <w:r>
        <w:rPr>
          <w:rFonts w:hint="eastAsia" w:ascii="黑体" w:hAnsi="黑体" w:eastAsia="黑体"/>
          <w:sz w:val="84"/>
          <w:szCs w:val="84"/>
          <w14:shadow w14:blurRad="50800" w14:dist="38100" w14:dir="2700000" w14:sx="100000" w14:sy="100000" w14:kx="0" w14:ky="0" w14:algn="tl">
            <w14:srgbClr w14:val="000000">
              <w14:alpha w14:val="60001"/>
            </w14:srgbClr>
          </w14:shadow>
        </w:rPr>
        <w:t>询 比</w:t>
      </w:r>
      <w:r>
        <w:rPr>
          <w:rFonts w:hint="eastAsia" w:ascii="黑体" w:hAnsi="黑体" w:eastAsia="黑体"/>
          <w:bCs/>
          <w:sz w:val="84"/>
          <w:szCs w:val="84"/>
          <w14:shadow w14:blurRad="50800" w14:dist="38100" w14:dir="2700000" w14:sx="100000" w14:sy="100000" w14:kx="0" w14:ky="0" w14:algn="tl">
            <w14:srgbClr w14:val="000000">
              <w14:alpha w14:val="60001"/>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1"/>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1"/>
            </w14:srgbClr>
          </w14:shadow>
        </w:rPr>
        <w:t>文</w:t>
      </w:r>
      <w:r>
        <w:rPr>
          <w:rFonts w:hint="eastAsia" w:ascii="黑体" w:hAnsi="黑体" w:eastAsia="黑体"/>
          <w:sz w:val="84"/>
          <w:szCs w:val="84"/>
          <w14:shadow w14:blurRad="50800" w14:dist="38100" w14:dir="2700000" w14:sx="100000" w14:sy="100000" w14:kx="0" w14:ky="0" w14:algn="tl">
            <w14:srgbClr w14:val="000000">
              <w14:alpha w14:val="60001"/>
            </w14:srgbClr>
          </w14:shadow>
        </w:rPr>
        <w:t xml:space="preserve"> </w:t>
      </w:r>
      <w:r>
        <w:rPr>
          <w:rFonts w:ascii="黑体" w:hAnsi="黑体" w:eastAsia="黑体"/>
          <w:sz w:val="84"/>
          <w:szCs w:val="84"/>
          <w14:shadow w14:blurRad="50800" w14:dist="38100" w14:dir="2700000" w14:sx="100000" w14:sy="100000" w14:kx="0" w14:ky="0" w14:algn="tl">
            <w14:srgbClr w14:val="000000">
              <w14:alpha w14:val="60001"/>
            </w14:srgbClr>
          </w14:shadow>
        </w:rPr>
        <w:t>件</w:t>
      </w: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pStyle w:val="11"/>
        <w:adjustRightInd w:val="0"/>
        <w:snapToGrid w:val="0"/>
        <w:spacing w:line="360" w:lineRule="auto"/>
        <w:ind w:left="846" w:leftChars="403" w:firstLine="157" w:firstLineChars="49"/>
        <w:rPr>
          <w:rFonts w:hint="eastAsia" w:ascii="黑体" w:hAnsi="黑体" w:eastAsia="黑体"/>
          <w:b/>
          <w:sz w:val="32"/>
          <w:szCs w:val="32"/>
        </w:rPr>
      </w:pPr>
    </w:p>
    <w:p>
      <w:pPr>
        <w:spacing w:line="500" w:lineRule="exact"/>
        <w:jc w:val="center"/>
        <w:rPr>
          <w:rFonts w:hint="eastAsia" w:ascii="黑体" w:hAnsi="黑体" w:eastAsia="黑体" w:cs="Times New Roman"/>
          <w:kern w:val="2"/>
          <w:sz w:val="32"/>
          <w:szCs w:val="32"/>
          <w:lang w:val="en-US" w:eastAsia="zh-CN" w:bidi="ar-SA"/>
        </w:rPr>
      </w:pPr>
      <w:r>
        <w:rPr>
          <w:rFonts w:ascii="黑体" w:hAnsi="黑体" w:eastAsia="黑体"/>
          <w:sz w:val="32"/>
          <w:szCs w:val="32"/>
        </w:rPr>
        <w:t>采购项目名称</w:t>
      </w:r>
      <w:r>
        <w:rPr>
          <w:rFonts w:ascii="黑体" w:hAnsi="黑体" w:eastAsia="黑体" w:cs="Times New Roman"/>
          <w:kern w:val="2"/>
          <w:sz w:val="32"/>
          <w:szCs w:val="32"/>
          <w:lang w:val="en-US" w:eastAsia="zh-CN" w:bidi="ar-SA"/>
        </w:rPr>
        <w:t>：</w:t>
      </w:r>
      <w:r>
        <w:rPr>
          <w:rFonts w:hint="eastAsia" w:ascii="黑体" w:hAnsi="黑体" w:eastAsia="黑体" w:cs="Times New Roman"/>
          <w:kern w:val="2"/>
          <w:sz w:val="32"/>
          <w:szCs w:val="32"/>
          <w:lang w:val="en-US" w:eastAsia="zh-CN" w:bidi="ar-SA"/>
        </w:rPr>
        <w:t>新校区产教融合科创中心建设项目建     议书和可行性研究报告编制服务项目</w:t>
      </w:r>
    </w:p>
    <w:p>
      <w:pPr>
        <w:pStyle w:val="43"/>
        <w:jc w:val="both"/>
        <w:rPr>
          <w:rFonts w:ascii="黑体" w:hAnsi="黑体" w:eastAsia="黑体"/>
          <w:sz w:val="32"/>
          <w:szCs w:val="32"/>
        </w:rPr>
      </w:pPr>
    </w:p>
    <w:p>
      <w:pPr>
        <w:pStyle w:val="43"/>
        <w:jc w:val="both"/>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center"/>
        <w:rPr>
          <w:rFonts w:hint="eastAsia" w:ascii="黑体" w:hAnsi="黑体" w:eastAsia="黑体"/>
          <w:b/>
          <w:sz w:val="32"/>
        </w:rPr>
      </w:pPr>
    </w:p>
    <w:p>
      <w:pPr>
        <w:pStyle w:val="11"/>
        <w:adjustRightInd w:val="0"/>
        <w:snapToGrid w:val="0"/>
        <w:spacing w:line="440" w:lineRule="exact"/>
        <w:jc w:val="both"/>
        <w:rPr>
          <w:rFonts w:hint="eastAsia" w:ascii="黑体" w:hAnsi="黑体" w:eastAsia="黑体"/>
          <w:b/>
          <w:sz w:val="32"/>
        </w:rPr>
      </w:pPr>
    </w:p>
    <w:p>
      <w:pPr>
        <w:spacing w:line="360" w:lineRule="auto"/>
        <w:jc w:val="center"/>
        <w:rPr>
          <w:rFonts w:hint="eastAsia"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四</w:t>
      </w:r>
      <w:r>
        <w:rPr>
          <w:rFonts w:ascii="黑体" w:hAnsi="黑体" w:eastAsia="黑体"/>
          <w:sz w:val="32"/>
          <w:szCs w:val="32"/>
        </w:rPr>
        <w:t>月</w:t>
      </w:r>
    </w:p>
    <w:p>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rPr>
        <w:t>湖南铁道职业技术学院</w:t>
      </w:r>
    </w:p>
    <w:p>
      <w:pPr>
        <w:jc w:val="center"/>
        <w:outlineLvl w:val="0"/>
        <w:rPr>
          <w:rFonts w:hint="eastAsia" w:ascii="黑体" w:hAnsi="黑体" w:eastAsia="黑体" w:cs="Times New Roman"/>
          <w:b/>
          <w:sz w:val="36"/>
          <w:szCs w:val="36"/>
        </w:rPr>
      </w:pPr>
      <w:r>
        <w:rPr>
          <w:rFonts w:hint="eastAsia" w:ascii="黑体" w:hAnsi="黑体" w:eastAsia="黑体" w:cs="Times New Roman"/>
          <w:b/>
          <w:sz w:val="36"/>
          <w:szCs w:val="36"/>
          <w:lang w:val="en-US" w:eastAsia="zh-CN"/>
        </w:rPr>
        <w:t>新校区产教融合科创中心建设项目建议书和</w:t>
      </w:r>
      <w:r>
        <w:rPr>
          <w:rFonts w:hint="eastAsia" w:ascii="黑体" w:hAnsi="黑体" w:eastAsia="黑体" w:cs="Times New Roman"/>
          <w:b/>
          <w:sz w:val="36"/>
          <w:szCs w:val="36"/>
        </w:rPr>
        <w:t>可行性研究报告编制服务项目询比采购公告</w:t>
      </w:r>
    </w:p>
    <w:p>
      <w:pPr>
        <w:pStyle w:val="17"/>
        <w:snapToGrid w:val="0"/>
        <w:spacing w:before="0" w:beforeAutospacing="0" w:after="0" w:line="360" w:lineRule="auto"/>
        <w:ind w:left="0" w:leftChars="0" w:firstLine="480" w:firstLineChars="200"/>
        <w:jc w:val="left"/>
        <w:rPr>
          <w:rFonts w:ascii="仿宋" w:hAnsi="仿宋" w:eastAsia="仿宋"/>
          <w:sz w:val="24"/>
          <w:szCs w:val="24"/>
        </w:rPr>
      </w:pPr>
    </w:p>
    <w:p>
      <w:pPr>
        <w:pStyle w:val="17"/>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cs="Times New Roman"/>
          <w:sz w:val="24"/>
          <w:szCs w:val="24"/>
        </w:rPr>
        <w:t>湖南铁道职业技术学院</w:t>
      </w:r>
      <w:r>
        <w:rPr>
          <w:rFonts w:hint="eastAsia" w:ascii="仿宋" w:hAnsi="仿宋" w:eastAsia="仿宋" w:cs="Times New Roman"/>
          <w:sz w:val="24"/>
          <w:szCs w:val="24"/>
          <w:lang w:val="en-US" w:eastAsia="zh-CN"/>
        </w:rPr>
        <w:t>新校区产教融合科创中心建设项目</w:t>
      </w:r>
      <w:r>
        <w:rPr>
          <w:rFonts w:hint="eastAsia" w:ascii="仿宋" w:hAnsi="仿宋" w:eastAsia="仿宋" w:cs="Times New Roman"/>
          <w:color w:val="auto"/>
          <w:sz w:val="24"/>
          <w:szCs w:val="24"/>
          <w:lang w:val="en-US" w:eastAsia="zh-CN"/>
        </w:rPr>
        <w:t>建议书和</w:t>
      </w:r>
      <w:r>
        <w:rPr>
          <w:rFonts w:hint="eastAsia" w:ascii="仿宋" w:hAnsi="仿宋" w:eastAsia="仿宋" w:cs="Times New Roman"/>
          <w:color w:val="auto"/>
          <w:sz w:val="24"/>
          <w:szCs w:val="24"/>
        </w:rPr>
        <w:t>可行性研究报告编制服务项目</w:t>
      </w:r>
      <w:r>
        <w:rPr>
          <w:rFonts w:hint="eastAsia" w:ascii="仿宋" w:hAnsi="仿宋" w:eastAsia="仿宋"/>
          <w:sz w:val="24"/>
          <w:szCs w:val="24"/>
        </w:rPr>
        <w:t>需进行采购，现采用发布公告方式，邀请符合资格条件的供应商参与采购活动。</w:t>
      </w:r>
    </w:p>
    <w:p>
      <w:pPr>
        <w:numPr>
          <w:ilvl w:val="0"/>
          <w:numId w:val="1"/>
        </w:numPr>
        <w:snapToGrid w:val="0"/>
        <w:spacing w:line="360" w:lineRule="auto"/>
        <w:ind w:firstLine="480" w:firstLineChars="200"/>
        <w:jc w:val="left"/>
        <w:rPr>
          <w:rFonts w:hint="eastAsia" w:ascii="仿宋" w:hAnsi="仿宋" w:eastAsia="仿宋" w:cs="仿宋"/>
          <w:b/>
          <w:bCs/>
          <w:color w:val="333333"/>
          <w:kern w:val="0"/>
          <w:sz w:val="24"/>
          <w:szCs w:val="24"/>
        </w:rPr>
      </w:pPr>
      <w:bookmarkStart w:id="0" w:name="_Toc26475"/>
      <w:bookmarkStart w:id="1" w:name="_Toc4659"/>
      <w:bookmarkStart w:id="2" w:name="_Toc31662_WPSOffice_Level2"/>
      <w:bookmarkStart w:id="3" w:name="_Toc17794_WPSOffice_Level2"/>
      <w:bookmarkStart w:id="4" w:name="_Toc3564"/>
      <w:r>
        <w:rPr>
          <w:rFonts w:hint="eastAsia" w:ascii="仿宋" w:hAnsi="仿宋" w:eastAsia="仿宋" w:cs="仿宋"/>
          <w:b/>
          <w:bCs/>
          <w:color w:val="333333"/>
          <w:kern w:val="0"/>
          <w:sz w:val="24"/>
          <w:szCs w:val="24"/>
        </w:rPr>
        <w:t>采购项目基本情况</w:t>
      </w:r>
      <w:bookmarkEnd w:id="0"/>
      <w:bookmarkEnd w:id="1"/>
      <w:bookmarkEnd w:id="2"/>
      <w:bookmarkEnd w:id="3"/>
      <w:bookmarkEnd w:id="4"/>
    </w:p>
    <w:p>
      <w:pPr>
        <w:numPr>
          <w:ilvl w:val="0"/>
          <w:numId w:val="0"/>
        </w:numPr>
        <w:snapToGrid w:val="0"/>
        <w:spacing w:line="360" w:lineRule="auto"/>
        <w:ind w:firstLine="480" w:firstLineChars="200"/>
        <w:jc w:val="left"/>
        <w:rPr>
          <w:rFonts w:hint="eastAsia" w:ascii="仿宋" w:hAnsi="仿宋" w:eastAsia="仿宋" w:cs="Times New Roman"/>
          <w:color w:val="auto"/>
          <w:sz w:val="24"/>
          <w:szCs w:val="24"/>
        </w:rPr>
      </w:pPr>
      <w:r>
        <w:rPr>
          <w:rFonts w:hint="eastAsia" w:ascii="仿宋" w:hAnsi="仿宋" w:eastAsia="仿宋" w:cs="Times New Roman"/>
          <w:color w:val="auto"/>
          <w:sz w:val="24"/>
          <w:szCs w:val="24"/>
        </w:rPr>
        <w:t>1.项目名称</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新校区产教融合科创中心建设项目建议书和</w:t>
      </w:r>
      <w:r>
        <w:rPr>
          <w:rFonts w:hint="eastAsia" w:ascii="仿宋" w:hAnsi="仿宋" w:eastAsia="仿宋" w:cs="Times New Roman"/>
          <w:color w:val="auto"/>
          <w:sz w:val="24"/>
          <w:szCs w:val="24"/>
        </w:rPr>
        <w:t>可行性研究报告编制服务项目</w:t>
      </w:r>
    </w:p>
    <w:p>
      <w:pPr>
        <w:spacing w:line="500" w:lineRule="exact"/>
        <w:ind w:firstLine="480" w:firstLineChars="200"/>
        <w:jc w:val="left"/>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rPr>
        <w:t xml:space="preserve">2.项目概况: </w:t>
      </w:r>
      <w:r>
        <w:rPr>
          <w:rFonts w:hint="eastAsia" w:ascii="仿宋" w:hAnsi="仿宋" w:eastAsia="仿宋" w:cs="Times New Roman"/>
          <w:color w:val="auto"/>
          <w:sz w:val="24"/>
          <w:szCs w:val="24"/>
          <w:lang w:val="en-US" w:eastAsia="zh-CN"/>
        </w:rPr>
        <w:t>新校区产教融合科创中心建筑面积约30000平方米，</w:t>
      </w:r>
      <w:r>
        <w:rPr>
          <w:rFonts w:hint="eastAsia" w:ascii="仿宋" w:hAnsi="仿宋" w:eastAsia="仿宋" w:cs="Times New Roman"/>
          <w:color w:val="auto"/>
          <w:sz w:val="24"/>
          <w:szCs w:val="24"/>
        </w:rPr>
        <w:t>并配套建设地上停车位、广场、道路、绿化、给排水、供电等基础设施，投资估算为</w:t>
      </w:r>
      <w:r>
        <w:rPr>
          <w:rFonts w:hint="eastAsia" w:ascii="仿宋" w:hAnsi="仿宋" w:eastAsia="仿宋" w:cs="Times New Roman"/>
          <w:color w:val="auto"/>
          <w:sz w:val="24"/>
          <w:szCs w:val="24"/>
          <w:lang w:val="en-US" w:eastAsia="zh-CN"/>
        </w:rPr>
        <w:t>14000</w:t>
      </w:r>
      <w:r>
        <w:rPr>
          <w:rFonts w:hint="eastAsia" w:ascii="仿宋" w:hAnsi="仿宋" w:eastAsia="仿宋" w:cs="Times New Roman"/>
          <w:color w:val="auto"/>
          <w:sz w:val="24"/>
          <w:szCs w:val="24"/>
        </w:rPr>
        <w:t>万元。</w:t>
      </w:r>
    </w:p>
    <w:p>
      <w:pPr>
        <w:numPr>
          <w:ilvl w:val="0"/>
          <w:numId w:val="0"/>
        </w:numPr>
        <w:spacing w:line="500" w:lineRule="exact"/>
        <w:ind w:firstLine="480" w:firstLineChars="200"/>
        <w:rPr>
          <w:rFonts w:hint="eastAsia" w:ascii="仿宋" w:hAnsi="仿宋" w:eastAsia="仿宋"/>
          <w:color w:val="auto"/>
          <w:sz w:val="24"/>
          <w:szCs w:val="24"/>
        </w:rPr>
      </w:pPr>
      <w:r>
        <w:rPr>
          <w:rFonts w:hint="eastAsia" w:ascii="仿宋" w:hAnsi="仿宋" w:eastAsia="仿宋"/>
          <w:color w:val="auto"/>
          <w:sz w:val="24"/>
          <w:szCs w:val="24"/>
        </w:rPr>
        <w:t>3.服务内容：</w:t>
      </w:r>
    </w:p>
    <w:p>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对该项目进行项目建议书和可行性研究报告编制工作，按照国家、地方相关法规的内容和深度要求出具项目建议书和可行性研究报告文本，并负责在项目报批过程中无偿进行修改完善，直至项目取得项目建议书批复和可行性研究报告的批复。</w:t>
      </w:r>
    </w:p>
    <w:p>
      <w:pPr>
        <w:numPr>
          <w:ilvl w:val="0"/>
          <w:numId w:val="0"/>
        </w:numPr>
        <w:spacing w:line="500" w:lineRule="exact"/>
        <w:ind w:firstLine="480" w:firstLineChars="200"/>
        <w:rPr>
          <w:rFonts w:hint="default" w:cs="仿宋" w:asciiTheme="minorEastAsia" w:hAnsiTheme="minorEastAsia" w:eastAsiaTheme="minorEastAsia"/>
          <w:color w:val="auto"/>
          <w:kern w:val="0"/>
          <w:sz w:val="30"/>
          <w:szCs w:val="30"/>
          <w:lang w:val="en-US" w:eastAsia="zh-CN"/>
        </w:rPr>
      </w:pPr>
      <w:r>
        <w:rPr>
          <w:rFonts w:hint="eastAsia" w:ascii="仿宋" w:hAnsi="仿宋" w:eastAsia="仿宋" w:cs="Times New Roman"/>
          <w:color w:val="auto"/>
          <w:sz w:val="24"/>
          <w:szCs w:val="24"/>
          <w:lang w:val="en-US" w:eastAsia="zh-CN"/>
        </w:rPr>
        <w:t>（2）对产教融合科创中心项目位置地块（约78亩）进行总图设计和概念性方案设计，深度达到发改委评审的深度，并通过发改委的评审。</w:t>
      </w:r>
    </w:p>
    <w:p>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（3）在项目报批过程中，积极与发改委沟通衔接，协助甲方报批工作；按发改部门要求组织评审会，并承担评审会有关会务费用。</w:t>
      </w:r>
    </w:p>
    <w:p>
      <w:pPr>
        <w:numPr>
          <w:ilvl w:val="0"/>
          <w:numId w:val="0"/>
        </w:numPr>
        <w:spacing w:line="500" w:lineRule="exact"/>
        <w:ind w:firstLine="480" w:firstLineChars="200"/>
        <w:rPr>
          <w:rFonts w:hint="eastAsia" w:ascii="仿宋" w:hAnsi="仿宋" w:eastAsia="仿宋" w:cs="Times New Roman"/>
          <w:color w:val="auto"/>
          <w:sz w:val="24"/>
          <w:szCs w:val="24"/>
        </w:rPr>
      </w:pP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lang w:val="en-US" w:eastAsia="zh-CN"/>
        </w:rPr>
        <w:t>4</w:t>
      </w:r>
      <w:r>
        <w:rPr>
          <w:rFonts w:hint="eastAsia" w:ascii="仿宋" w:hAnsi="仿宋" w:eastAsia="仿宋" w:cs="Times New Roman"/>
          <w:color w:val="auto"/>
          <w:sz w:val="24"/>
          <w:szCs w:val="24"/>
          <w:lang w:eastAsia="zh-CN"/>
        </w:rPr>
        <w:t>）</w:t>
      </w:r>
      <w:r>
        <w:rPr>
          <w:rFonts w:hint="eastAsia" w:ascii="仿宋" w:hAnsi="仿宋" w:eastAsia="仿宋" w:cs="Times New Roman"/>
          <w:color w:val="auto"/>
          <w:sz w:val="24"/>
          <w:szCs w:val="24"/>
        </w:rPr>
        <w:t>采购预算：</w:t>
      </w:r>
      <w:r>
        <w:rPr>
          <w:rFonts w:hint="eastAsia" w:ascii="仿宋" w:hAnsi="仿宋" w:eastAsia="仿宋" w:cs="Times New Roman"/>
          <w:color w:val="auto"/>
          <w:sz w:val="24"/>
          <w:szCs w:val="24"/>
          <w:lang w:val="en-US" w:eastAsia="zh-CN"/>
        </w:rPr>
        <w:t>16.74</w:t>
      </w:r>
      <w:r>
        <w:rPr>
          <w:rFonts w:hint="eastAsia" w:ascii="仿宋" w:hAnsi="仿宋" w:eastAsia="仿宋" w:cs="Times New Roman"/>
          <w:color w:val="auto"/>
          <w:sz w:val="24"/>
          <w:szCs w:val="24"/>
        </w:rPr>
        <w:t>万元</w:t>
      </w:r>
    </w:p>
    <w:p>
      <w:pPr>
        <w:pStyle w:val="17"/>
        <w:snapToGrid w:val="0"/>
        <w:spacing w:before="0" w:beforeAutospacing="0" w:after="0" w:line="360" w:lineRule="auto"/>
        <w:ind w:left="0" w:leftChars="0" w:firstLine="480" w:firstLineChars="200"/>
        <w:jc w:val="left"/>
        <w:rPr>
          <w:rFonts w:hint="eastAsia" w:ascii="仿宋" w:hAnsi="仿宋" w:eastAsia="仿宋"/>
          <w:b/>
          <w:bCs/>
          <w:color w:val="auto"/>
          <w:sz w:val="24"/>
          <w:szCs w:val="24"/>
        </w:rPr>
      </w:pPr>
      <w:r>
        <w:rPr>
          <w:rFonts w:hint="eastAsia" w:ascii="仿宋" w:hAnsi="仿宋" w:eastAsia="仿宋"/>
          <w:b/>
          <w:bCs/>
          <w:color w:val="auto"/>
          <w:sz w:val="24"/>
          <w:szCs w:val="24"/>
        </w:rPr>
        <w:t>二、投标人资格要求</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bookmarkStart w:id="5" w:name="_Toc58335831"/>
      <w:r>
        <w:rPr>
          <w:rFonts w:hint="eastAsia" w:ascii="仿宋" w:hAnsi="仿宋" w:eastAsia="仿宋" w:cs="Times New Roman"/>
          <w:sz w:val="24"/>
          <w:szCs w:val="24"/>
        </w:rPr>
        <w:t>1.基本资格条件</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（1）营业执照、组织机构代码证、税务登记证（副本复印件）、社保登记证，办理了五证合一的可提供五证合一相关证件（复印件）；</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（2）法人授权委托书原件和授权代表身份证复印件；</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（3）供应商参加本次企业采购活动前3年内没有重大违法记录的书面声明。</w:t>
      </w:r>
    </w:p>
    <w:p>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2.特定资格条件：无</w:t>
      </w:r>
    </w:p>
    <w:p>
      <w:pPr>
        <w:pStyle w:val="17"/>
        <w:snapToGrid w:val="0"/>
        <w:spacing w:before="0" w:beforeAutospacing="0" w:after="0" w:line="360" w:lineRule="auto"/>
        <w:ind w:left="0" w:leftChars="0" w:firstLine="480" w:firstLineChars="200"/>
        <w:jc w:val="left"/>
        <w:rPr>
          <w:rFonts w:hint="eastAsia" w:ascii="仿宋" w:hAnsi="仿宋" w:eastAsia="仿宋"/>
          <w:b/>
          <w:bCs/>
          <w:sz w:val="24"/>
          <w:szCs w:val="24"/>
        </w:rPr>
      </w:pPr>
      <w:r>
        <w:rPr>
          <w:rFonts w:hint="eastAsia" w:ascii="仿宋" w:hAnsi="仿宋" w:eastAsia="仿宋"/>
          <w:b/>
          <w:bCs/>
          <w:sz w:val="24"/>
          <w:szCs w:val="24"/>
        </w:rPr>
        <w:t>三、响应文件提交的截止时间、开启时间及地点</w:t>
      </w:r>
      <w:bookmarkEnd w:id="5"/>
    </w:p>
    <w:p>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1．首次响应文件的提交截止时间：202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4</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14</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2．首次响应文件的开启时间：202</w:t>
      </w:r>
      <w:r>
        <w:rPr>
          <w:rFonts w:hint="eastAsia" w:ascii="仿宋" w:hAnsi="仿宋" w:eastAsia="仿宋" w:cs="Times New Roman"/>
          <w:sz w:val="24"/>
          <w:szCs w:val="24"/>
          <w:lang w:val="en-US" w:eastAsia="zh-CN"/>
        </w:rPr>
        <w:t>6</w:t>
      </w:r>
      <w:r>
        <w:rPr>
          <w:rFonts w:hint="eastAsia" w:ascii="仿宋" w:hAnsi="仿宋" w:eastAsia="仿宋" w:cs="Times New Roman"/>
          <w:sz w:val="24"/>
          <w:szCs w:val="24"/>
        </w:rPr>
        <w:t>年</w:t>
      </w:r>
      <w:r>
        <w:rPr>
          <w:rFonts w:hint="eastAsia" w:ascii="仿宋" w:hAnsi="仿宋" w:eastAsia="仿宋" w:cs="Times New Roman"/>
          <w:sz w:val="24"/>
          <w:szCs w:val="24"/>
          <w:lang w:val="en-US" w:eastAsia="zh-CN"/>
        </w:rPr>
        <w:t>4</w:t>
      </w:r>
      <w:r>
        <w:rPr>
          <w:rFonts w:hint="eastAsia" w:ascii="仿宋" w:hAnsi="仿宋" w:eastAsia="仿宋" w:cs="Times New Roman"/>
          <w:sz w:val="24"/>
          <w:szCs w:val="24"/>
        </w:rPr>
        <w:t>月</w:t>
      </w:r>
      <w:r>
        <w:rPr>
          <w:rFonts w:hint="eastAsia" w:ascii="仿宋" w:hAnsi="仿宋" w:eastAsia="仿宋" w:cs="Times New Roman"/>
          <w:sz w:val="24"/>
          <w:szCs w:val="24"/>
          <w:lang w:val="en-US" w:eastAsia="zh-CN"/>
        </w:rPr>
        <w:t>14</w:t>
      </w:r>
      <w:r>
        <w:rPr>
          <w:rFonts w:hint="eastAsia" w:ascii="仿宋" w:hAnsi="仿宋" w:eastAsia="仿宋" w:cs="Times New Roman"/>
          <w:sz w:val="24"/>
          <w:szCs w:val="24"/>
        </w:rPr>
        <w:t>日</w:t>
      </w:r>
      <w:r>
        <w:rPr>
          <w:rFonts w:hint="eastAsia" w:ascii="仿宋" w:hAnsi="仿宋" w:eastAsia="仿宋" w:cs="Times New Roman"/>
          <w:sz w:val="24"/>
          <w:szCs w:val="24"/>
          <w:lang w:val="en-US" w:eastAsia="zh-CN"/>
        </w:rPr>
        <w:t>9</w:t>
      </w:r>
      <w:r>
        <w:rPr>
          <w:rFonts w:hint="eastAsia" w:ascii="仿宋" w:hAnsi="仿宋" w:eastAsia="仿宋" w:cs="Times New Roman"/>
          <w:sz w:val="24"/>
          <w:szCs w:val="24"/>
        </w:rPr>
        <w:t>时</w:t>
      </w:r>
      <w:r>
        <w:rPr>
          <w:rFonts w:hint="eastAsia" w:ascii="仿宋" w:hAnsi="仿宋" w:eastAsia="仿宋" w:cs="Times New Roman"/>
          <w:sz w:val="24"/>
          <w:szCs w:val="24"/>
          <w:lang w:val="en-US" w:eastAsia="zh-CN"/>
        </w:rPr>
        <w:t>30分</w:t>
      </w:r>
    </w:p>
    <w:p>
      <w:pPr>
        <w:pStyle w:val="17"/>
        <w:snapToGrid w:val="0"/>
        <w:spacing w:before="0" w:beforeAutospacing="0" w:after="0" w:line="360" w:lineRule="auto"/>
        <w:ind w:left="0" w:leftChars="0" w:firstLine="480" w:firstLineChars="200"/>
        <w:jc w:val="left"/>
        <w:rPr>
          <w:rFonts w:hint="default" w:ascii="仿宋" w:hAnsi="仿宋" w:eastAsia="仿宋" w:cs="Times New Roman"/>
          <w:sz w:val="24"/>
          <w:szCs w:val="24"/>
          <w:lang w:val="en-US" w:eastAsia="zh-CN"/>
        </w:rPr>
      </w:pPr>
      <w:r>
        <w:rPr>
          <w:rFonts w:hint="eastAsia" w:ascii="仿宋" w:hAnsi="仿宋" w:eastAsia="仿宋" w:cs="Times New Roman"/>
          <w:sz w:val="24"/>
          <w:szCs w:val="24"/>
        </w:rPr>
        <w:t>3．首次响应文件的开启地点：湖南铁道职业技术学院</w:t>
      </w:r>
      <w:r>
        <w:rPr>
          <w:rFonts w:hint="eastAsia" w:ascii="仿宋" w:hAnsi="仿宋" w:eastAsia="仿宋" w:cs="Times New Roman"/>
          <w:sz w:val="24"/>
          <w:szCs w:val="24"/>
          <w:lang w:val="en-US" w:eastAsia="zh-CN"/>
        </w:rPr>
        <w:t>新校区建设指挥部（轨道交通装备产教融合中心项目工地办公室）</w:t>
      </w:r>
    </w:p>
    <w:p>
      <w:pPr>
        <w:pStyle w:val="3"/>
        <w:snapToGrid w:val="0"/>
        <w:spacing w:before="0" w:after="0" w:line="360" w:lineRule="auto"/>
        <w:ind w:firstLine="468" w:firstLineChars="195"/>
        <w:jc w:val="left"/>
        <w:rPr>
          <w:rFonts w:ascii="仿宋" w:hAnsi="仿宋" w:eastAsia="仿宋" w:cs="宋体"/>
          <w:bCs w:val="0"/>
          <w:kern w:val="0"/>
          <w:sz w:val="24"/>
          <w:szCs w:val="24"/>
        </w:rPr>
      </w:pPr>
      <w:bookmarkStart w:id="6" w:name="_Toc58335832"/>
      <w:r>
        <w:rPr>
          <w:rFonts w:hint="eastAsia" w:ascii="仿宋" w:hAnsi="仿宋" w:eastAsia="仿宋" w:cs="宋体"/>
          <w:bCs w:val="0"/>
          <w:kern w:val="0"/>
          <w:sz w:val="24"/>
          <w:szCs w:val="24"/>
        </w:rPr>
        <w:t>四、公告期限</w:t>
      </w:r>
      <w:bookmarkEnd w:id="6"/>
    </w:p>
    <w:p>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1．本招标公告在湖南铁道职业技术学院官网（www.</w:t>
      </w:r>
      <w:r>
        <w:rPr>
          <w:rFonts w:ascii="仿宋" w:hAnsi="仿宋" w:eastAsia="仿宋" w:cs="宋体"/>
          <w:sz w:val="24"/>
          <w:szCs w:val="24"/>
        </w:rPr>
        <w:t>hnrpc.com</w:t>
      </w:r>
      <w:r>
        <w:rPr>
          <w:rFonts w:hint="eastAsia" w:ascii="仿宋" w:hAnsi="仿宋" w:eastAsia="仿宋" w:cs="宋体"/>
          <w:sz w:val="24"/>
          <w:szCs w:val="24"/>
        </w:rPr>
        <w:t>）发布。公告期限从本招标公告发布之日起3个工作日。</w:t>
      </w:r>
    </w:p>
    <w:p>
      <w:pPr>
        <w:pStyle w:val="3"/>
        <w:snapToGrid w:val="0"/>
        <w:spacing w:before="0" w:after="0" w:line="360" w:lineRule="auto"/>
        <w:ind w:firstLine="468" w:firstLineChars="195"/>
        <w:jc w:val="left"/>
        <w:rPr>
          <w:rFonts w:ascii="仿宋" w:hAnsi="仿宋" w:eastAsia="仿宋" w:cs="宋体"/>
          <w:bCs w:val="0"/>
          <w:kern w:val="0"/>
          <w:sz w:val="24"/>
          <w:szCs w:val="24"/>
        </w:rPr>
      </w:pPr>
      <w:bookmarkStart w:id="7" w:name="_Toc58335833"/>
      <w:r>
        <w:rPr>
          <w:rFonts w:hint="eastAsia" w:ascii="仿宋" w:hAnsi="仿宋" w:eastAsia="仿宋" w:cs="宋体"/>
          <w:bCs w:val="0"/>
          <w:kern w:val="0"/>
          <w:sz w:val="24"/>
          <w:szCs w:val="24"/>
        </w:rPr>
        <w:t>五、疑问及质疑</w:t>
      </w:r>
      <w:bookmarkEnd w:id="7"/>
    </w:p>
    <w:p>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1．潜在投标人对采购活动事项如有疑问的，可以向采购人提出询问。采购人将在3个工作日内作出答复。</w:t>
      </w:r>
    </w:p>
    <w:p>
      <w:pPr>
        <w:snapToGrid w:val="0"/>
        <w:spacing w:line="360" w:lineRule="auto"/>
        <w:ind w:firstLine="480" w:firstLineChars="200"/>
        <w:jc w:val="left"/>
        <w:rPr>
          <w:rFonts w:ascii="仿宋" w:hAnsi="仿宋" w:eastAsia="仿宋" w:cs="宋体"/>
          <w:sz w:val="24"/>
          <w:szCs w:val="24"/>
        </w:rPr>
      </w:pPr>
      <w:r>
        <w:rPr>
          <w:rFonts w:hint="eastAsia" w:ascii="仿宋" w:hAnsi="仿宋" w:eastAsia="仿宋" w:cs="宋体"/>
          <w:sz w:val="24"/>
          <w:szCs w:val="24"/>
        </w:rPr>
        <w:t>2．潜在投标人认为招标文件或招标公告使自己的合法权益受到损害的，可以在收到招标文件之日或招标公告期限届满之日起7个工作日内，以书面形式向采购人提出质疑。</w:t>
      </w:r>
    </w:p>
    <w:p>
      <w:pPr>
        <w:pStyle w:val="3"/>
        <w:snapToGrid w:val="0"/>
        <w:spacing w:before="0" w:after="0" w:line="360" w:lineRule="auto"/>
        <w:ind w:firstLine="468" w:firstLineChars="195"/>
        <w:jc w:val="left"/>
        <w:rPr>
          <w:rFonts w:ascii="仿宋" w:hAnsi="仿宋" w:eastAsia="仿宋" w:cs="宋体"/>
          <w:bCs w:val="0"/>
          <w:kern w:val="0"/>
          <w:sz w:val="24"/>
          <w:szCs w:val="24"/>
        </w:rPr>
      </w:pPr>
      <w:bookmarkStart w:id="8" w:name="_Toc58335834"/>
      <w:r>
        <w:rPr>
          <w:rFonts w:hint="eastAsia" w:ascii="仿宋" w:hAnsi="仿宋" w:eastAsia="仿宋" w:cs="宋体"/>
          <w:bCs w:val="0"/>
          <w:kern w:val="0"/>
          <w:sz w:val="24"/>
          <w:szCs w:val="24"/>
        </w:rPr>
        <w:t>六、采购项目联系人姓名和电话</w:t>
      </w:r>
      <w:bookmarkEnd w:id="8"/>
    </w:p>
    <w:p>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1．采购项目</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联系人姓名：</w:t>
      </w:r>
      <w:r>
        <w:rPr>
          <w:rFonts w:hint="eastAsia" w:ascii="仿宋" w:hAnsi="仿宋" w:eastAsia="仿宋" w:cs="宋体"/>
          <w:sz w:val="24"/>
          <w:szCs w:val="24"/>
          <w:lang w:val="en-US" w:eastAsia="zh-CN"/>
        </w:rPr>
        <w:t>张浩波</w:t>
      </w:r>
      <w:r>
        <w:rPr>
          <w:rFonts w:hint="eastAsia" w:ascii="仿宋" w:hAnsi="仿宋" w:eastAsia="仿宋" w:cs="宋体"/>
          <w:sz w:val="24"/>
          <w:szCs w:val="24"/>
        </w:rPr>
        <w:t xml:space="preserve">          </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电 话：</w:t>
      </w:r>
      <w:r>
        <w:rPr>
          <w:rFonts w:hint="eastAsia" w:ascii="仿宋" w:hAnsi="仿宋" w:eastAsia="仿宋" w:cs="宋体"/>
          <w:sz w:val="24"/>
          <w:szCs w:val="24"/>
          <w:lang w:val="en-US" w:eastAsia="zh-CN"/>
        </w:rPr>
        <w:t>13762398301</w:t>
      </w:r>
      <w:r>
        <w:rPr>
          <w:rFonts w:hint="eastAsia" w:ascii="仿宋" w:hAnsi="仿宋" w:eastAsia="仿宋" w:cs="宋体"/>
          <w:sz w:val="24"/>
          <w:szCs w:val="24"/>
        </w:rPr>
        <w:t xml:space="preserve">           </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2.采购人</w:t>
      </w:r>
    </w:p>
    <w:p>
      <w:pPr>
        <w:snapToGrid w:val="0"/>
        <w:spacing w:line="36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名 称：湖南铁道职业技术学院</w:t>
      </w:r>
    </w:p>
    <w:p>
      <w:pPr>
        <w:snapToGrid w:val="0"/>
        <w:spacing w:line="360" w:lineRule="auto"/>
        <w:ind w:firstLine="480" w:firstLineChars="200"/>
        <w:jc w:val="left"/>
        <w:rPr>
          <w:rFonts w:hint="default" w:ascii="仿宋" w:hAnsi="仿宋" w:eastAsia="仿宋" w:cs="宋体"/>
          <w:sz w:val="24"/>
          <w:szCs w:val="24"/>
          <w:lang w:val="en-US" w:eastAsia="zh-CN"/>
        </w:rPr>
      </w:pPr>
      <w:r>
        <w:rPr>
          <w:rFonts w:hint="eastAsia" w:ascii="仿宋" w:hAnsi="仿宋" w:eastAsia="仿宋" w:cs="宋体"/>
          <w:sz w:val="24"/>
          <w:szCs w:val="24"/>
        </w:rPr>
        <w:t>地 址：株洲市石峰区田心路18号</w:t>
      </w:r>
    </w:p>
    <w:p>
      <w:pPr>
        <w:pStyle w:val="17"/>
      </w:pPr>
    </w:p>
    <w:p/>
    <w:p>
      <w:pPr>
        <w:pStyle w:val="17"/>
      </w:pPr>
    </w:p>
    <w:p>
      <w:pPr>
        <w:rPr>
          <w:rFonts w:ascii="仿宋" w:hAnsi="仿宋" w:eastAsia="仿宋" w:cs="Times New Roman"/>
          <w:b/>
          <w:sz w:val="36"/>
          <w:szCs w:val="36"/>
        </w:rPr>
      </w:pPr>
      <w:r>
        <w:rPr>
          <w:rFonts w:ascii="仿宋" w:hAnsi="仿宋" w:eastAsia="仿宋" w:cs="Times New Roman"/>
          <w:b/>
          <w:sz w:val="36"/>
          <w:szCs w:val="36"/>
        </w:rPr>
        <w:br w:type="page"/>
      </w:r>
    </w:p>
    <w:p>
      <w:pPr>
        <w:pStyle w:val="17"/>
        <w:ind w:left="0" w:leftChars="0" w:firstLine="0"/>
        <w:jc w:val="center"/>
        <w:rPr>
          <w:rFonts w:hint="eastAsia" w:ascii="仿宋" w:hAnsi="仿宋" w:eastAsia="仿宋" w:cs="Times New Roman"/>
          <w:b/>
          <w:sz w:val="36"/>
          <w:szCs w:val="36"/>
        </w:rPr>
      </w:pPr>
      <w:r>
        <w:rPr>
          <w:rFonts w:ascii="仿宋" w:hAnsi="仿宋" w:eastAsia="仿宋" w:cs="Times New Roman"/>
          <w:b/>
          <w:sz w:val="36"/>
          <w:szCs w:val="36"/>
        </w:rPr>
        <w:t>一</w:t>
      </w:r>
      <w:r>
        <w:rPr>
          <w:rFonts w:hint="eastAsia" w:ascii="仿宋" w:hAnsi="仿宋" w:eastAsia="仿宋" w:cs="Times New Roman"/>
          <w:b/>
          <w:sz w:val="36"/>
          <w:szCs w:val="36"/>
        </w:rPr>
        <w:t>、</w:t>
      </w:r>
      <w:r>
        <w:rPr>
          <w:rFonts w:ascii="仿宋" w:hAnsi="仿宋" w:eastAsia="仿宋" w:cs="Times New Roman"/>
          <w:b/>
          <w:sz w:val="36"/>
          <w:szCs w:val="36"/>
        </w:rPr>
        <w:t>采购需求</w:t>
      </w:r>
    </w:p>
    <w:p>
      <w:pPr>
        <w:spacing w:before="156" w:beforeLines="50" w:line="360" w:lineRule="auto"/>
        <w:ind w:firstLine="480" w:firstLineChars="200"/>
        <w:rPr>
          <w:rFonts w:hint="eastAsia" w:ascii="仿宋" w:hAnsi="仿宋" w:eastAsia="仿宋" w:cs="仿宋"/>
          <w:b/>
          <w:bCs/>
          <w:sz w:val="24"/>
          <w:szCs w:val="24"/>
          <w:lang w:val="en-US" w:eastAsia="zh-CN"/>
          <w14:ligatures w14:val="none"/>
        </w:rPr>
      </w:pPr>
      <w:r>
        <w:rPr>
          <w:rFonts w:hint="eastAsia" w:ascii="仿宋" w:hAnsi="仿宋" w:eastAsia="仿宋" w:cs="仿宋"/>
          <w:b/>
          <w:bCs/>
          <w:sz w:val="24"/>
          <w:szCs w:val="24"/>
        </w:rPr>
        <w:t>一、采购项目情况介绍</w:t>
      </w:r>
    </w:p>
    <w:p>
      <w:pPr>
        <w:spacing w:line="500" w:lineRule="exact"/>
        <w:ind w:firstLine="480" w:firstLineChars="200"/>
        <w:jc w:val="left"/>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rPr>
        <w:t xml:space="preserve"> </w:t>
      </w:r>
      <w:r>
        <w:rPr>
          <w:rFonts w:hint="eastAsia" w:ascii="仿宋" w:hAnsi="仿宋" w:eastAsia="仿宋" w:cs="Times New Roman"/>
          <w:color w:val="auto"/>
          <w:sz w:val="24"/>
          <w:szCs w:val="24"/>
          <w:lang w:val="en-US" w:eastAsia="zh-CN"/>
        </w:rPr>
        <w:t>新校区产教融合科创中心建筑面积约30000平方米，</w:t>
      </w:r>
      <w:r>
        <w:rPr>
          <w:rFonts w:hint="eastAsia" w:ascii="仿宋" w:hAnsi="仿宋" w:eastAsia="仿宋" w:cs="Times New Roman"/>
          <w:color w:val="auto"/>
          <w:sz w:val="24"/>
          <w:szCs w:val="24"/>
        </w:rPr>
        <w:t>并配套建设地上停车位、广场、道路、绿化、给排水、供电等基础设施，投资估算为</w:t>
      </w:r>
      <w:r>
        <w:rPr>
          <w:rFonts w:hint="eastAsia" w:ascii="仿宋" w:hAnsi="仿宋" w:eastAsia="仿宋" w:cs="Times New Roman"/>
          <w:color w:val="auto"/>
          <w:sz w:val="24"/>
          <w:szCs w:val="24"/>
          <w:lang w:val="en-US" w:eastAsia="zh-CN"/>
        </w:rPr>
        <w:t>14000</w:t>
      </w:r>
      <w:r>
        <w:rPr>
          <w:rFonts w:hint="eastAsia" w:ascii="仿宋" w:hAnsi="仿宋" w:eastAsia="仿宋" w:cs="Times New Roman"/>
          <w:color w:val="auto"/>
          <w:sz w:val="24"/>
          <w:szCs w:val="24"/>
        </w:rPr>
        <w:t>万元。</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二、对供应商的资质要求</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1.基本资格条件</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（1）营业执照、组织机构代码证、税务登记证（副本复印件）、社保登记证，办理了五证合一的可提供五证合一相关证件（复印件）；</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（2）法人授权委托书原件和授权代表身份证复印件；</w:t>
      </w:r>
    </w:p>
    <w:p>
      <w:pPr>
        <w:pStyle w:val="17"/>
        <w:snapToGrid w:val="0"/>
        <w:spacing w:before="0" w:beforeAutospacing="0" w:after="0" w:line="360" w:lineRule="auto"/>
        <w:ind w:left="0" w:leftChars="0" w:firstLine="480" w:firstLineChars="200"/>
        <w:jc w:val="left"/>
        <w:rPr>
          <w:rFonts w:hint="eastAsia" w:ascii="仿宋" w:hAnsi="仿宋" w:eastAsia="仿宋" w:cs="Times New Roman"/>
          <w:sz w:val="24"/>
          <w:szCs w:val="24"/>
        </w:rPr>
      </w:pPr>
      <w:r>
        <w:rPr>
          <w:rFonts w:hint="eastAsia" w:ascii="仿宋" w:hAnsi="仿宋" w:eastAsia="仿宋" w:cs="Times New Roman"/>
          <w:sz w:val="24"/>
          <w:szCs w:val="24"/>
        </w:rPr>
        <w:t>（3）供应商参加本次企业采购活动前3年内没有重大违法记录的书面声明。</w:t>
      </w:r>
    </w:p>
    <w:p>
      <w:pPr>
        <w:spacing w:line="500" w:lineRule="exact"/>
        <w:ind w:firstLine="480" w:firstLineChars="200"/>
        <w:jc w:val="both"/>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2、特定资格条件：无</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三、服务期限：</w:t>
      </w:r>
    </w:p>
    <w:p>
      <w:pPr>
        <w:spacing w:before="156" w:beforeLines="50" w:line="360" w:lineRule="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 xml:space="preserve">  </w:t>
      </w:r>
      <w:r>
        <w:rPr>
          <w:rFonts w:hint="eastAsia" w:ascii="仿宋" w:hAnsi="仿宋" w:eastAsia="仿宋" w:cs="仿宋"/>
          <w:kern w:val="0"/>
          <w:sz w:val="24"/>
          <w:szCs w:val="24"/>
          <w:lang w:val="en-US" w:eastAsia="zh-CN" w:bidi="ar-SA"/>
        </w:rPr>
        <w:t xml:space="preserve">  从合同签订至取得湖南省发改委的可行性研究报告批复。</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四、服务内容：</w:t>
      </w:r>
    </w:p>
    <w:p>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1、对该项目进行项目建议书和可行性研究报告编制工作，按照国家、地方相关法规的内容和深度要求出具项目建议书和可行性研究报告文本，并负责在项目报批过程中无偿进行修改完善，直至项目取得项目建议书批复和可行性研究报告的批复。</w:t>
      </w:r>
    </w:p>
    <w:p>
      <w:pPr>
        <w:numPr>
          <w:ilvl w:val="0"/>
          <w:numId w:val="0"/>
        </w:numPr>
        <w:spacing w:line="500" w:lineRule="exact"/>
        <w:ind w:firstLine="480" w:firstLineChars="200"/>
        <w:rPr>
          <w:rFonts w:hint="default" w:cs="仿宋" w:asciiTheme="minorEastAsia" w:hAnsiTheme="minorEastAsia" w:eastAsiaTheme="minorEastAsia"/>
          <w:color w:val="auto"/>
          <w:kern w:val="0"/>
          <w:sz w:val="30"/>
          <w:szCs w:val="30"/>
          <w:lang w:val="en-US" w:eastAsia="zh-CN"/>
        </w:rPr>
      </w:pPr>
      <w:r>
        <w:rPr>
          <w:rFonts w:hint="eastAsia" w:ascii="仿宋" w:hAnsi="仿宋" w:eastAsia="仿宋" w:cs="Times New Roman"/>
          <w:color w:val="auto"/>
          <w:sz w:val="24"/>
          <w:szCs w:val="24"/>
          <w:lang w:val="en-US" w:eastAsia="zh-CN"/>
        </w:rPr>
        <w:t>2、对产教融合科创中心项目位置地块（约78亩）进行总图设计和概念性方案设计，深度达到发改委评审的深度，并通过发改委的评审。</w:t>
      </w:r>
    </w:p>
    <w:p>
      <w:pPr>
        <w:spacing w:before="156" w:beforeLines="50" w:line="360" w:lineRule="auto"/>
        <w:ind w:firstLine="480" w:firstLineChars="200"/>
        <w:rPr>
          <w:rFonts w:hint="eastAsia" w:ascii="仿宋" w:hAnsi="仿宋" w:eastAsia="仿宋" w:cs="Times New Roman"/>
          <w:color w:val="auto"/>
          <w:sz w:val="24"/>
          <w:szCs w:val="24"/>
          <w:lang w:val="en-US" w:eastAsia="zh-CN"/>
        </w:rPr>
      </w:pPr>
      <w:r>
        <w:rPr>
          <w:rFonts w:hint="eastAsia" w:ascii="仿宋" w:hAnsi="仿宋" w:eastAsia="仿宋" w:cs="Times New Roman"/>
          <w:color w:val="auto"/>
          <w:sz w:val="24"/>
          <w:szCs w:val="24"/>
          <w:lang w:val="en-US" w:eastAsia="zh-CN"/>
        </w:rPr>
        <w:t>3、在项目报批过程中，积极与发改委沟通衔接，协助甲方报批工作；按发改部门要求组织评审会，并承担评审会有关会务费用。</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rPr>
        <w:t>五、服务质量要求：</w:t>
      </w:r>
    </w:p>
    <w:p>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项目建议书和可行性研究报告内容和深度符合国家和地方相关质量标准规范要求，满足业主及主管部门项目审批的要求。</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六、</w:t>
      </w:r>
      <w:r>
        <w:rPr>
          <w:rFonts w:hint="eastAsia" w:ascii="仿宋" w:hAnsi="仿宋" w:eastAsia="仿宋" w:cs="仿宋"/>
          <w:b/>
          <w:bCs/>
          <w:sz w:val="24"/>
          <w:szCs w:val="24"/>
        </w:rPr>
        <w:t>招标控制价</w:t>
      </w:r>
    </w:p>
    <w:p>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国家计委计价格〔1999]1283号文件规定的收费标准，此次采购招标控制价为16.74万元。</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七</w:t>
      </w:r>
      <w:r>
        <w:rPr>
          <w:rFonts w:hint="eastAsia" w:ascii="仿宋" w:hAnsi="仿宋" w:eastAsia="仿宋" w:cs="仿宋"/>
          <w:b/>
          <w:bCs/>
          <w:sz w:val="24"/>
          <w:szCs w:val="24"/>
        </w:rPr>
        <w:t>、服务质量检查考核标准和方法：</w:t>
      </w:r>
    </w:p>
    <w:p>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满足相关规范对项目建议书和可行性研究报告内容及深度的编制要求，能通过湖南省发改委组织的专家评审，后续取得项目建议书批复和可行性研究报告批复。</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八</w:t>
      </w:r>
      <w:r>
        <w:rPr>
          <w:rFonts w:hint="eastAsia" w:ascii="仿宋" w:hAnsi="仿宋" w:eastAsia="仿宋" w:cs="仿宋"/>
          <w:b/>
          <w:bCs/>
          <w:sz w:val="24"/>
          <w:szCs w:val="24"/>
        </w:rPr>
        <w:t>、履行合同的时间：</w:t>
      </w:r>
    </w:p>
    <w:p>
      <w:pPr>
        <w:spacing w:line="500" w:lineRule="exact"/>
        <w:ind w:firstLine="480" w:firstLineChars="200"/>
        <w:jc w:val="both"/>
        <w:rPr>
          <w:rFonts w:hint="eastAsia" w:ascii="仿宋" w:hAnsi="仿宋" w:eastAsia="仿宋" w:cs="仿宋"/>
          <w:kern w:val="0"/>
          <w:sz w:val="24"/>
          <w:szCs w:val="24"/>
          <w:lang w:val="en-US" w:eastAsia="zh-CN" w:bidi="ar-SA"/>
        </w:rPr>
      </w:pPr>
      <w:r>
        <w:rPr>
          <w:rFonts w:hint="eastAsia" w:ascii="仿宋" w:hAnsi="仿宋" w:eastAsia="仿宋" w:cs="仿宋"/>
          <w:kern w:val="0"/>
          <w:sz w:val="24"/>
          <w:szCs w:val="24"/>
          <w:lang w:val="en-US" w:eastAsia="zh-CN" w:bidi="ar-SA"/>
        </w:rPr>
        <w:t>中标公示后七个工作日内。</w:t>
      </w:r>
    </w:p>
    <w:p>
      <w:pPr>
        <w:spacing w:before="156"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
          <w:bCs/>
          <w:sz w:val="24"/>
          <w:szCs w:val="24"/>
          <w:lang w:val="en-US" w:eastAsia="zh-CN"/>
        </w:rPr>
        <w:t>九</w:t>
      </w:r>
      <w:r>
        <w:rPr>
          <w:rFonts w:hint="eastAsia" w:ascii="仿宋" w:hAnsi="仿宋" w:eastAsia="仿宋" w:cs="仿宋"/>
          <w:b/>
          <w:bCs/>
          <w:sz w:val="24"/>
          <w:szCs w:val="24"/>
        </w:rPr>
        <w:t>、付款方式：</w:t>
      </w:r>
    </w:p>
    <w:p>
      <w:pPr>
        <w:spacing w:line="500" w:lineRule="exact"/>
        <w:ind w:firstLine="480" w:firstLineChars="200"/>
        <w:jc w:val="both"/>
        <w:rPr>
          <w:rFonts w:hint="eastAsia"/>
        </w:rPr>
      </w:pPr>
      <w:r>
        <w:rPr>
          <w:rFonts w:hint="eastAsia" w:ascii="仿宋" w:hAnsi="仿宋" w:eastAsia="仿宋" w:cs="仿宋"/>
          <w:kern w:val="0"/>
          <w:sz w:val="24"/>
          <w:szCs w:val="24"/>
          <w:lang w:val="en-US" w:eastAsia="zh-CN" w:bidi="ar-SA"/>
        </w:rPr>
        <w:t>取得省发改委对本项目的可行性研究报告的批复后一次性支付。</w:t>
      </w:r>
    </w:p>
    <w:p>
      <w:pPr>
        <w:pStyle w:val="17"/>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1.询比小组</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2.评审方法</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2.2本采购项目的评审因素和标准见表1</w:t>
      </w:r>
    </w:p>
    <w:p>
      <w:pPr>
        <w:spacing w:line="360" w:lineRule="auto"/>
        <w:ind w:firstLine="480" w:firstLineChars="200"/>
        <w:rPr>
          <w:rFonts w:hint="eastAsia" w:ascii="仿宋" w:hAnsi="仿宋" w:eastAsia="仿宋"/>
          <w:b/>
          <w:sz w:val="24"/>
          <w:szCs w:val="24"/>
        </w:rPr>
      </w:pPr>
      <w:r>
        <w:rPr>
          <w:rFonts w:hint="eastAsia" w:ascii="仿宋" w:hAnsi="仿宋" w:eastAsia="仿宋"/>
          <w:b/>
          <w:sz w:val="24"/>
          <w:szCs w:val="24"/>
        </w:rPr>
        <w:t>3.比较与评价</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3.2最终报价评价。询比小组以最终报价为基础。</w:t>
      </w:r>
    </w:p>
    <w:p>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3.3价格分采用按评审因素和标准表格内评分标准执行。</w:t>
      </w:r>
    </w:p>
    <w:p>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pPr>
        <w:pStyle w:val="17"/>
        <w:spacing w:before="0" w:beforeAutospacing="0" w:after="0" w:line="240" w:lineRule="atLeast"/>
        <w:ind w:left="0" w:leftChars="0" w:firstLine="0"/>
        <w:jc w:val="center"/>
        <w:rPr>
          <w:rFonts w:hint="eastAsia" w:ascii="仿宋" w:hAnsi="仿宋" w:eastAsia="仿宋"/>
          <w:b/>
          <w:sz w:val="28"/>
          <w:szCs w:val="28"/>
        </w:rPr>
      </w:pPr>
      <w:bookmarkStart w:id="9" w:name="OLE_LINK1"/>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9"/>
    <w:tbl>
      <w:tblPr>
        <w:tblStyle w:val="20"/>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1"/>
        <w:gridCol w:w="1308"/>
        <w:gridCol w:w="709"/>
        <w:gridCol w:w="62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0" w:type="auto"/>
            <w:vAlign w:val="center"/>
          </w:tcPr>
          <w:p>
            <w:pPr>
              <w:jc w:val="center"/>
              <w:rPr>
                <w:rFonts w:hint="eastAsia" w:ascii="仿宋" w:hAnsi="仿宋" w:eastAsia="仿宋"/>
                <w:b/>
                <w:sz w:val="24"/>
                <w:szCs w:val="24"/>
              </w:rPr>
            </w:pPr>
            <w:r>
              <w:rPr>
                <w:rFonts w:hint="eastAsia" w:ascii="仿宋" w:hAnsi="仿宋" w:eastAsia="仿宋"/>
                <w:b/>
                <w:kern w:val="0"/>
                <w:sz w:val="24"/>
                <w:szCs w:val="24"/>
              </w:rPr>
              <w:t>序号</w:t>
            </w:r>
          </w:p>
        </w:tc>
        <w:tc>
          <w:tcPr>
            <w:tcW w:w="1308" w:type="dxa"/>
            <w:vAlign w:val="center"/>
          </w:tcPr>
          <w:p>
            <w:pPr>
              <w:jc w:val="center"/>
              <w:rPr>
                <w:rFonts w:hint="eastAsia" w:ascii="仿宋" w:hAnsi="仿宋" w:eastAsia="仿宋"/>
                <w:b/>
                <w:sz w:val="24"/>
                <w:szCs w:val="24"/>
              </w:rPr>
            </w:pPr>
            <w:r>
              <w:rPr>
                <w:rFonts w:hint="eastAsia" w:ascii="仿宋" w:hAnsi="仿宋" w:eastAsia="仿宋"/>
                <w:b/>
                <w:kern w:val="0"/>
                <w:sz w:val="24"/>
                <w:szCs w:val="24"/>
              </w:rPr>
              <w:t>评审因素</w:t>
            </w:r>
          </w:p>
        </w:tc>
        <w:tc>
          <w:tcPr>
            <w:tcW w:w="709" w:type="dxa"/>
            <w:vAlign w:val="center"/>
          </w:tcPr>
          <w:p>
            <w:pPr>
              <w:jc w:val="center"/>
              <w:rPr>
                <w:rFonts w:hint="eastAsia" w:ascii="仿宋" w:hAnsi="仿宋" w:eastAsia="仿宋"/>
                <w:b/>
                <w:sz w:val="24"/>
                <w:szCs w:val="24"/>
              </w:rPr>
            </w:pPr>
            <w:r>
              <w:rPr>
                <w:rFonts w:hint="eastAsia" w:ascii="仿宋" w:hAnsi="仿宋" w:eastAsia="仿宋"/>
                <w:b/>
                <w:kern w:val="0"/>
                <w:sz w:val="24"/>
                <w:szCs w:val="24"/>
              </w:rPr>
              <w:t>权值</w:t>
            </w:r>
          </w:p>
        </w:tc>
        <w:tc>
          <w:tcPr>
            <w:tcW w:w="6237" w:type="dxa"/>
            <w:vAlign w:val="center"/>
          </w:tcPr>
          <w:p>
            <w:pPr>
              <w:jc w:val="center"/>
              <w:rPr>
                <w:rFonts w:hint="eastAsia" w:ascii="仿宋" w:hAnsi="仿宋" w:eastAsia="仿宋"/>
                <w:b/>
                <w:sz w:val="24"/>
                <w:szCs w:val="24"/>
              </w:rPr>
            </w:pPr>
            <w:r>
              <w:rPr>
                <w:rFonts w:hint="eastAsia" w:ascii="仿宋" w:hAnsi="仿宋" w:eastAsia="仿宋"/>
                <w:b/>
                <w:sz w:val="24"/>
                <w:szCs w:val="24"/>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pPr>
              <w:jc w:val="center"/>
              <w:rPr>
                <w:rFonts w:hint="eastAsia" w:ascii="仿宋" w:hAnsi="仿宋" w:eastAsia="仿宋"/>
                <w:b/>
                <w:kern w:val="0"/>
                <w:sz w:val="24"/>
                <w:szCs w:val="24"/>
              </w:rPr>
            </w:pPr>
            <w:r>
              <w:rPr>
                <w:rFonts w:hint="eastAsia" w:ascii="仿宋" w:hAnsi="仿宋" w:eastAsia="仿宋"/>
                <w:sz w:val="24"/>
                <w:szCs w:val="24"/>
              </w:rPr>
              <w:t>1</w:t>
            </w:r>
          </w:p>
        </w:tc>
        <w:tc>
          <w:tcPr>
            <w:tcW w:w="1308" w:type="dxa"/>
            <w:vAlign w:val="center"/>
          </w:tcPr>
          <w:p>
            <w:pPr>
              <w:jc w:val="center"/>
              <w:rPr>
                <w:rFonts w:hint="eastAsia" w:ascii="仿宋" w:hAnsi="仿宋" w:eastAsia="仿宋"/>
                <w:b/>
                <w:kern w:val="0"/>
                <w:sz w:val="24"/>
                <w:szCs w:val="24"/>
              </w:rPr>
            </w:pPr>
            <w:r>
              <w:rPr>
                <w:rFonts w:hint="eastAsia" w:ascii="仿宋" w:hAnsi="仿宋" w:eastAsia="仿宋"/>
                <w:kern w:val="0"/>
                <w:sz w:val="24"/>
                <w:szCs w:val="24"/>
              </w:rPr>
              <w:t>报价</w:t>
            </w:r>
          </w:p>
        </w:tc>
        <w:tc>
          <w:tcPr>
            <w:tcW w:w="709" w:type="dxa"/>
            <w:vAlign w:val="center"/>
          </w:tcPr>
          <w:p>
            <w:pPr>
              <w:jc w:val="center"/>
              <w:rPr>
                <w:rFonts w:hint="default" w:ascii="仿宋" w:hAnsi="仿宋" w:eastAsia="仿宋"/>
                <w:color w:val="auto"/>
                <w:kern w:val="0"/>
                <w:sz w:val="24"/>
                <w:szCs w:val="24"/>
                <w:highlight w:val="none"/>
                <w:lang w:val="en-US"/>
              </w:rPr>
            </w:pPr>
            <w:r>
              <w:rPr>
                <w:rFonts w:hint="eastAsia" w:ascii="仿宋" w:hAnsi="仿宋" w:eastAsia="仿宋"/>
                <w:color w:val="auto"/>
                <w:kern w:val="0"/>
                <w:sz w:val="24"/>
                <w:szCs w:val="24"/>
                <w:highlight w:val="none"/>
                <w:lang w:val="en-US" w:eastAsia="zh-CN"/>
              </w:rPr>
              <w:t>30</w:t>
            </w:r>
          </w:p>
        </w:tc>
        <w:tc>
          <w:tcPr>
            <w:tcW w:w="6237" w:type="dxa"/>
            <w:vAlign w:val="center"/>
          </w:tcPr>
          <w:p>
            <w:pPr>
              <w:jc w:val="left"/>
              <w:rPr>
                <w:rFonts w:hint="default" w:ascii="仿宋" w:hAnsi="仿宋" w:eastAsia="仿宋"/>
                <w:b/>
                <w:color w:val="auto"/>
                <w:sz w:val="24"/>
                <w:szCs w:val="24"/>
                <w:highlight w:val="none"/>
                <w:lang w:val="en-US" w:eastAsia="zh-CN"/>
              </w:rPr>
            </w:pPr>
            <w:r>
              <w:rPr>
                <w:rFonts w:hint="eastAsia" w:ascii="仿宋" w:hAnsi="仿宋" w:eastAsia="仿宋" w:cs="宋体"/>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0" w:type="auto"/>
            <w:vAlign w:val="center"/>
          </w:tcPr>
          <w:p>
            <w:pPr>
              <w:jc w:val="center"/>
              <w:rPr>
                <w:rFonts w:hint="eastAsia" w:ascii="仿宋" w:hAnsi="仿宋" w:eastAsia="仿宋" w:cs="宋体"/>
                <w:sz w:val="24"/>
                <w:szCs w:val="24"/>
              </w:rPr>
            </w:pPr>
            <w:r>
              <w:rPr>
                <w:rFonts w:hint="eastAsia" w:ascii="仿宋" w:hAnsi="仿宋" w:eastAsia="仿宋" w:cs="宋体"/>
                <w:sz w:val="24"/>
                <w:szCs w:val="24"/>
              </w:rPr>
              <w:t>2</w:t>
            </w:r>
          </w:p>
        </w:tc>
        <w:tc>
          <w:tcPr>
            <w:tcW w:w="1308" w:type="dxa"/>
            <w:vAlign w:val="center"/>
          </w:tcPr>
          <w:p>
            <w:pPr>
              <w:jc w:val="center"/>
              <w:rPr>
                <w:rFonts w:hint="eastAsia" w:ascii="仿宋" w:hAnsi="仿宋" w:eastAsia="仿宋" w:cs="宋体"/>
                <w:sz w:val="24"/>
                <w:szCs w:val="24"/>
              </w:rPr>
            </w:pPr>
            <w:r>
              <w:rPr>
                <w:rFonts w:hint="eastAsia" w:ascii="仿宋" w:hAnsi="仿宋" w:eastAsia="仿宋" w:cs="宋体"/>
                <w:sz w:val="24"/>
                <w:szCs w:val="24"/>
              </w:rPr>
              <w:t>服务团队能力</w:t>
            </w:r>
          </w:p>
        </w:tc>
        <w:tc>
          <w:tcPr>
            <w:tcW w:w="709" w:type="dxa"/>
            <w:vAlign w:val="center"/>
          </w:tcPr>
          <w:p>
            <w:pPr>
              <w:jc w:val="center"/>
              <w:rPr>
                <w:rFonts w:hint="default" w:ascii="仿宋" w:hAnsi="仿宋" w:eastAsia="仿宋" w:cs="宋体"/>
                <w:sz w:val="24"/>
                <w:szCs w:val="24"/>
                <w:lang w:val="en-US"/>
              </w:rPr>
            </w:pPr>
            <w:r>
              <w:rPr>
                <w:rFonts w:hint="eastAsia" w:ascii="仿宋" w:hAnsi="仿宋" w:eastAsia="仿宋" w:cs="宋体"/>
                <w:sz w:val="24"/>
                <w:szCs w:val="24"/>
                <w:lang w:val="en-US" w:eastAsia="zh-CN"/>
              </w:rPr>
              <w:t>20</w:t>
            </w:r>
          </w:p>
        </w:tc>
        <w:tc>
          <w:tcPr>
            <w:tcW w:w="6237" w:type="dxa"/>
            <w:vAlign w:val="center"/>
          </w:tcPr>
          <w:p>
            <w:pPr>
              <w:jc w:val="left"/>
              <w:rPr>
                <w:rFonts w:hint="eastAsia" w:ascii="仿宋" w:hAnsi="仿宋" w:eastAsia="仿宋" w:cs="宋体"/>
                <w:sz w:val="24"/>
                <w:szCs w:val="24"/>
              </w:rPr>
            </w:pPr>
            <w:bookmarkStart w:id="10" w:name="OLE_LINK2"/>
            <w:r>
              <w:rPr>
                <w:rFonts w:hint="eastAsia" w:ascii="仿宋" w:hAnsi="仿宋" w:eastAsia="仿宋" w:cs="宋体"/>
                <w:sz w:val="24"/>
                <w:szCs w:val="24"/>
              </w:rPr>
              <w:t>（1）服务团队中的人员具备</w:t>
            </w:r>
            <w:r>
              <w:rPr>
                <w:rFonts w:hint="eastAsia" w:ascii="仿宋" w:hAnsi="仿宋" w:eastAsia="仿宋" w:cs="宋体"/>
                <w:sz w:val="24"/>
                <w:szCs w:val="24"/>
                <w:lang w:val="en-US" w:eastAsia="zh-CN"/>
              </w:rPr>
              <w:t>一级</w:t>
            </w:r>
            <w:r>
              <w:rPr>
                <w:rFonts w:hint="eastAsia" w:ascii="仿宋" w:hAnsi="仿宋" w:eastAsia="仿宋" w:cs="宋体"/>
                <w:sz w:val="24"/>
                <w:szCs w:val="24"/>
              </w:rPr>
              <w:t>注册建筑师</w:t>
            </w: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一级</w:t>
            </w:r>
            <w:r>
              <w:rPr>
                <w:rFonts w:hint="eastAsia" w:ascii="仿宋" w:hAnsi="仿宋" w:eastAsia="仿宋" w:cs="宋体"/>
                <w:sz w:val="24"/>
                <w:szCs w:val="24"/>
                <w:lang w:eastAsia="zh-CN"/>
              </w:rPr>
              <w:t>注册结构工程师、注册电气工程师、注册公用设备工程师</w:t>
            </w:r>
            <w:r>
              <w:rPr>
                <w:rFonts w:hint="eastAsia" w:ascii="仿宋" w:hAnsi="仿宋" w:eastAsia="仿宋" w:cs="宋体"/>
                <w:sz w:val="24"/>
                <w:szCs w:val="24"/>
              </w:rPr>
              <w:t>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pPr>
              <w:jc w:val="left"/>
              <w:rPr>
                <w:rFonts w:hint="eastAsia" w:ascii="仿宋" w:hAnsi="仿宋" w:eastAsia="仿宋" w:cs="宋体"/>
                <w:sz w:val="24"/>
                <w:szCs w:val="24"/>
              </w:rPr>
            </w:pPr>
            <w:r>
              <w:rPr>
                <w:rFonts w:hint="eastAsia" w:ascii="仿宋" w:hAnsi="仿宋" w:eastAsia="仿宋" w:cs="宋体"/>
                <w:sz w:val="24"/>
                <w:szCs w:val="24"/>
              </w:rPr>
              <w:t>（2）服务团队中的人员具备</w:t>
            </w:r>
            <w:r>
              <w:rPr>
                <w:rFonts w:hint="eastAsia" w:ascii="仿宋" w:hAnsi="仿宋" w:eastAsia="仿宋" w:cs="宋体"/>
                <w:sz w:val="24"/>
                <w:szCs w:val="24"/>
                <w:lang w:val="en-US" w:eastAsia="zh-CN"/>
              </w:rPr>
              <w:t>土建高</w:t>
            </w:r>
            <w:r>
              <w:rPr>
                <w:rFonts w:hint="eastAsia" w:ascii="仿宋" w:hAnsi="仿宋" w:eastAsia="仿宋" w:cs="宋体"/>
                <w:sz w:val="24"/>
                <w:szCs w:val="24"/>
              </w:rPr>
              <w:t>级</w:t>
            </w:r>
            <w:r>
              <w:rPr>
                <w:rFonts w:hint="eastAsia" w:ascii="仿宋" w:hAnsi="仿宋" w:eastAsia="仿宋" w:cs="宋体"/>
                <w:sz w:val="24"/>
                <w:szCs w:val="24"/>
                <w:lang w:val="en-US" w:eastAsia="zh-CN"/>
              </w:rPr>
              <w:t>工程师</w:t>
            </w:r>
            <w:r>
              <w:rPr>
                <w:rFonts w:hint="eastAsia" w:ascii="仿宋" w:hAnsi="仿宋" w:eastAsia="仿宋" w:cs="宋体"/>
                <w:sz w:val="24"/>
                <w:szCs w:val="24"/>
              </w:rPr>
              <w:t>证书的，每提供1人得</w:t>
            </w:r>
            <w:r>
              <w:rPr>
                <w:rFonts w:hint="eastAsia" w:ascii="仿宋" w:hAnsi="仿宋" w:eastAsia="仿宋" w:cs="宋体"/>
                <w:sz w:val="24"/>
                <w:szCs w:val="24"/>
                <w:lang w:val="en-US" w:eastAsia="zh-CN"/>
              </w:rPr>
              <w:t>5</w:t>
            </w:r>
            <w:r>
              <w:rPr>
                <w:rFonts w:hint="eastAsia" w:ascii="仿宋" w:hAnsi="仿宋" w:eastAsia="仿宋" w:cs="宋体"/>
                <w:sz w:val="24"/>
                <w:szCs w:val="24"/>
              </w:rPr>
              <w:t>分，最高得</w:t>
            </w:r>
            <w:r>
              <w:rPr>
                <w:rFonts w:hint="eastAsia" w:ascii="仿宋" w:hAnsi="仿宋" w:eastAsia="仿宋" w:cs="宋体"/>
                <w:sz w:val="24"/>
                <w:szCs w:val="24"/>
                <w:lang w:val="en-US" w:eastAsia="zh-CN"/>
              </w:rPr>
              <w:t>10</w:t>
            </w:r>
            <w:r>
              <w:rPr>
                <w:rFonts w:hint="eastAsia" w:ascii="仿宋" w:hAnsi="仿宋" w:eastAsia="仿宋" w:cs="宋体"/>
                <w:sz w:val="24"/>
                <w:szCs w:val="24"/>
              </w:rPr>
              <w:t>分。</w:t>
            </w:r>
          </w:p>
          <w:p>
            <w:pPr>
              <w:jc w:val="left"/>
              <w:rPr>
                <w:rFonts w:hint="eastAsia"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20</w:t>
            </w:r>
            <w:r>
              <w:rPr>
                <w:rFonts w:hint="eastAsia" w:ascii="仿宋" w:hAnsi="仿宋" w:eastAsia="仿宋" w:cs="宋体"/>
                <w:b/>
                <w:bCs/>
                <w:sz w:val="24"/>
                <w:szCs w:val="24"/>
              </w:rPr>
              <w:t>分。</w:t>
            </w:r>
          </w:p>
          <w:bookmarkEnd w:id="10"/>
          <w:p>
            <w:pPr>
              <w:jc w:val="left"/>
              <w:rPr>
                <w:rFonts w:hint="eastAsia" w:ascii="仿宋" w:hAnsi="仿宋" w:eastAsia="仿宋" w:cs="宋体"/>
                <w:sz w:val="24"/>
                <w:szCs w:val="24"/>
              </w:rPr>
            </w:pPr>
            <w:r>
              <w:rPr>
                <w:rFonts w:hint="eastAsia" w:ascii="仿宋" w:hAnsi="仿宋" w:eastAsia="仿宋" w:cs="宋体"/>
                <w:b/>
                <w:bCs/>
                <w:sz w:val="24"/>
                <w:szCs w:val="24"/>
              </w:rPr>
              <w:t>【评审依据】：</w:t>
            </w:r>
            <w:r>
              <w:rPr>
                <w:rFonts w:hint="eastAsia" w:ascii="仿宋" w:hAnsi="仿宋" w:eastAsia="仿宋" w:cs="宋体"/>
                <w:b/>
                <w:bCs/>
                <w:color w:val="0000FF"/>
                <w:sz w:val="24"/>
                <w:szCs w:val="24"/>
              </w:rPr>
              <w:t>1）</w:t>
            </w:r>
            <w:bookmarkStart w:id="11" w:name="OLE_LINK6"/>
            <w:r>
              <w:rPr>
                <w:rFonts w:hint="eastAsia" w:ascii="仿宋" w:hAnsi="仿宋" w:eastAsia="仿宋" w:cs="宋体"/>
                <w:b/>
                <w:bCs/>
                <w:color w:val="0000FF"/>
                <w:sz w:val="24"/>
                <w:szCs w:val="24"/>
              </w:rPr>
              <w:t>响应文件中提供以上人员证书扫描件，供应商已为其缴纳社保的承诺函并加盖供应商公章</w:t>
            </w:r>
            <w:r>
              <w:rPr>
                <w:rFonts w:hint="eastAsia" w:ascii="仿宋" w:hAnsi="仿宋" w:eastAsia="仿宋" w:cs="宋体"/>
                <w:b/>
                <w:bCs/>
                <w:color w:val="0000FF"/>
                <w:sz w:val="24"/>
                <w:szCs w:val="24"/>
                <w:lang w:eastAsia="zh-CN"/>
              </w:rPr>
              <w:t>；</w:t>
            </w:r>
            <w:r>
              <w:rPr>
                <w:rFonts w:hint="eastAsia" w:ascii="仿宋" w:hAnsi="仿宋" w:eastAsia="仿宋" w:cs="宋体"/>
                <w:b/>
                <w:bCs/>
                <w:sz w:val="24"/>
                <w:szCs w:val="24"/>
              </w:rPr>
              <w:t>未提供或提供的证明材料不齐全的不得分。</w:t>
            </w:r>
            <w:bookmarkEnd w:id="11"/>
            <w:r>
              <w:rPr>
                <w:rFonts w:hint="eastAsia" w:ascii="仿宋" w:hAnsi="仿宋" w:eastAsia="仿宋" w:cs="宋体"/>
                <w:b/>
                <w:bCs/>
                <w:sz w:val="24"/>
                <w:szCs w:val="24"/>
              </w:rPr>
              <w:t>2）服务团队中人员证书不得复用，否则不予加分。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pPr>
              <w:jc w:val="center"/>
              <w:rPr>
                <w:rFonts w:hint="eastAsia" w:ascii="仿宋" w:hAnsi="仿宋" w:eastAsia="仿宋" w:cs="宋体"/>
                <w:sz w:val="24"/>
                <w:szCs w:val="24"/>
                <w:lang w:eastAsia="zh-CN"/>
              </w:rPr>
            </w:pPr>
            <w:r>
              <w:rPr>
                <w:rFonts w:hint="eastAsia" w:ascii="仿宋" w:hAnsi="仿宋" w:eastAsia="仿宋" w:cs="宋体"/>
                <w:sz w:val="24"/>
                <w:szCs w:val="24"/>
                <w:lang w:val="en-US" w:eastAsia="zh-CN"/>
              </w:rPr>
              <w:t>3</w:t>
            </w:r>
          </w:p>
        </w:tc>
        <w:tc>
          <w:tcPr>
            <w:tcW w:w="1308" w:type="dxa"/>
            <w:vAlign w:val="center"/>
          </w:tcPr>
          <w:p>
            <w:pPr>
              <w:jc w:val="center"/>
              <w:rPr>
                <w:rFonts w:hint="eastAsia" w:ascii="仿宋" w:hAnsi="仿宋" w:eastAsia="仿宋" w:cs="宋体"/>
                <w:sz w:val="24"/>
                <w:szCs w:val="24"/>
              </w:rPr>
            </w:pPr>
            <w:r>
              <w:rPr>
                <w:rFonts w:hint="eastAsia" w:ascii="仿宋" w:hAnsi="仿宋" w:eastAsia="仿宋" w:cs="宋体"/>
                <w:sz w:val="24"/>
                <w:szCs w:val="24"/>
              </w:rPr>
              <w:t>履约能力</w:t>
            </w:r>
          </w:p>
        </w:tc>
        <w:tc>
          <w:tcPr>
            <w:tcW w:w="709" w:type="dxa"/>
            <w:vAlign w:val="center"/>
          </w:tcPr>
          <w:p>
            <w:pPr>
              <w:jc w:val="center"/>
              <w:rPr>
                <w:rFonts w:hint="default" w:ascii="仿宋" w:hAnsi="仿宋" w:eastAsia="仿宋" w:cs="宋体"/>
                <w:sz w:val="24"/>
                <w:szCs w:val="24"/>
                <w:lang w:val="en-US" w:eastAsia="zh-CN"/>
              </w:rPr>
            </w:pPr>
            <w:r>
              <w:rPr>
                <w:rFonts w:hint="eastAsia" w:ascii="仿宋" w:hAnsi="仿宋" w:eastAsia="仿宋" w:cs="宋体"/>
                <w:sz w:val="24"/>
                <w:szCs w:val="24"/>
                <w:lang w:val="en-US" w:eastAsia="zh-CN"/>
              </w:rPr>
              <w:t>20</w:t>
            </w:r>
          </w:p>
        </w:tc>
        <w:tc>
          <w:tcPr>
            <w:tcW w:w="6237" w:type="dxa"/>
            <w:vAlign w:val="center"/>
          </w:tcPr>
          <w:p>
            <w:pPr>
              <w:jc w:val="left"/>
              <w:rPr>
                <w:rFonts w:hint="eastAsia" w:ascii="仿宋" w:hAnsi="仿宋" w:eastAsia="仿宋" w:cs="宋体"/>
                <w:sz w:val="24"/>
                <w:szCs w:val="24"/>
                <w:lang w:val="en-US" w:eastAsia="zh-CN"/>
              </w:rPr>
            </w:pPr>
            <w:r>
              <w:rPr>
                <w:rFonts w:hint="eastAsia" w:ascii="仿宋" w:hAnsi="仿宋" w:eastAsia="仿宋" w:cs="宋体"/>
                <w:sz w:val="24"/>
                <w:szCs w:val="24"/>
                <w:lang w:eastAsia="zh-CN"/>
              </w:rPr>
              <w:t>（</w:t>
            </w:r>
            <w:r>
              <w:rPr>
                <w:rFonts w:hint="eastAsia" w:ascii="仿宋" w:hAnsi="仿宋" w:eastAsia="仿宋" w:cs="宋体"/>
                <w:sz w:val="24"/>
                <w:szCs w:val="24"/>
                <w:lang w:val="en-US" w:eastAsia="zh-CN"/>
              </w:rPr>
              <w:t>1</w:t>
            </w:r>
            <w:r>
              <w:rPr>
                <w:rFonts w:hint="eastAsia" w:ascii="仿宋" w:hAnsi="仿宋" w:eastAsia="仿宋" w:cs="宋体"/>
                <w:sz w:val="24"/>
                <w:szCs w:val="24"/>
                <w:lang w:eastAsia="zh-CN"/>
              </w:rPr>
              <w:t>）</w:t>
            </w:r>
            <w:r>
              <w:rPr>
                <w:rFonts w:hint="eastAsia" w:ascii="仿宋" w:hAnsi="仿宋" w:eastAsia="仿宋" w:cs="宋体"/>
                <w:sz w:val="24"/>
                <w:szCs w:val="24"/>
              </w:rPr>
              <w:t>供应商提供自响应文件递交截止时间</w:t>
            </w:r>
            <w:r>
              <w:rPr>
                <w:rFonts w:hint="eastAsia" w:ascii="仿宋" w:hAnsi="仿宋" w:eastAsia="仿宋" w:cs="宋体"/>
                <w:sz w:val="24"/>
                <w:szCs w:val="24"/>
                <w:lang w:val="en-US" w:eastAsia="zh-CN"/>
              </w:rPr>
              <w:t>近两年内</w:t>
            </w:r>
            <w:r>
              <w:rPr>
                <w:rFonts w:hint="eastAsia" w:ascii="仿宋" w:hAnsi="仿宋" w:eastAsia="仿宋" w:cs="宋体"/>
                <w:sz w:val="24"/>
                <w:szCs w:val="24"/>
              </w:rPr>
              <w:t>（以合同签订日期为准）具有</w:t>
            </w:r>
            <w:r>
              <w:rPr>
                <w:rFonts w:hint="eastAsia" w:ascii="仿宋" w:hAnsi="仿宋" w:eastAsia="仿宋" w:cs="宋体"/>
                <w:sz w:val="24"/>
                <w:szCs w:val="24"/>
                <w:lang w:val="en-US" w:eastAsia="zh-CN"/>
              </w:rPr>
              <w:t>可行性研究报告撰写咨询</w:t>
            </w:r>
            <w:r>
              <w:rPr>
                <w:rFonts w:hint="eastAsia" w:ascii="仿宋" w:hAnsi="仿宋" w:eastAsia="仿宋" w:cs="宋体"/>
                <w:sz w:val="24"/>
                <w:szCs w:val="24"/>
              </w:rPr>
              <w:t>服务项目实施案例的,每提供一个加</w:t>
            </w:r>
            <w:r>
              <w:rPr>
                <w:rFonts w:hint="eastAsia" w:ascii="仿宋" w:hAnsi="仿宋" w:eastAsia="仿宋" w:cs="宋体"/>
                <w:sz w:val="24"/>
                <w:szCs w:val="24"/>
                <w:lang w:val="en-US" w:eastAsia="zh-CN"/>
              </w:rPr>
              <w:t>5</w:t>
            </w:r>
            <w:r>
              <w:rPr>
                <w:rFonts w:hint="eastAsia" w:ascii="仿宋" w:hAnsi="仿宋" w:eastAsia="仿宋" w:cs="宋体"/>
                <w:sz w:val="24"/>
                <w:szCs w:val="24"/>
              </w:rPr>
              <w:t>分。本</w:t>
            </w:r>
            <w:r>
              <w:rPr>
                <w:rFonts w:hint="eastAsia" w:ascii="仿宋" w:hAnsi="仿宋" w:eastAsia="仿宋" w:cs="宋体"/>
                <w:sz w:val="24"/>
                <w:szCs w:val="24"/>
                <w:lang w:val="en-US" w:eastAsia="zh-CN"/>
              </w:rPr>
              <w:t>项满分10分。</w:t>
            </w:r>
          </w:p>
          <w:p>
            <w:pPr>
              <w:jc w:val="left"/>
              <w:rPr>
                <w:rFonts w:hint="default" w:ascii="仿宋" w:hAnsi="仿宋" w:eastAsia="仿宋" w:cs="宋体"/>
                <w:color w:val="0000FF"/>
                <w:sz w:val="24"/>
                <w:szCs w:val="24"/>
                <w:lang w:val="en-US" w:eastAsia="zh-CN"/>
              </w:rPr>
            </w:pPr>
            <w:r>
              <w:rPr>
                <w:rFonts w:hint="eastAsia" w:ascii="仿宋" w:hAnsi="仿宋" w:eastAsia="仿宋" w:cs="宋体"/>
                <w:color w:val="0000FF"/>
                <w:sz w:val="24"/>
                <w:szCs w:val="24"/>
                <w:lang w:val="en-US" w:eastAsia="zh-CN"/>
              </w:rPr>
              <w:t>（2）供应商有工程咨询甲级资信加10分，乙级资</w:t>
            </w:r>
            <w:r>
              <w:rPr>
                <w:rFonts w:hint="default" w:ascii="仿宋" w:hAnsi="仿宋" w:eastAsia="仿宋" w:cs="宋体"/>
                <w:color w:val="0000FF"/>
                <w:sz w:val="24"/>
                <w:szCs w:val="24"/>
                <w:lang w:eastAsia="zh-CN"/>
                <w:woUserID w:val="1"/>
              </w:rPr>
              <w:t>信</w:t>
            </w:r>
            <w:bookmarkStart w:id="12" w:name="_GoBack"/>
            <w:bookmarkEnd w:id="12"/>
            <w:r>
              <w:rPr>
                <w:rFonts w:hint="eastAsia" w:ascii="仿宋" w:hAnsi="仿宋" w:eastAsia="仿宋" w:cs="宋体"/>
                <w:color w:val="0000FF"/>
                <w:sz w:val="24"/>
                <w:szCs w:val="24"/>
                <w:lang w:val="en-US" w:eastAsia="zh-CN"/>
              </w:rPr>
              <w:t>加5分。</w:t>
            </w:r>
          </w:p>
          <w:p>
            <w:pPr>
              <w:jc w:val="left"/>
              <w:rPr>
                <w:rFonts w:hint="default" w:ascii="仿宋" w:hAnsi="仿宋" w:eastAsia="仿宋" w:cs="宋体"/>
                <w:sz w:val="24"/>
                <w:szCs w:val="24"/>
                <w:lang w:val="en-US" w:eastAsia="zh-CN"/>
              </w:rPr>
            </w:pPr>
            <w:r>
              <w:rPr>
                <w:rFonts w:hint="eastAsia" w:ascii="仿宋" w:hAnsi="仿宋" w:eastAsia="仿宋" w:cs="宋体"/>
                <w:b/>
                <w:bCs/>
                <w:sz w:val="24"/>
                <w:szCs w:val="24"/>
              </w:rPr>
              <w:t>【评审依据】：响应文件中提供合同复印件</w:t>
            </w:r>
            <w:r>
              <w:rPr>
                <w:rFonts w:hint="eastAsia" w:ascii="仿宋" w:hAnsi="仿宋" w:eastAsia="仿宋" w:cs="宋体"/>
                <w:b/>
                <w:bCs/>
                <w:sz w:val="24"/>
                <w:szCs w:val="24"/>
                <w:lang w:val="en-US" w:eastAsia="zh-CN"/>
              </w:rPr>
              <w:t>和资信复印件</w:t>
            </w:r>
            <w:r>
              <w:rPr>
                <w:rFonts w:hint="eastAsia" w:ascii="仿宋" w:hAnsi="仿宋" w:eastAsia="仿宋" w:cs="宋体"/>
                <w:b/>
                <w:bCs/>
                <w:sz w:val="24"/>
                <w:szCs w:val="24"/>
              </w:rPr>
              <w:t>并加盖供应商公章。（合同复印件需提供合同首页、标的或内容所在页、签字盖章页）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shd w:val="clear" w:color="auto" w:fill="auto"/>
            <w:vAlign w:val="center"/>
          </w:tcPr>
          <w:p>
            <w:pPr>
              <w:jc w:val="left"/>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4</w:t>
            </w:r>
          </w:p>
        </w:tc>
        <w:tc>
          <w:tcPr>
            <w:tcW w:w="1308" w:type="dxa"/>
            <w:shd w:val="clear" w:color="auto" w:fill="auto"/>
            <w:vAlign w:val="center"/>
          </w:tcPr>
          <w:p>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rPr>
              <w:t>项目整体实施方案</w:t>
            </w:r>
          </w:p>
        </w:tc>
        <w:tc>
          <w:tcPr>
            <w:tcW w:w="709" w:type="dxa"/>
            <w:shd w:val="clear" w:color="auto" w:fill="auto"/>
            <w:vAlign w:val="center"/>
          </w:tcPr>
          <w:p>
            <w:pPr>
              <w:jc w:val="center"/>
              <w:rPr>
                <w:rFonts w:hint="eastAsia" w:ascii="仿宋" w:hAnsi="仿宋" w:eastAsia="仿宋" w:cs="宋体"/>
                <w:kern w:val="2"/>
                <w:sz w:val="24"/>
                <w:szCs w:val="24"/>
                <w:lang w:val="en-US" w:eastAsia="zh-CN" w:bidi="ar-SA"/>
              </w:rPr>
            </w:pPr>
            <w:r>
              <w:rPr>
                <w:rFonts w:hint="eastAsia" w:ascii="仿宋" w:hAnsi="仿宋" w:eastAsia="仿宋" w:cs="宋体"/>
                <w:sz w:val="24"/>
                <w:szCs w:val="24"/>
                <w:lang w:val="en-US" w:eastAsia="zh-CN"/>
              </w:rPr>
              <w:t>30</w:t>
            </w:r>
          </w:p>
        </w:tc>
        <w:tc>
          <w:tcPr>
            <w:tcW w:w="6237" w:type="dxa"/>
            <w:shd w:val="clear" w:color="auto" w:fill="auto"/>
            <w:vAlign w:val="center"/>
          </w:tcPr>
          <w:p>
            <w:pPr>
              <w:jc w:val="left"/>
              <w:rPr>
                <w:rFonts w:ascii="仿宋" w:hAnsi="仿宋" w:eastAsia="仿宋" w:cs="宋体"/>
                <w:sz w:val="24"/>
                <w:szCs w:val="24"/>
              </w:rPr>
            </w:pPr>
            <w:r>
              <w:rPr>
                <w:rFonts w:hint="eastAsia" w:ascii="仿宋" w:hAnsi="仿宋" w:eastAsia="仿宋" w:cs="宋体"/>
                <w:sz w:val="24"/>
                <w:szCs w:val="24"/>
              </w:rPr>
              <w:t>供应商根据本项目实施特点及技术要求，结合项目所在地现有情况制定实施方案，方案至少应包括：①</w:t>
            </w:r>
            <w:r>
              <w:rPr>
                <w:rFonts w:hint="eastAsia" w:ascii="仿宋" w:hAnsi="仿宋" w:eastAsia="仿宋" w:cs="宋体"/>
                <w:sz w:val="24"/>
                <w:szCs w:val="24"/>
                <w:lang w:val="en-US" w:eastAsia="zh-CN"/>
              </w:rPr>
              <w:t>充分了解项目</w:t>
            </w:r>
            <w:r>
              <w:rPr>
                <w:rFonts w:hint="default" w:ascii="仿宋" w:hAnsi="仿宋" w:eastAsia="仿宋" w:cs="宋体"/>
                <w:sz w:val="24"/>
                <w:szCs w:val="24"/>
                <w:lang w:val="en-US"/>
              </w:rPr>
              <w:t>情况</w:t>
            </w:r>
            <w:r>
              <w:rPr>
                <w:rFonts w:hint="eastAsia" w:ascii="仿宋" w:hAnsi="仿宋" w:eastAsia="仿宋" w:cs="宋体"/>
                <w:sz w:val="24"/>
                <w:szCs w:val="24"/>
                <w:lang w:val="en-US" w:eastAsia="zh-CN"/>
              </w:rPr>
              <w:t>并</w:t>
            </w:r>
            <w:r>
              <w:rPr>
                <w:rFonts w:hint="eastAsia" w:ascii="仿宋" w:hAnsi="仿宋" w:eastAsia="仿宋" w:cs="宋体"/>
                <w:sz w:val="24"/>
                <w:szCs w:val="24"/>
              </w:rPr>
              <w:t>对项目</w:t>
            </w:r>
            <w:r>
              <w:rPr>
                <w:rFonts w:hint="default" w:ascii="仿宋" w:hAnsi="仿宋" w:eastAsia="仿宋" w:cs="宋体"/>
                <w:sz w:val="24"/>
                <w:szCs w:val="24"/>
                <w:lang w:val="en-US"/>
              </w:rPr>
              <w:t>建设内容及项目估算提出建议方案</w:t>
            </w:r>
            <w:r>
              <w:rPr>
                <w:rFonts w:hint="eastAsia" w:ascii="仿宋" w:hAnsi="仿宋" w:eastAsia="仿宋" w:cs="宋体"/>
                <w:sz w:val="24"/>
                <w:szCs w:val="24"/>
              </w:rPr>
              <w:t>；②技术方案；③进度保障措施；④质量保障措施；⑤</w:t>
            </w:r>
            <w:r>
              <w:rPr>
                <w:rFonts w:hint="eastAsia" w:ascii="仿宋" w:hAnsi="仿宋" w:eastAsia="仿宋" w:cs="宋体"/>
                <w:sz w:val="24"/>
                <w:szCs w:val="24"/>
                <w:lang w:eastAsia="zh-CN"/>
              </w:rPr>
              <w:t>保密</w:t>
            </w:r>
            <w:r>
              <w:rPr>
                <w:rFonts w:hint="eastAsia" w:ascii="仿宋" w:hAnsi="仿宋" w:eastAsia="仿宋" w:cs="宋体"/>
                <w:sz w:val="24"/>
                <w:szCs w:val="24"/>
              </w:rPr>
              <w:t>措施；⑥售后保障服务。</w:t>
            </w:r>
          </w:p>
          <w:p>
            <w:pPr>
              <w:jc w:val="left"/>
              <w:rPr>
                <w:rFonts w:ascii="仿宋" w:hAnsi="仿宋" w:eastAsia="仿宋" w:cs="宋体"/>
                <w:b/>
                <w:bCs/>
                <w:sz w:val="24"/>
                <w:szCs w:val="24"/>
              </w:rPr>
            </w:pPr>
            <w:r>
              <w:rPr>
                <w:rFonts w:hint="eastAsia" w:ascii="仿宋" w:hAnsi="仿宋" w:eastAsia="仿宋" w:cs="宋体"/>
                <w:b/>
                <w:bCs/>
                <w:sz w:val="24"/>
                <w:szCs w:val="24"/>
              </w:rPr>
              <w:t>说明：评审小组根据方案的完整性、合理性及操作性等进行评价，以上①~⑥条方案内容全面、科学合理的每条得</w:t>
            </w:r>
            <w:r>
              <w:rPr>
                <w:rFonts w:hint="eastAsia" w:ascii="仿宋" w:hAnsi="仿宋" w:eastAsia="仿宋" w:cs="宋体"/>
                <w:b/>
                <w:bCs/>
                <w:sz w:val="24"/>
                <w:szCs w:val="24"/>
                <w:lang w:val="en-US" w:eastAsia="zh-CN"/>
              </w:rPr>
              <w:t>5</w:t>
            </w:r>
            <w:r>
              <w:rPr>
                <w:rFonts w:hint="eastAsia" w:ascii="仿宋" w:hAnsi="仿宋" w:eastAsia="仿宋" w:cs="宋体"/>
                <w:b/>
                <w:bCs/>
                <w:sz w:val="24"/>
                <w:szCs w:val="24"/>
              </w:rPr>
              <w:t>分；方案较完整、能满足基本保障要求的每条得</w:t>
            </w:r>
            <w:r>
              <w:rPr>
                <w:rFonts w:hint="eastAsia" w:ascii="仿宋" w:hAnsi="仿宋" w:eastAsia="仿宋" w:cs="宋体"/>
                <w:b/>
                <w:bCs/>
                <w:sz w:val="24"/>
                <w:szCs w:val="24"/>
                <w:lang w:val="en-US" w:eastAsia="zh-CN"/>
              </w:rPr>
              <w:t>3</w:t>
            </w:r>
            <w:r>
              <w:rPr>
                <w:rFonts w:hint="eastAsia" w:ascii="仿宋" w:hAnsi="仿宋" w:eastAsia="仿宋" w:cs="宋体"/>
                <w:b/>
                <w:bCs/>
                <w:sz w:val="24"/>
                <w:szCs w:val="24"/>
              </w:rPr>
              <w:t>分；方案有缺失、操作性一般的得</w:t>
            </w:r>
            <w:r>
              <w:rPr>
                <w:rFonts w:hint="eastAsia" w:ascii="仿宋" w:hAnsi="仿宋" w:eastAsia="仿宋" w:cs="宋体"/>
                <w:b/>
                <w:bCs/>
                <w:sz w:val="24"/>
                <w:szCs w:val="24"/>
                <w:lang w:val="en-US" w:eastAsia="zh-CN"/>
              </w:rPr>
              <w:t>1</w:t>
            </w:r>
            <w:r>
              <w:rPr>
                <w:rFonts w:hint="eastAsia" w:ascii="仿宋" w:hAnsi="仿宋" w:eastAsia="仿宋" w:cs="宋体"/>
                <w:b/>
                <w:bCs/>
                <w:sz w:val="24"/>
                <w:szCs w:val="24"/>
              </w:rPr>
              <w:t>分；其他不得分。</w:t>
            </w:r>
          </w:p>
          <w:p>
            <w:pPr>
              <w:jc w:val="left"/>
              <w:rPr>
                <w:rFonts w:ascii="仿宋" w:hAnsi="仿宋" w:eastAsia="仿宋" w:cs="宋体"/>
                <w:b/>
                <w:bCs/>
                <w:sz w:val="24"/>
                <w:szCs w:val="24"/>
              </w:rPr>
            </w:pPr>
            <w:r>
              <w:rPr>
                <w:rFonts w:hint="eastAsia" w:ascii="仿宋" w:hAnsi="仿宋" w:eastAsia="仿宋" w:cs="宋体"/>
                <w:b/>
                <w:bCs/>
                <w:sz w:val="24"/>
                <w:szCs w:val="24"/>
              </w:rPr>
              <w:t>本项满分</w:t>
            </w:r>
            <w:r>
              <w:rPr>
                <w:rFonts w:hint="eastAsia" w:ascii="仿宋" w:hAnsi="仿宋" w:eastAsia="仿宋" w:cs="宋体"/>
                <w:b/>
                <w:bCs/>
                <w:sz w:val="24"/>
                <w:szCs w:val="24"/>
                <w:lang w:val="en-US" w:eastAsia="zh-CN"/>
              </w:rPr>
              <w:t>30</w:t>
            </w:r>
            <w:r>
              <w:rPr>
                <w:rFonts w:hint="eastAsia" w:ascii="仿宋" w:hAnsi="仿宋" w:eastAsia="仿宋" w:cs="宋体"/>
                <w:b/>
                <w:bCs/>
                <w:sz w:val="24"/>
                <w:szCs w:val="24"/>
              </w:rPr>
              <w:t>分。</w:t>
            </w:r>
          </w:p>
          <w:p>
            <w:pPr>
              <w:jc w:val="left"/>
              <w:rPr>
                <w:rFonts w:hint="eastAsia" w:ascii="仿宋" w:hAnsi="仿宋" w:eastAsia="仿宋" w:cs="宋体"/>
                <w:kern w:val="2"/>
                <w:sz w:val="24"/>
                <w:szCs w:val="24"/>
                <w:lang w:val="en-US" w:eastAsia="zh-CN" w:bidi="ar-SA"/>
              </w:rPr>
            </w:pPr>
            <w:r>
              <w:rPr>
                <w:rFonts w:hint="eastAsia" w:ascii="仿宋" w:hAnsi="仿宋" w:eastAsia="仿宋" w:cs="宋体"/>
                <w:b/>
                <w:bCs/>
                <w:sz w:val="24"/>
                <w:szCs w:val="24"/>
              </w:rPr>
              <w:t>【评审依据】：响应文件中提供项目整体实施方案，未提供不得分。</w:t>
            </w:r>
          </w:p>
        </w:tc>
      </w:tr>
    </w:tbl>
    <w:p/>
    <w:p/>
    <w:p/>
    <w:p>
      <w:pP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br w:type="page"/>
      </w:r>
    </w:p>
    <w:p>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pPr>
        <w:adjustRightInd w:val="0"/>
        <w:snapToGrid w:val="0"/>
        <w:spacing w:line="360" w:lineRule="auto"/>
        <w:ind w:firstLine="480" w:firstLineChars="200"/>
        <w:jc w:val="left"/>
        <w:outlineLvl w:val="0"/>
        <w:rPr>
          <w:rFonts w:hint="eastAsia" w:ascii="仿宋" w:hAnsi="仿宋" w:eastAsia="仿宋"/>
          <w:sz w:val="24"/>
          <w:szCs w:val="24"/>
        </w:rPr>
      </w:pPr>
      <w:r>
        <w:rPr>
          <w:rFonts w:hint="eastAsia" w:ascii="仿宋" w:hAnsi="仿宋" w:eastAsia="仿宋"/>
          <w:b/>
          <w:sz w:val="24"/>
          <w:szCs w:val="24"/>
        </w:rPr>
        <w:t>一、询比响应声明：</w:t>
      </w:r>
      <w:r>
        <w:rPr>
          <w:rFonts w:hint="eastAsia" w:ascii="仿宋" w:hAnsi="仿宋" w:eastAsia="仿宋"/>
          <w:sz w:val="24"/>
          <w:szCs w:val="24"/>
        </w:rPr>
        <w:t>见附件1</w:t>
      </w:r>
    </w:p>
    <w:p>
      <w:pPr>
        <w:adjustRightInd w:val="0"/>
        <w:snapToGrid w:val="0"/>
        <w:spacing w:line="360" w:lineRule="auto"/>
        <w:ind w:firstLine="480"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二、供应商认为需要提供的资料（请根据评审因素和标准自行提供资料）</w:t>
      </w:r>
    </w:p>
    <w:p>
      <w:pPr>
        <w:pStyle w:val="17"/>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p>
      <w:pPr>
        <w:pStyle w:val="17"/>
        <w:ind w:left="0" w:leftChars="0" w:firstLine="0"/>
        <w:jc w:val="center"/>
        <w:rPr>
          <w:rFonts w:hint="eastAsia" w:ascii="宋体" w:hAnsi="宋体" w:eastAsia="仿宋" w:cs="宋体"/>
          <w:b/>
          <w:color w:val="333333"/>
          <w:kern w:val="0"/>
          <w:sz w:val="36"/>
          <w:szCs w:val="36"/>
        </w:rPr>
      </w:pPr>
    </w:p>
    <w:p>
      <w:pPr>
        <w:pStyle w:val="17"/>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pPr>
        <w:pStyle w:val="35"/>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pStyle w:val="11"/>
        <w:adjustRightInd w:val="0"/>
        <w:snapToGrid w:val="0"/>
        <w:spacing w:line="360" w:lineRule="auto"/>
        <w:rPr>
          <w:rFonts w:hint="eastAsia" w:ascii="仿宋_GB2312" w:hAnsi="宋体" w:eastAsia="仿宋_GB2312"/>
          <w:b/>
        </w:rPr>
      </w:pPr>
    </w:p>
    <w:p>
      <w:pPr>
        <w:rPr>
          <w:rFonts w:ascii="仿宋" w:hAnsi="仿宋" w:eastAsia="仿宋"/>
          <w:b/>
          <w:sz w:val="24"/>
          <w:szCs w:val="24"/>
        </w:rPr>
      </w:pPr>
      <w:r>
        <w:rPr>
          <w:rFonts w:ascii="仿宋" w:hAnsi="仿宋" w:eastAsia="仿宋"/>
          <w:b/>
          <w:sz w:val="24"/>
          <w:szCs w:val="24"/>
        </w:rPr>
        <w:br w:type="page"/>
      </w:r>
    </w:p>
    <w:p>
      <w:pPr>
        <w:pStyle w:val="11"/>
        <w:adjustRightInd w:val="0"/>
        <w:snapToGrid w:val="0"/>
        <w:spacing w:line="360" w:lineRule="auto"/>
        <w:rPr>
          <w:rFonts w:hint="eastAsia"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pPr>
        <w:adjustRightInd w:val="0"/>
        <w:snapToGrid w:val="0"/>
        <w:spacing w:line="360" w:lineRule="auto"/>
        <w:rPr>
          <w:rFonts w:hint="eastAsia" w:ascii="仿宋_GB2312" w:hAnsi="宋体" w:eastAsia="仿宋_GB2312"/>
          <w:sz w:val="24"/>
          <w:szCs w:val="24"/>
        </w:rPr>
      </w:pP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pPr>
        <w:snapToGrid w:val="0"/>
        <w:spacing w:line="360" w:lineRule="auto"/>
        <w:ind w:firstLine="480" w:firstLineChars="200"/>
        <w:jc w:val="left"/>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lang w:val="en-US" w:eastAsia="zh-CN"/>
        </w:rPr>
        <w:t xml:space="preserve">                （</w:t>
      </w:r>
      <w:r>
        <w:rPr>
          <w:rFonts w:hint="eastAsia" w:ascii="仿宋" w:hAnsi="仿宋" w:eastAsia="仿宋" w:cs="Times New Roman"/>
          <w:color w:val="auto"/>
          <w:sz w:val="24"/>
          <w:szCs w:val="24"/>
        </w:rPr>
        <w:t>项目</w:t>
      </w:r>
      <w:r>
        <w:rPr>
          <w:rFonts w:hint="eastAsia" w:ascii="仿宋" w:hAnsi="仿宋" w:eastAsia="仿宋" w:cs="Times New Roman"/>
          <w:color w:val="auto"/>
          <w:sz w:val="24"/>
          <w:szCs w:val="24"/>
          <w:lang w:val="en-US" w:eastAsia="zh-CN"/>
        </w:rPr>
        <w:t>名称）</w:t>
      </w:r>
      <w:r>
        <w:rPr>
          <w:rFonts w:hint="eastAsia" w:ascii="仿宋" w:hAnsi="仿宋" w:eastAsia="仿宋"/>
          <w:sz w:val="24"/>
          <w:szCs w:val="24"/>
        </w:rPr>
        <w:t>的询比采购文件的全部内容，知悉参加询比的风险，我方承诺接受询比采购文件的全部条款且无任何异议。</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pPr>
        <w:pStyle w:val="11"/>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pPr>
        <w:pStyle w:val="11"/>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pPr>
        <w:adjustRightInd w:val="0"/>
        <w:snapToGrid w:val="0"/>
        <w:spacing w:line="360" w:lineRule="auto"/>
        <w:ind w:right="24"/>
        <w:rPr>
          <w:rFonts w:hint="eastAsia" w:ascii="仿宋" w:hAnsi="仿宋" w:eastAsia="仿宋"/>
          <w:bCs/>
          <w:sz w:val="24"/>
          <w:szCs w:val="24"/>
        </w:rPr>
      </w:pPr>
    </w:p>
    <w:p>
      <w:pPr>
        <w:adjustRightInd w:val="0"/>
        <w:snapToGrid w:val="0"/>
        <w:spacing w:line="360" w:lineRule="auto"/>
        <w:ind w:right="24"/>
        <w:rPr>
          <w:rFonts w:hint="eastAsia" w:ascii="仿宋" w:hAnsi="仿宋" w:eastAsia="仿宋"/>
          <w:bCs/>
          <w:sz w:val="24"/>
          <w:szCs w:val="24"/>
        </w:rPr>
      </w:pP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法定代表人身份证明(法定代表人参加询比)</w:t>
      </w: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：法定代表人授权书(委托代理人参加询比)</w:t>
      </w:r>
    </w:p>
    <w:p>
      <w:pPr>
        <w:pStyle w:val="11"/>
        <w:adjustRightInd w:val="0"/>
        <w:snapToGrid w:val="0"/>
        <w:spacing w:line="360" w:lineRule="auto"/>
        <w:rPr>
          <w:rFonts w:hint="eastAsia" w:ascii="仿宋" w:hAnsi="仿宋" w:eastAsia="仿宋"/>
          <w:sz w:val="24"/>
          <w:szCs w:val="24"/>
        </w:rPr>
      </w:pPr>
    </w:p>
    <w:p>
      <w:pPr>
        <w:pStyle w:val="11"/>
        <w:adjustRightInd w:val="0"/>
        <w:snapToGrid w:val="0"/>
        <w:spacing w:line="360" w:lineRule="auto"/>
        <w:rPr>
          <w:rFonts w:hint="eastAsia" w:ascii="仿宋" w:hAnsi="仿宋" w:eastAsia="仿宋"/>
          <w:sz w:val="24"/>
          <w:szCs w:val="24"/>
        </w:rPr>
      </w:pPr>
    </w:p>
    <w:p>
      <w:pPr>
        <w:pStyle w:val="11"/>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adjustRightInd w:val="0"/>
        <w:snapToGrid w:val="0"/>
        <w:spacing w:line="360" w:lineRule="auto"/>
        <w:ind w:right="24"/>
        <w:rPr>
          <w:rFonts w:hint="eastAsia" w:ascii="仿宋" w:hAnsi="仿宋" w:eastAsia="仿宋"/>
          <w:bCs/>
          <w:sz w:val="24"/>
        </w:rPr>
      </w:pPr>
    </w:p>
    <w:p>
      <w:pPr>
        <w:adjustRightInd w:val="0"/>
        <w:snapToGrid w:val="0"/>
        <w:spacing w:line="360" w:lineRule="auto"/>
        <w:ind w:right="24"/>
        <w:rPr>
          <w:rFonts w:hint="eastAsia" w:ascii="仿宋_GB2312" w:hAnsi="华文中宋" w:eastAsia="仿宋_GB2312"/>
          <w:bCs/>
          <w:sz w:val="24"/>
        </w:rPr>
      </w:pPr>
    </w:p>
    <w:p>
      <w:pPr>
        <w:adjustRightInd w:val="0"/>
        <w:snapToGrid w:val="0"/>
        <w:spacing w:line="360" w:lineRule="auto"/>
        <w:ind w:right="24"/>
        <w:rPr>
          <w:rFonts w:hint="eastAsia" w:ascii="仿宋_GB2312" w:hAnsi="华文中宋" w:eastAsia="仿宋_GB2312"/>
          <w:bCs/>
          <w:sz w:val="24"/>
        </w:rPr>
      </w:pPr>
    </w:p>
    <w:p>
      <w:pPr>
        <w:adjustRightInd w:val="0"/>
        <w:snapToGrid w:val="0"/>
        <w:spacing w:line="360" w:lineRule="auto"/>
        <w:ind w:right="24"/>
        <w:rPr>
          <w:szCs w:val="21"/>
        </w:rPr>
      </w:pPr>
    </w:p>
    <w:p>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附1：</w:t>
      </w:r>
    </w:p>
    <w:p>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法定代表人身份证明(法定代表人参加询比)</w:t>
      </w:r>
    </w:p>
    <w:p>
      <w:pPr>
        <w:snapToGrid w:val="0"/>
        <w:spacing w:line="480" w:lineRule="auto"/>
        <w:rPr>
          <w:rFonts w:hint="eastAsia" w:ascii="仿宋" w:hAnsi="仿宋" w:eastAsia="仿宋"/>
          <w:sz w:val="24"/>
          <w:szCs w:val="24"/>
        </w:rPr>
      </w:pP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pPr>
        <w:snapToGrid w:val="0"/>
        <w:spacing w:line="480" w:lineRule="auto"/>
        <w:rPr>
          <w:rFonts w:hint="eastAsia" w:ascii="仿宋" w:hAnsi="仿宋" w:eastAsia="仿宋"/>
          <w:sz w:val="24"/>
          <w:szCs w:val="24"/>
        </w:rPr>
      </w:pPr>
    </w:p>
    <w:p>
      <w:pPr>
        <w:snapToGrid w:val="0"/>
        <w:rPr>
          <w:rFonts w:hint="eastAsia" w:ascii="仿宋" w:hAnsi="仿宋" w:eastAsia="仿宋"/>
          <w:sz w:val="24"/>
          <w:szCs w:val="24"/>
        </w:rPr>
      </w:pPr>
    </w:p>
    <w:p>
      <w:pPr>
        <w:snapToGrid w:val="0"/>
        <w:rPr>
          <w:rFonts w:hint="eastAsia" w:ascii="仿宋" w:hAnsi="仿宋" w:eastAsia="仿宋"/>
          <w:sz w:val="24"/>
          <w:szCs w:val="24"/>
        </w:rPr>
      </w:pPr>
    </w:p>
    <w:p>
      <w:pPr>
        <w:snapToGrid w:val="0"/>
        <w:rPr>
          <w:rFonts w:hint="eastAsia" w:ascii="仿宋" w:hAnsi="仿宋" w:eastAsia="仿宋"/>
          <w:sz w:val="24"/>
          <w:szCs w:val="24"/>
        </w:rPr>
      </w:pPr>
    </w:p>
    <w:p>
      <w:pPr>
        <w:snapToGrid w:val="0"/>
        <w:rPr>
          <w:rFonts w:hint="eastAsia" w:ascii="仿宋" w:hAnsi="仿宋" w:eastAsia="仿宋"/>
          <w:sz w:val="24"/>
          <w:szCs w:val="24"/>
        </w:rPr>
      </w:pPr>
    </w:p>
    <w:p>
      <w:pPr>
        <w:adjustRightInd w:val="0"/>
        <w:snapToGrid w:val="0"/>
        <w:spacing w:line="360" w:lineRule="auto"/>
        <w:rPr>
          <w:rFonts w:hint="eastAsia" w:ascii="仿宋" w:hAnsi="仿宋" w:eastAsia="仿宋"/>
          <w:sz w:val="24"/>
          <w:szCs w:val="24"/>
        </w:rPr>
      </w:pP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pPr>
        <w:adjustRightInd w:val="0"/>
        <w:snapToGrid w:val="0"/>
        <w:spacing w:before="156" w:beforeLines="50" w:line="360" w:lineRule="auto"/>
        <w:rPr>
          <w:rFonts w:hint="eastAsia" w:ascii="仿宋_GB2312" w:hAnsi="宋体" w:eastAsia="仿宋_GB2312"/>
          <w:sz w:val="24"/>
          <w:szCs w:val="24"/>
        </w:rPr>
      </w:pPr>
    </w:p>
    <w:p>
      <w:pPr>
        <w:adjustRightInd w:val="0"/>
        <w:snapToGrid w:val="0"/>
        <w:spacing w:before="156" w:beforeLines="50" w:line="360" w:lineRule="auto"/>
        <w:rPr>
          <w:rFonts w:hint="eastAsia" w:ascii="仿宋_GB2312" w:hAnsi="宋体" w:eastAsia="仿宋_GB2312"/>
          <w:sz w:val="24"/>
          <w:szCs w:val="24"/>
        </w:rPr>
      </w:pPr>
    </w:p>
    <w:p>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w:t>
      </w:r>
    </w:p>
    <w:p>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法定代表人授权书(委托代理人参加询比)</w:t>
      </w:r>
    </w:p>
    <w:p>
      <w:pPr>
        <w:adjustRightInd w:val="0"/>
        <w:snapToGrid w:val="0"/>
        <w:spacing w:line="360" w:lineRule="auto"/>
        <w:jc w:val="center"/>
        <w:rPr>
          <w:rFonts w:hint="eastAsia" w:ascii="仿宋" w:hAnsi="仿宋" w:eastAsia="仿宋"/>
          <w:b/>
          <w:sz w:val="24"/>
          <w:szCs w:val="24"/>
        </w:rPr>
      </w:pPr>
    </w:p>
    <w:p>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ascii="仿宋_GB2312" w:eastAsia="仿宋_GB2312"/>
          <w:sz w:val="24"/>
          <w:szCs w:val="24"/>
        </w:rPr>
      </w:pP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pPr>
        <w:spacing w:line="360" w:lineRule="exact"/>
        <w:rPr>
          <w:rFonts w:ascii="仿宋_GB2312" w:eastAsia="仿宋_GB2312"/>
          <w:b/>
          <w:sz w:val="24"/>
          <w:szCs w:val="24"/>
        </w:rPr>
      </w:pPr>
    </w:p>
    <w:p>
      <w:pPr>
        <w:spacing w:line="360" w:lineRule="exact"/>
        <w:rPr>
          <w:rFonts w:ascii="仿宋_GB2312" w:eastAsia="仿宋_GB2312"/>
          <w:b/>
          <w:sz w:val="24"/>
          <w:szCs w:val="24"/>
        </w:rPr>
      </w:pPr>
    </w:p>
    <w:p>
      <w:pPr>
        <w:pStyle w:val="17"/>
      </w:pPr>
    </w:p>
    <w:p/>
    <w:p/>
    <w:p>
      <w:pPr>
        <w:pStyle w:val="17"/>
        <w:ind w:left="0" w:leftChars="0" w:firstLine="0"/>
        <w:rPr>
          <w:rFonts w:hint="eastAsia" w:ascii="仿宋" w:hAnsi="仿宋" w:eastAsia="仿宋"/>
          <w:b/>
        </w:rPr>
      </w:pPr>
      <w:r>
        <w:rPr>
          <w:rFonts w:ascii="仿宋" w:hAnsi="仿宋" w:eastAsia="仿宋"/>
          <w:b/>
        </w:rPr>
        <w:t>附件2</w:t>
      </w:r>
      <w:r>
        <w:rPr>
          <w:rFonts w:hint="eastAsia" w:ascii="仿宋" w:hAnsi="仿宋" w:eastAsia="仿宋"/>
          <w:b/>
        </w:rPr>
        <w:t>：</w:t>
      </w:r>
    </w:p>
    <w:p>
      <w:pPr>
        <w:jc w:val="center"/>
        <w:rPr>
          <w:rFonts w:hint="eastAsia" w:ascii="仿宋" w:hAnsi="仿宋" w:eastAsia="仿宋"/>
          <w:b/>
          <w:sz w:val="32"/>
          <w:szCs w:val="32"/>
        </w:rPr>
      </w:pPr>
      <w:r>
        <w:rPr>
          <w:rFonts w:ascii="仿宋" w:hAnsi="仿宋" w:eastAsia="仿宋"/>
          <w:b/>
          <w:sz w:val="32"/>
          <w:szCs w:val="32"/>
        </w:rPr>
        <w:t>报价函</w:t>
      </w:r>
    </w:p>
    <w:p>
      <w:pPr>
        <w:rPr>
          <w:rFonts w:hint="eastAsia" w:ascii="仿宋" w:hAnsi="仿宋" w:eastAsia="仿宋"/>
          <w:sz w:val="24"/>
          <w:szCs w:val="24"/>
        </w:rPr>
      </w:pPr>
      <w:r>
        <w:rPr>
          <w:rFonts w:hint="eastAsia" w:ascii="仿宋" w:hAnsi="仿宋" w:eastAsia="仿宋"/>
          <w:sz w:val="24"/>
          <w:szCs w:val="24"/>
        </w:rPr>
        <w:t xml:space="preserve">                               </w:t>
      </w:r>
    </w:p>
    <w:p>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我公司仔细阅读了询比文件，清楚文件中关于本项目的相关采购需求。</w:t>
      </w:r>
    </w:p>
    <w:p>
      <w:pPr>
        <w:spacing w:line="480" w:lineRule="auto"/>
        <w:jc w:val="left"/>
        <w:rPr>
          <w:rFonts w:hint="eastAsia" w:ascii="仿宋" w:hAnsi="仿宋" w:eastAsia="仿宋" w:cs="宋体"/>
          <w:sz w:val="24"/>
          <w:szCs w:val="24"/>
        </w:rPr>
      </w:pPr>
      <w:r>
        <w:rPr>
          <w:rFonts w:hint="eastAsia" w:ascii="仿宋" w:hAnsi="仿宋" w:eastAsia="仿宋" w:cs="宋体"/>
          <w:sz w:val="24"/>
          <w:szCs w:val="24"/>
        </w:rPr>
        <w:t>我司最终报价：</w:t>
      </w:r>
    </w:p>
    <w:p>
      <w:pPr>
        <w:spacing w:line="480" w:lineRule="auto"/>
        <w:jc w:val="left"/>
        <w:rPr>
          <w:rFonts w:hint="eastAsia" w:ascii="仿宋" w:hAnsi="仿宋" w:eastAsia="仿宋" w:cs="宋体"/>
          <w:sz w:val="24"/>
          <w:szCs w:val="24"/>
        </w:rPr>
      </w:pPr>
    </w:p>
    <w:p>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lang w:val="en-US" w:eastAsia="zh-CN"/>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pPr>
        <w:pStyle w:val="17"/>
        <w:rPr>
          <w:rFonts w:hint="eastAsia" w:ascii="仿宋" w:hAnsi="仿宋" w:eastAsia="仿宋"/>
        </w:rPr>
      </w:pPr>
    </w:p>
    <w:p>
      <w:pPr>
        <w:pStyle w:val="17"/>
        <w:ind w:left="0" w:leftChars="0" w:firstLine="0"/>
        <w:rPr>
          <w:rFonts w:hint="eastAsia" w:ascii="仿宋" w:hAnsi="仿宋" w:eastAsia="仿宋"/>
        </w:rPr>
      </w:pPr>
    </w:p>
    <w:p>
      <w:pPr>
        <w:spacing w:line="360" w:lineRule="auto"/>
        <w:ind w:firstLine="640"/>
        <w:jc w:val="left"/>
        <w:rPr>
          <w:rFonts w:hint="eastAsia" w:ascii="仿宋" w:hAnsi="仿宋" w:eastAsia="仿宋"/>
          <w:sz w:val="24"/>
          <w:szCs w:val="24"/>
        </w:rPr>
      </w:pPr>
    </w:p>
    <w:p>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华文中宋">
    <w:altName w:val="汉仪书宋二KW"/>
    <w:panose1 w:val="02010600040101010101"/>
    <w:charset w:val="86"/>
    <w:family w:val="auto"/>
    <w:pitch w:val="default"/>
    <w:sig w:usb0="00000000" w:usb1="0000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Calibri Light">
    <w:altName w:val="Arial"/>
    <w:panose1 w:val="020F0302020204030204"/>
    <w:charset w:val="00"/>
    <w:family w:val="swiss"/>
    <w:pitch w:val="default"/>
    <w:sig w:usb0="00000000" w:usb1="00000000" w:usb2="00000009" w:usb3="00000000" w:csb0="200001FF" w:csb1="00000000"/>
  </w:font>
  <w:font w:name="仿宋_GB2312">
    <w:altName w:val="汉仪仿宋KW"/>
    <w:panose1 w:val="00000000000000000000"/>
    <w:charset w:val="86"/>
    <w:family w:val="modern"/>
    <w:pitch w:val="default"/>
    <w:sig w:usb0="00000000" w:usb1="00000000" w:usb2="00000000" w:usb3="00000000" w:csb0="00040000" w:csb1="00000000"/>
  </w:font>
  <w:font w:name="Tahoma">
    <w:altName w:val="Verdana"/>
    <w:panose1 w:val="020B0604030504040204"/>
    <w:charset w:val="00"/>
    <w:family w:val="swiss"/>
    <w:pitch w:val="default"/>
    <w:sig w:usb0="00000000" w:usb1="00000000" w:usb2="00000029" w:usb3="00000000" w:csb0="200101FF" w:csb1="20280000"/>
  </w:font>
  <w:font w:name="方正小标宋简体">
    <w:altName w:val="汉仪书宋二KW"/>
    <w:panose1 w:val="00000000000000000000"/>
    <w:charset w:val="86"/>
    <w:family w:val="script"/>
    <w:pitch w:val="default"/>
    <w:sig w:usb0="00000000" w:usb1="00000000" w:usb2="00000000" w:usb3="00000000" w:csb0="00040000" w:csb1="00000000"/>
  </w:font>
  <w:font w:name="方正仿宋_GB2312">
    <w:altName w:val="汉仪仿宋KW"/>
    <w:panose1 w:val="02000000000000000000"/>
    <w:charset w:val="86"/>
    <w:family w:val="auto"/>
    <w:pitch w:val="default"/>
    <w:sig w:usb0="00000000" w:usb1="00000000" w:usb2="00000012" w:usb3="00000000" w:csb0="00040001" w:csb1="00000000"/>
  </w:font>
  <w:font w:name="楷体_GB2312">
    <w:altName w:val="汉仪楷体KW"/>
    <w:panose1 w:val="00000000000000000000"/>
    <w:charset w:val="86"/>
    <w:family w:val="modern"/>
    <w:pitch w:val="default"/>
    <w:sig w:usb0="00000000" w:usb1="00000000" w:usb2="0000000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Georgia">
    <w:panose1 w:val="02040502050405020303"/>
    <w:charset w:val="00"/>
    <w:family w:val="auto"/>
    <w:pitch w:val="default"/>
    <w:sig w:usb0="00000287" w:usb1="00000000" w:usb2="00000000" w:usb3="00000000" w:csb0="2000009F"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Verdana">
    <w:panose1 w:val="020B0604030504040204"/>
    <w:charset w:val="00"/>
    <w:family w:val="auto"/>
    <w:pitch w:val="default"/>
    <w:sig w:usb0="A10006FF" w:usb1="4000205B" w:usb2="00000010" w:usb3="00000000" w:csb0="2000019F" w:csb1="00000000"/>
  </w:font>
  <w:font w:name="汉仪楷体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jc w:val="center"/>
    </w:pPr>
    <w:r>
      <w:fldChar w:fldCharType="begin"/>
    </w:r>
    <w:r>
      <w:instrText xml:space="preserve">PAGE   \* MERGEFORMAT</w:instrText>
    </w:r>
    <w:r>
      <w:fldChar w:fldCharType="separate"/>
    </w:r>
    <w:r>
      <w:rPr>
        <w:lang w:val="zh-CN"/>
      </w:rPr>
      <w:t>25</w:t>
    </w:r>
    <w:r>
      <w:fldChar w:fldCharType="end"/>
    </w:r>
  </w:p>
  <w:p>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framePr w:wrap="around" w:vAnchor="text" w:hAnchor="margin" w:xAlign="center" w:y="1"/>
      <w:rPr>
        <w:rStyle w:val="23"/>
      </w:rPr>
    </w:pPr>
    <w:r>
      <w:fldChar w:fldCharType="begin"/>
    </w:r>
    <w:r>
      <w:rPr>
        <w:rStyle w:val="23"/>
      </w:rPr>
      <w:instrText xml:space="preserve">PAGE  </w:instrText>
    </w:r>
    <w:r>
      <w:fldChar w:fldCharType="end"/>
    </w:r>
  </w:p>
  <w:p>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6C4E07"/>
    <w:multiLevelType w:val="singleLevel"/>
    <w:tmpl w:val="CB6C4E07"/>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4492BB2"/>
    <w:rsid w:val="2C702489"/>
    <w:rsid w:val="2D743531"/>
    <w:rsid w:val="2E176788"/>
    <w:rsid w:val="34324DB1"/>
    <w:rsid w:val="430A24DF"/>
    <w:rsid w:val="43762C29"/>
    <w:rsid w:val="48BA294E"/>
    <w:rsid w:val="4C9D259B"/>
    <w:rsid w:val="5E0467AD"/>
    <w:rsid w:val="5FFF26A8"/>
    <w:rsid w:val="730F622D"/>
    <w:rsid w:val="79C33270"/>
    <w:rsid w:val="7DAC2812"/>
    <w:rsid w:val="DFDF19A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nhideWhenUsed="0" w:uiPriority="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99"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0"/>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33"/>
    <w:qFormat/>
    <w:uiPriority w:val="9"/>
    <w:pPr>
      <w:keepNext/>
      <w:keepLines/>
      <w:spacing w:before="260" w:after="260" w:line="416" w:lineRule="auto"/>
      <w:outlineLvl w:val="1"/>
    </w:pPr>
    <w:rPr>
      <w:rFonts w:ascii="Cambria" w:hAnsi="Cambria" w:eastAsia="宋体" w:cs="宋体"/>
      <w:b/>
      <w:bCs/>
      <w:sz w:val="32"/>
      <w:szCs w:val="32"/>
    </w:rPr>
  </w:style>
  <w:style w:type="paragraph" w:styleId="4">
    <w:name w:val="heading 6"/>
    <w:basedOn w:val="1"/>
    <w:next w:val="1"/>
    <w:link w:val="37"/>
    <w:qFormat/>
    <w:uiPriority w:val="9"/>
    <w:pPr>
      <w:keepNext/>
      <w:keepLines/>
      <w:spacing w:before="240" w:after="64" w:line="320" w:lineRule="auto"/>
      <w:outlineLvl w:val="5"/>
    </w:pPr>
    <w:rPr>
      <w:rFonts w:ascii="Cambria" w:hAnsi="Cambria" w:eastAsia="宋体" w:cs="宋体"/>
      <w:b/>
      <w:bCs/>
      <w:sz w:val="24"/>
      <w:szCs w:val="24"/>
    </w:rPr>
  </w:style>
  <w:style w:type="character" w:default="1" w:styleId="21">
    <w:name w:val="Default Paragraph Font"/>
    <w:qFormat/>
    <w:uiPriority w:val="1"/>
  </w:style>
  <w:style w:type="table" w:default="1" w:styleId="19">
    <w:name w:val="Normal Table"/>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6"/>
    <w:qFormat/>
    <w:uiPriority w:val="99"/>
    <w:rPr>
      <w:rFonts w:ascii="宋体"/>
      <w:sz w:val="18"/>
      <w:szCs w:val="18"/>
    </w:rPr>
  </w:style>
  <w:style w:type="paragraph" w:styleId="7">
    <w:name w:val="annotation text"/>
    <w:basedOn w:val="1"/>
    <w:qFormat/>
    <w:uiPriority w:val="0"/>
    <w:pPr>
      <w:jc w:val="left"/>
    </w:pPr>
  </w:style>
  <w:style w:type="paragraph" w:styleId="8">
    <w:name w:val="Body Text"/>
    <w:basedOn w:val="1"/>
    <w:next w:val="1"/>
    <w:link w:val="38"/>
    <w:qFormat/>
    <w:uiPriority w:val="0"/>
    <w:pPr>
      <w:spacing w:after="120"/>
    </w:pPr>
    <w:rPr>
      <w:rFonts w:ascii="Times New Roman" w:hAnsi="Times New Roman"/>
      <w:szCs w:val="24"/>
    </w:rPr>
  </w:style>
  <w:style w:type="paragraph" w:styleId="9">
    <w:name w:val="Body Text Indent"/>
    <w:basedOn w:val="1"/>
    <w:next w:val="10"/>
    <w:qFormat/>
    <w:uiPriority w:val="99"/>
    <w:pPr>
      <w:spacing w:after="120"/>
      <w:ind w:left="420" w:leftChars="200"/>
    </w:pPr>
  </w:style>
  <w:style w:type="paragraph" w:styleId="10">
    <w:name w:val="annotation subject"/>
    <w:basedOn w:val="7"/>
    <w:next w:val="1"/>
    <w:qFormat/>
    <w:uiPriority w:val="0"/>
    <w:rPr>
      <w:b/>
      <w:bCs/>
    </w:rPr>
  </w:style>
  <w:style w:type="paragraph" w:styleId="11">
    <w:name w:val="Plain Text"/>
    <w:basedOn w:val="1"/>
    <w:link w:val="31"/>
    <w:qFormat/>
    <w:uiPriority w:val="0"/>
    <w:rPr>
      <w:rFonts w:ascii="宋体" w:hAnsi="Courier New"/>
      <w:kern w:val="0"/>
      <w:szCs w:val="20"/>
    </w:rPr>
  </w:style>
  <w:style w:type="paragraph" w:styleId="12">
    <w:name w:val="Date"/>
    <w:basedOn w:val="1"/>
    <w:next w:val="1"/>
    <w:link w:val="28"/>
    <w:qFormat/>
    <w:uiPriority w:val="99"/>
    <w:pPr>
      <w:ind w:left="100" w:leftChars="2500"/>
    </w:pPr>
  </w:style>
  <w:style w:type="paragraph" w:styleId="13">
    <w:name w:val="Body Text Indent 2"/>
    <w:basedOn w:val="1"/>
    <w:link w:val="42"/>
    <w:qFormat/>
    <w:uiPriority w:val="99"/>
    <w:pPr>
      <w:spacing w:after="120" w:line="480" w:lineRule="auto"/>
      <w:ind w:left="420" w:leftChars="200"/>
    </w:pPr>
    <w:rPr>
      <w:kern w:val="0"/>
      <w:sz w:val="24"/>
    </w:rPr>
  </w:style>
  <w:style w:type="paragraph" w:styleId="14">
    <w:name w:val="footer"/>
    <w:basedOn w:val="1"/>
    <w:link w:val="25"/>
    <w:qFormat/>
    <w:uiPriority w:val="99"/>
    <w:pPr>
      <w:tabs>
        <w:tab w:val="center" w:pos="4153"/>
        <w:tab w:val="right" w:pos="8306"/>
      </w:tabs>
      <w:snapToGrid w:val="0"/>
      <w:jc w:val="left"/>
    </w:pPr>
    <w:rPr>
      <w:sz w:val="18"/>
      <w:szCs w:val="18"/>
    </w:rPr>
  </w:style>
  <w:style w:type="paragraph" w:styleId="15">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16">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7">
    <w:name w:val="Body Text First Indent 2"/>
    <w:basedOn w:val="9"/>
    <w:next w:val="18"/>
    <w:qFormat/>
    <w:uiPriority w:val="99"/>
    <w:pPr>
      <w:spacing w:before="100" w:beforeAutospacing="1"/>
      <w:ind w:firstLine="420"/>
    </w:pPr>
    <w:rPr>
      <w:szCs w:val="21"/>
    </w:rPr>
  </w:style>
  <w:style w:type="paragraph" w:customStyle="1" w:styleId="18">
    <w:name w:val="正文1"/>
    <w:basedOn w:val="1"/>
    <w:qFormat/>
    <w:uiPriority w:val="0"/>
    <w:pPr>
      <w:spacing w:line="360" w:lineRule="auto"/>
      <w:ind w:firstLine="480" w:firstLineChars="200"/>
    </w:pPr>
    <w:rPr>
      <w:sz w:val="24"/>
    </w:rPr>
  </w:style>
  <w:style w:type="table" w:styleId="20">
    <w:name w:val="Table Grid"/>
    <w:basedOn w:val="1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22"/>
    <w:rPr>
      <w:b/>
    </w:rPr>
  </w:style>
  <w:style w:type="character" w:styleId="23">
    <w:name w:val="page number"/>
    <w:basedOn w:val="21"/>
    <w:qFormat/>
    <w:uiPriority w:val="0"/>
  </w:style>
  <w:style w:type="character" w:customStyle="1" w:styleId="24">
    <w:name w:val="页眉 字符"/>
    <w:basedOn w:val="21"/>
    <w:link w:val="15"/>
    <w:qFormat/>
    <w:uiPriority w:val="0"/>
    <w:rPr>
      <w:rFonts w:ascii="Calibri" w:hAnsi="Calibri" w:eastAsia="宋体" w:cs="Times New Roman"/>
      <w:sz w:val="18"/>
      <w:szCs w:val="18"/>
    </w:rPr>
  </w:style>
  <w:style w:type="character" w:customStyle="1" w:styleId="25">
    <w:name w:val="页脚 字符"/>
    <w:basedOn w:val="21"/>
    <w:link w:val="14"/>
    <w:qFormat/>
    <w:uiPriority w:val="99"/>
    <w:rPr>
      <w:rFonts w:ascii="Calibri" w:hAnsi="Calibri" w:eastAsia="宋体" w:cs="Times New Roman"/>
      <w:sz w:val="18"/>
      <w:szCs w:val="18"/>
    </w:rPr>
  </w:style>
  <w:style w:type="character" w:customStyle="1" w:styleId="26">
    <w:name w:val="文档结构图 字符"/>
    <w:basedOn w:val="21"/>
    <w:link w:val="6"/>
    <w:qFormat/>
    <w:uiPriority w:val="99"/>
    <w:rPr>
      <w:rFonts w:ascii="宋体" w:hAnsi="Calibri" w:eastAsia="宋体" w:cs="Times New Roman"/>
      <w:sz w:val="18"/>
      <w:szCs w:val="18"/>
    </w:rPr>
  </w:style>
  <w:style w:type="paragraph" w:customStyle="1" w:styleId="27">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8">
    <w:name w:val="日期 字符"/>
    <w:basedOn w:val="21"/>
    <w:link w:val="12"/>
    <w:qFormat/>
    <w:uiPriority w:val="99"/>
    <w:rPr>
      <w:rFonts w:ascii="Calibri" w:hAnsi="Calibri" w:eastAsia="宋体" w:cs="Times New Roman"/>
    </w:rPr>
  </w:style>
  <w:style w:type="paragraph" w:customStyle="1" w:styleId="29">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0">
    <w:name w:val="标题 1 字符"/>
    <w:basedOn w:val="21"/>
    <w:link w:val="2"/>
    <w:qFormat/>
    <w:uiPriority w:val="0"/>
    <w:rPr>
      <w:rFonts w:ascii="Cambria" w:hAnsi="Cambria" w:eastAsia="华文中宋" w:cs="Times New Roman"/>
      <w:b/>
      <w:bCs/>
      <w:sz w:val="44"/>
      <w:szCs w:val="28"/>
    </w:rPr>
  </w:style>
  <w:style w:type="character" w:customStyle="1" w:styleId="31">
    <w:name w:val="纯文本 字符"/>
    <w:link w:val="11"/>
    <w:qFormat/>
    <w:uiPriority w:val="0"/>
    <w:rPr>
      <w:rFonts w:ascii="宋体" w:hAnsi="Courier New"/>
      <w:sz w:val="21"/>
    </w:rPr>
  </w:style>
  <w:style w:type="character" w:customStyle="1" w:styleId="32">
    <w:name w:val="纯文本 Char"/>
    <w:basedOn w:val="21"/>
    <w:qFormat/>
    <w:uiPriority w:val="99"/>
    <w:rPr>
      <w:rFonts w:ascii="宋体" w:hAnsi="Courier New" w:cs="Courier New"/>
      <w:kern w:val="2"/>
      <w:sz w:val="21"/>
      <w:szCs w:val="21"/>
    </w:rPr>
  </w:style>
  <w:style w:type="character" w:customStyle="1" w:styleId="33">
    <w:name w:val="标题 2 字符"/>
    <w:basedOn w:val="21"/>
    <w:link w:val="3"/>
    <w:qFormat/>
    <w:uiPriority w:val="9"/>
    <w:rPr>
      <w:rFonts w:ascii="Cambria" w:hAnsi="Cambria" w:eastAsia="宋体" w:cs="宋体"/>
      <w:b/>
      <w:bCs/>
      <w:kern w:val="2"/>
      <w:sz w:val="32"/>
      <w:szCs w:val="32"/>
    </w:rPr>
  </w:style>
  <w:style w:type="paragraph" w:customStyle="1" w:styleId="34">
    <w:name w:val="Table Paragraph"/>
    <w:basedOn w:val="1"/>
    <w:qFormat/>
    <w:uiPriority w:val="1"/>
  </w:style>
  <w:style w:type="paragraph" w:customStyle="1" w:styleId="35">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6">
    <w:name w:val="Char1 Char Char Char Char Char Char Char"/>
    <w:basedOn w:val="1"/>
    <w:qFormat/>
    <w:uiPriority w:val="0"/>
    <w:rPr>
      <w:rFonts w:ascii="Tahoma" w:hAnsi="Tahoma"/>
      <w:sz w:val="24"/>
      <w:szCs w:val="20"/>
    </w:rPr>
  </w:style>
  <w:style w:type="character" w:customStyle="1" w:styleId="37">
    <w:name w:val="标题 6 字符"/>
    <w:basedOn w:val="21"/>
    <w:link w:val="4"/>
    <w:qFormat/>
    <w:uiPriority w:val="9"/>
    <w:rPr>
      <w:rFonts w:ascii="Cambria" w:hAnsi="Cambria" w:eastAsia="宋体" w:cs="宋体"/>
      <w:b/>
      <w:bCs/>
      <w:kern w:val="2"/>
      <w:sz w:val="24"/>
      <w:szCs w:val="24"/>
    </w:rPr>
  </w:style>
  <w:style w:type="character" w:customStyle="1" w:styleId="38">
    <w:name w:val="正文文本 字符"/>
    <w:basedOn w:val="21"/>
    <w:link w:val="8"/>
    <w:qFormat/>
    <w:uiPriority w:val="0"/>
    <w:rPr>
      <w:kern w:val="2"/>
      <w:sz w:val="21"/>
      <w:szCs w:val="24"/>
    </w:rPr>
  </w:style>
  <w:style w:type="paragraph" w:styleId="39">
    <w:name w:val="List Paragraph"/>
    <w:basedOn w:val="1"/>
    <w:qFormat/>
    <w:uiPriority w:val="34"/>
    <w:pPr>
      <w:ind w:firstLine="420" w:firstLineChars="200"/>
    </w:pPr>
    <w:rPr>
      <w:rFonts w:ascii="Times New Roman" w:hAnsi="Times New Roman"/>
      <w:szCs w:val="24"/>
    </w:rPr>
  </w:style>
  <w:style w:type="paragraph" w:customStyle="1" w:styleId="40">
    <w:name w:val="样式 宋体1"/>
    <w:basedOn w:val="1"/>
    <w:qFormat/>
    <w:uiPriority w:val="0"/>
    <w:pPr>
      <w:ind w:firstLine="420" w:firstLineChars="200"/>
      <w:jc w:val="left"/>
    </w:pPr>
    <w:rPr>
      <w:rFonts w:ascii="宋体" w:hAnsi="宋体" w:eastAsia="等线" w:cs="宋体"/>
      <w:szCs w:val="20"/>
    </w:rPr>
  </w:style>
  <w:style w:type="paragraph" w:customStyle="1" w:styleId="41">
    <w:name w:val="Normal_1"/>
    <w:qFormat/>
    <w:uiPriority w:val="0"/>
    <w:rPr>
      <w:rFonts w:ascii="Calibri" w:hAnsi="Calibri" w:eastAsia="宋体" w:cs="Times New Roman"/>
      <w:sz w:val="24"/>
      <w:szCs w:val="24"/>
      <w:lang w:val="en-US" w:eastAsia="zh-CN" w:bidi="ar-SA"/>
    </w:rPr>
  </w:style>
  <w:style w:type="character" w:customStyle="1" w:styleId="42">
    <w:name w:val="正文文本缩进 2 字符"/>
    <w:link w:val="13"/>
    <w:qFormat/>
    <w:uiPriority w:val="99"/>
    <w:rPr>
      <w:rFonts w:ascii="Calibri" w:hAnsi="Calibri"/>
      <w:sz w:val="24"/>
      <w:szCs w:val="22"/>
    </w:rPr>
  </w:style>
  <w:style w:type="paragraph" w:customStyle="1" w:styleId="43">
    <w:name w:val="01 文件标题"/>
    <w:basedOn w:val="1"/>
    <w:next w:val="1"/>
    <w:qFormat/>
    <w:uiPriority w:val="0"/>
    <w:pPr>
      <w:spacing w:line="560" w:lineRule="exact"/>
      <w:jc w:val="center"/>
    </w:pPr>
    <w:rPr>
      <w:rFonts w:ascii="方正小标宋简体" w:eastAsia="方正小标宋简体"/>
      <w:sz w:val="44"/>
    </w:rPr>
  </w:style>
  <w:style w:type="paragraph" w:customStyle="1" w:styleId="44">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5">
    <w:name w:val="04 二级标题"/>
    <w:basedOn w:val="3"/>
    <w:qFormat/>
    <w:uiPriority w:val="0"/>
    <w:pPr>
      <w:spacing w:before="0" w:after="0" w:line="560" w:lineRule="exact"/>
      <w:ind w:firstLine="200" w:firstLineChars="200"/>
    </w:pPr>
    <w:rPr>
      <w:rFonts w:ascii="楷体_GB2312" w:hAnsi="Times New Roman" w:eastAsia="楷体_GB2312"/>
      <w:b w:val="0"/>
    </w:rPr>
  </w:style>
  <w:style w:type="paragraph" w:customStyle="1" w:styleId="46">
    <w:name w:val="首行缩进"/>
    <w:basedOn w:val="1"/>
    <w:qFormat/>
    <w:uiPriority w:val="0"/>
    <w:pPr>
      <w:ind w:firstLine="72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11</Pages>
  <Words>3964</Words>
  <Characters>4074</Characters>
  <Paragraphs>254</Paragraphs>
  <TotalTime>2</TotalTime>
  <ScaleCrop>false</ScaleCrop>
  <LinksUpToDate>false</LinksUpToDate>
  <CharactersWithSpaces>4711</CharactersWithSpaces>
  <Application>WPS Office WWO_dingtalk_20240221035043-c523bba0e7</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2025-01-19T11:35:00Z</dcterms:created>
  <dc:creator>china</dc:creator>
  <cp:lastModifiedBy>彭希乔（熊曼希妈妈）</cp:lastModifiedBy>
  <cp:lastPrinted>2020-08-24T10:17:00Z</cp:lastPrinted>
  <dcterms:modified xsi:type="dcterms:W3CDTF">2026-04-08T15:00:09Z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D9293DCB7C7C475495FC0DF9396ABBF7_13</vt:lpwstr>
  </property>
  <property fmtid="{D5CDD505-2E9C-101B-9397-08002B2CF9AE}" pid="4" name="KSOTemplateDocerSaveRecord">
    <vt:lpwstr>eyJoZGlkIjoiNzczZjMxM2VmZjRkN2NmNTkwMjk1YmIwMDc3ODIxOTIiLCJ1c2VySWQiOiI0MjcxODIyNjAifQ==</vt:lpwstr>
  </property>
</Properties>
</file>