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E2A1C">
      <w:pPr>
        <w:adjustRightInd w:val="0"/>
        <w:snapToGrid w:val="0"/>
        <w:spacing w:line="360" w:lineRule="auto"/>
        <w:ind w:firstLine="405"/>
        <w:rPr>
          <w:rFonts w:ascii="仿宋_GB2312" w:hAnsi="华文中宋" w:eastAsia="仿宋_GB2312"/>
          <w:b/>
          <w:sz w:val="84"/>
          <w:szCs w:val="84"/>
        </w:rPr>
      </w:pPr>
    </w:p>
    <w:p w14:paraId="01FFE299">
      <w:pPr>
        <w:pStyle w:val="10"/>
        <w:jc w:val="center"/>
        <w:rPr>
          <w:rFonts w:ascii="黑体" w:hAnsi="黑体" w:eastAsia="黑体"/>
          <w:bCs/>
          <w:sz w:val="84"/>
          <w:szCs w:val="84"/>
          <w14:shadow w14:blurRad="50800" w14:dist="38100" w14:dir="2700000" w14:sx="100000" w14:sy="100000" w14:kx="0" w14:ky="0" w14:algn="tl">
            <w14:srgbClr w14:val="000000">
              <w14:alpha w14:val="60000"/>
            </w14:srgbClr>
          </w14:shadow>
        </w:rPr>
      </w:pPr>
      <w:r>
        <w:rPr>
          <w:rFonts w:hint="eastAsia" w:ascii="黑体" w:hAnsi="黑体" w:eastAsia="黑体"/>
          <w:sz w:val="84"/>
          <w:szCs w:val="84"/>
          <w14:shadow w14:blurRad="50800" w14:dist="38100" w14:dir="2700000" w14:sx="100000" w14:sy="100000" w14:kx="0" w14:ky="0" w14:algn="tl">
            <w14:srgbClr w14:val="000000">
              <w14:alpha w14:val="60000"/>
            </w14:srgbClr>
          </w14:shadow>
        </w:rPr>
        <w:t>询 比</w:t>
      </w:r>
      <w:r>
        <w:rPr>
          <w:rFonts w:hint="eastAsia" w:ascii="黑体" w:hAnsi="黑体" w:eastAsia="黑体"/>
          <w:bCs/>
          <w:sz w:val="84"/>
          <w:szCs w:val="84"/>
          <w14:shadow w14:blurRad="50800" w14:dist="38100" w14:dir="2700000" w14:sx="100000" w14:sy="100000" w14:kx="0" w14:ky="0" w14:algn="tl">
            <w14:srgbClr w14:val="000000">
              <w14:alpha w14:val="60000"/>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sz w:val="84"/>
          <w:szCs w:val="84"/>
          <w14:shadow w14:blurRad="50800" w14:dist="38100" w14:dir="2700000" w14:sx="100000" w14:sy="100000" w14:kx="0" w14:ky="0" w14:algn="tl">
            <w14:srgbClr w14:val="000000">
              <w14:alpha w14:val="60000"/>
            </w14:srgbClr>
          </w14:shadow>
        </w:rPr>
        <w:t>件</w:t>
      </w:r>
    </w:p>
    <w:p w14:paraId="5400D673">
      <w:pPr>
        <w:pStyle w:val="10"/>
        <w:adjustRightInd w:val="0"/>
        <w:snapToGrid w:val="0"/>
        <w:spacing w:line="360" w:lineRule="auto"/>
        <w:ind w:left="846" w:leftChars="403" w:firstLine="157" w:firstLineChars="49"/>
        <w:rPr>
          <w:rFonts w:ascii="黑体" w:hAnsi="黑体" w:eastAsia="黑体"/>
          <w:b/>
          <w:sz w:val="32"/>
          <w:szCs w:val="32"/>
        </w:rPr>
      </w:pPr>
    </w:p>
    <w:p w14:paraId="1D8F80E4">
      <w:pPr>
        <w:pStyle w:val="10"/>
        <w:adjustRightInd w:val="0"/>
        <w:snapToGrid w:val="0"/>
        <w:spacing w:line="360" w:lineRule="auto"/>
        <w:ind w:left="846" w:leftChars="403" w:firstLine="157" w:firstLineChars="49"/>
        <w:rPr>
          <w:rFonts w:ascii="黑体" w:hAnsi="黑体" w:eastAsia="黑体"/>
          <w:b/>
          <w:sz w:val="32"/>
          <w:szCs w:val="32"/>
        </w:rPr>
      </w:pPr>
    </w:p>
    <w:p w14:paraId="072F8CF6">
      <w:pPr>
        <w:pStyle w:val="10"/>
        <w:adjustRightInd w:val="0"/>
        <w:snapToGrid w:val="0"/>
        <w:spacing w:line="360" w:lineRule="auto"/>
        <w:ind w:left="846" w:leftChars="403" w:firstLine="157" w:firstLineChars="49"/>
        <w:rPr>
          <w:rFonts w:ascii="黑体" w:hAnsi="黑体" w:eastAsia="黑体"/>
          <w:b/>
          <w:sz w:val="32"/>
          <w:szCs w:val="32"/>
        </w:rPr>
      </w:pPr>
    </w:p>
    <w:p w14:paraId="6505A8CE">
      <w:pPr>
        <w:pStyle w:val="10"/>
        <w:adjustRightInd w:val="0"/>
        <w:snapToGrid w:val="0"/>
        <w:spacing w:line="360" w:lineRule="auto"/>
        <w:ind w:left="846" w:leftChars="403" w:firstLine="157" w:firstLineChars="49"/>
        <w:rPr>
          <w:rFonts w:ascii="黑体" w:hAnsi="黑体" w:eastAsia="黑体"/>
          <w:b/>
          <w:sz w:val="32"/>
          <w:szCs w:val="32"/>
        </w:rPr>
      </w:pPr>
    </w:p>
    <w:p w14:paraId="1DD4CC30">
      <w:pPr>
        <w:pStyle w:val="10"/>
        <w:adjustRightInd w:val="0"/>
        <w:snapToGrid w:val="0"/>
        <w:spacing w:line="360" w:lineRule="auto"/>
        <w:ind w:left="846" w:leftChars="403" w:firstLine="157" w:firstLineChars="49"/>
        <w:rPr>
          <w:rFonts w:ascii="黑体" w:hAnsi="黑体" w:eastAsia="黑体"/>
          <w:b/>
          <w:sz w:val="32"/>
          <w:szCs w:val="32"/>
        </w:rPr>
      </w:pPr>
    </w:p>
    <w:p w14:paraId="4ADE14BC">
      <w:pPr>
        <w:pStyle w:val="41"/>
        <w:spacing w:before="312" w:beforeLines="100" w:after="312" w:afterLines="100"/>
        <w:ind w:firstLine="320" w:firstLineChars="100"/>
        <w:jc w:val="both"/>
        <w:rPr>
          <w:rFonts w:ascii="黑体" w:hAnsi="黑体" w:eastAsia="黑体"/>
          <w:kern w:val="0"/>
          <w:sz w:val="32"/>
          <w:szCs w:val="32"/>
        </w:rPr>
      </w:pPr>
      <w:r>
        <w:rPr>
          <w:rFonts w:ascii="黑体" w:hAnsi="黑体" w:eastAsia="黑体"/>
          <w:sz w:val="32"/>
          <w:szCs w:val="32"/>
        </w:rPr>
        <w:t>采购项目名称：</w:t>
      </w:r>
      <w:bookmarkStart w:id="14" w:name="_GoBack"/>
      <w:r>
        <w:rPr>
          <w:rFonts w:ascii="黑体" w:hAnsi="黑体" w:eastAsia="黑体" w:cs="Times New Roman"/>
          <w:kern w:val="2"/>
          <w:sz w:val="32"/>
          <w:szCs w:val="32"/>
          <w:lang w:val="en-US" w:eastAsia="zh-CN" w:bidi="ar-SA"/>
        </w:rPr>
        <w:t>田心校区、云龙校区校园网络维护服务</w:t>
      </w:r>
    </w:p>
    <w:bookmarkEnd w:id="14"/>
    <w:p w14:paraId="6B5B6E03">
      <w:pPr>
        <w:pStyle w:val="10"/>
        <w:adjustRightInd w:val="0"/>
        <w:snapToGrid w:val="0"/>
        <w:spacing w:before="312" w:beforeLines="100" w:after="312" w:afterLines="100" w:line="360" w:lineRule="auto"/>
        <w:ind w:firstLine="320" w:firstLineChars="100"/>
        <w:rPr>
          <w:rFonts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湖南铁道职业技术学院      </w:t>
      </w:r>
    </w:p>
    <w:p w14:paraId="4200B993">
      <w:pPr>
        <w:pStyle w:val="10"/>
        <w:adjustRightInd w:val="0"/>
        <w:snapToGrid w:val="0"/>
        <w:spacing w:line="440" w:lineRule="exact"/>
        <w:jc w:val="center"/>
        <w:rPr>
          <w:rFonts w:ascii="黑体" w:hAnsi="黑体" w:eastAsia="黑体"/>
          <w:b/>
          <w:sz w:val="32"/>
        </w:rPr>
      </w:pPr>
    </w:p>
    <w:p w14:paraId="12277452">
      <w:pPr>
        <w:pStyle w:val="10"/>
        <w:adjustRightInd w:val="0"/>
        <w:snapToGrid w:val="0"/>
        <w:spacing w:line="440" w:lineRule="exact"/>
        <w:jc w:val="center"/>
        <w:rPr>
          <w:rFonts w:ascii="黑体" w:hAnsi="黑体" w:eastAsia="黑体"/>
          <w:b/>
          <w:sz w:val="32"/>
        </w:rPr>
      </w:pPr>
    </w:p>
    <w:p w14:paraId="263E19F8">
      <w:pPr>
        <w:pStyle w:val="10"/>
        <w:adjustRightInd w:val="0"/>
        <w:snapToGrid w:val="0"/>
        <w:spacing w:line="440" w:lineRule="exact"/>
        <w:jc w:val="center"/>
        <w:rPr>
          <w:rFonts w:ascii="黑体" w:hAnsi="黑体" w:eastAsia="黑体"/>
          <w:b/>
          <w:sz w:val="32"/>
        </w:rPr>
      </w:pPr>
    </w:p>
    <w:p w14:paraId="00E611DA">
      <w:pPr>
        <w:pStyle w:val="10"/>
        <w:adjustRightInd w:val="0"/>
        <w:snapToGrid w:val="0"/>
        <w:spacing w:line="440" w:lineRule="exact"/>
        <w:jc w:val="center"/>
        <w:rPr>
          <w:rFonts w:ascii="黑体" w:hAnsi="黑体" w:eastAsia="黑体"/>
          <w:b/>
          <w:sz w:val="32"/>
        </w:rPr>
      </w:pPr>
    </w:p>
    <w:p w14:paraId="5BD02E6F">
      <w:pPr>
        <w:pStyle w:val="10"/>
        <w:adjustRightInd w:val="0"/>
        <w:snapToGrid w:val="0"/>
        <w:spacing w:line="440" w:lineRule="exact"/>
        <w:jc w:val="center"/>
        <w:rPr>
          <w:rFonts w:ascii="黑体" w:hAnsi="黑体" w:eastAsia="黑体"/>
          <w:b/>
          <w:sz w:val="32"/>
        </w:rPr>
      </w:pPr>
    </w:p>
    <w:p w14:paraId="51D3F09C">
      <w:pPr>
        <w:pStyle w:val="10"/>
        <w:adjustRightInd w:val="0"/>
        <w:snapToGrid w:val="0"/>
        <w:spacing w:line="440" w:lineRule="exact"/>
        <w:jc w:val="center"/>
        <w:rPr>
          <w:rFonts w:ascii="黑体" w:hAnsi="黑体" w:eastAsia="黑体"/>
          <w:b/>
          <w:sz w:val="32"/>
        </w:rPr>
      </w:pPr>
    </w:p>
    <w:p w14:paraId="33437265">
      <w:pPr>
        <w:pStyle w:val="10"/>
        <w:adjustRightInd w:val="0"/>
        <w:snapToGrid w:val="0"/>
        <w:spacing w:line="440" w:lineRule="exact"/>
        <w:jc w:val="center"/>
        <w:rPr>
          <w:rFonts w:ascii="黑体" w:hAnsi="黑体" w:eastAsia="黑体"/>
          <w:b/>
          <w:sz w:val="32"/>
        </w:rPr>
      </w:pPr>
    </w:p>
    <w:p w14:paraId="646F9A24">
      <w:pPr>
        <w:pStyle w:val="10"/>
        <w:adjustRightInd w:val="0"/>
        <w:snapToGrid w:val="0"/>
        <w:spacing w:line="440" w:lineRule="exact"/>
        <w:jc w:val="center"/>
        <w:rPr>
          <w:rFonts w:ascii="黑体" w:hAnsi="黑体" w:eastAsia="黑体"/>
          <w:b/>
          <w:sz w:val="32"/>
        </w:rPr>
      </w:pPr>
    </w:p>
    <w:p w14:paraId="3BDBB089">
      <w:pPr>
        <w:pStyle w:val="10"/>
        <w:adjustRightInd w:val="0"/>
        <w:snapToGrid w:val="0"/>
        <w:spacing w:line="440" w:lineRule="exact"/>
        <w:jc w:val="center"/>
        <w:rPr>
          <w:rFonts w:ascii="黑体" w:hAnsi="黑体" w:eastAsia="黑体"/>
          <w:b/>
          <w:sz w:val="32"/>
        </w:rPr>
      </w:pPr>
    </w:p>
    <w:p w14:paraId="287A2B02">
      <w:pPr>
        <w:spacing w:line="360" w:lineRule="auto"/>
        <w:jc w:val="center"/>
        <w:rPr>
          <w:rFonts w:ascii="黑体" w:hAnsi="黑体" w:eastAsia="黑体"/>
          <w:sz w:val="32"/>
          <w:szCs w:val="32"/>
        </w:rPr>
      </w:pPr>
      <w:r>
        <w:rPr>
          <w:rFonts w:hint="eastAsia" w:ascii="黑体" w:hAnsi="黑体" w:eastAsia="黑体"/>
          <w:sz w:val="32"/>
          <w:szCs w:val="32"/>
        </w:rPr>
        <w:t>二0二五</w:t>
      </w:r>
      <w:r>
        <w:rPr>
          <w:rFonts w:ascii="黑体" w:hAnsi="黑体" w:eastAsia="黑体"/>
          <w:sz w:val="32"/>
          <w:szCs w:val="32"/>
        </w:rPr>
        <w:t>年</w:t>
      </w:r>
      <w:r>
        <w:rPr>
          <w:rFonts w:hint="eastAsia" w:ascii="黑体" w:hAnsi="黑体" w:eastAsia="黑体"/>
          <w:sz w:val="32"/>
          <w:szCs w:val="32"/>
        </w:rPr>
        <w:t>九</w:t>
      </w:r>
      <w:r>
        <w:rPr>
          <w:rFonts w:ascii="黑体" w:hAnsi="黑体" w:eastAsia="黑体"/>
          <w:sz w:val="32"/>
          <w:szCs w:val="32"/>
        </w:rPr>
        <w:t>月</w:t>
      </w:r>
    </w:p>
    <w:p w14:paraId="3FD890A2">
      <w:pPr>
        <w:pStyle w:val="16"/>
      </w:pPr>
    </w:p>
    <w:p w14:paraId="40E4DFFA">
      <w:pPr>
        <w:pStyle w:val="16"/>
        <w:rPr>
          <w:szCs w:val="22"/>
        </w:rPr>
      </w:pPr>
    </w:p>
    <w:p w14:paraId="3E8CC8B8">
      <w:pPr>
        <w:jc w:val="center"/>
        <w:outlineLvl w:val="0"/>
        <w:rPr>
          <w:rFonts w:ascii="黑体" w:hAnsi="黑体" w:eastAsia="黑体" w:cs="宋体"/>
          <w:b/>
          <w:bCs/>
          <w:color w:val="000000"/>
          <w:kern w:val="36"/>
          <w:sz w:val="36"/>
          <w:szCs w:val="36"/>
        </w:rPr>
      </w:pPr>
      <w:r>
        <w:rPr>
          <w:rFonts w:hint="eastAsia" w:ascii="黑体" w:hAnsi="黑体" w:eastAsia="黑体"/>
          <w:b/>
          <w:sz w:val="36"/>
          <w:szCs w:val="36"/>
        </w:rPr>
        <w:t>湖南铁道职业技术学院</w:t>
      </w:r>
      <w:r>
        <w:rPr>
          <w:rFonts w:hint="eastAsia" w:ascii="黑体" w:hAnsi="黑体" w:eastAsia="黑体" w:cs="Times New Roman"/>
          <w:b/>
          <w:kern w:val="2"/>
          <w:sz w:val="36"/>
          <w:szCs w:val="36"/>
          <w:lang w:val="en-US" w:eastAsia="zh-CN" w:bidi="ar-SA"/>
        </w:rPr>
        <w:t>田心校区、云龙校区校园网络维护服务</w:t>
      </w:r>
      <w:r>
        <w:rPr>
          <w:rFonts w:ascii="黑体" w:hAnsi="黑体" w:eastAsia="黑体"/>
          <w:b/>
          <w:sz w:val="36"/>
          <w:szCs w:val="36"/>
        </w:rPr>
        <w:t>项目</w:t>
      </w:r>
      <w:r>
        <w:rPr>
          <w:rFonts w:hint="eastAsia" w:ascii="黑体" w:hAnsi="黑体" w:eastAsia="黑体"/>
          <w:b/>
          <w:sz w:val="36"/>
          <w:szCs w:val="36"/>
          <w:lang w:eastAsia="zh-CN"/>
        </w:rPr>
        <w:t>询比</w:t>
      </w:r>
      <w:r>
        <w:rPr>
          <w:rFonts w:ascii="黑体" w:hAnsi="黑体" w:eastAsia="黑体" w:cs="宋体"/>
          <w:b/>
          <w:bCs/>
          <w:color w:val="000000"/>
          <w:kern w:val="36"/>
          <w:sz w:val="36"/>
          <w:szCs w:val="36"/>
        </w:rPr>
        <w:t>采购</w:t>
      </w:r>
      <w:r>
        <w:rPr>
          <w:rFonts w:hint="eastAsia" w:ascii="黑体" w:hAnsi="黑体" w:eastAsia="黑体" w:cs="宋体"/>
          <w:b/>
          <w:bCs/>
          <w:color w:val="000000"/>
          <w:kern w:val="36"/>
          <w:sz w:val="36"/>
          <w:szCs w:val="36"/>
        </w:rPr>
        <w:t>公告</w:t>
      </w:r>
    </w:p>
    <w:p w14:paraId="0FA957A0">
      <w:pPr>
        <w:pStyle w:val="16"/>
        <w:snapToGrid w:val="0"/>
        <w:spacing w:before="0" w:beforeAutospacing="0" w:after="0" w:line="360" w:lineRule="auto"/>
        <w:ind w:left="0" w:leftChars="0" w:firstLine="480" w:firstLineChars="200"/>
        <w:jc w:val="left"/>
        <w:rPr>
          <w:rFonts w:ascii="仿宋" w:hAnsi="仿宋" w:eastAsia="仿宋"/>
          <w:sz w:val="24"/>
          <w:szCs w:val="24"/>
        </w:rPr>
      </w:pPr>
      <w:r>
        <w:rPr>
          <w:rFonts w:ascii="仿宋" w:hAnsi="仿宋" w:eastAsia="仿宋"/>
          <w:sz w:val="24"/>
          <w:szCs w:val="24"/>
        </w:rPr>
        <w:t>湖南铁道职业技术学院</w:t>
      </w:r>
      <w:r>
        <w:rPr>
          <w:rFonts w:ascii="仿宋" w:hAnsi="仿宋" w:eastAsia="仿宋" w:cs="Times New Roman"/>
          <w:kern w:val="2"/>
          <w:sz w:val="24"/>
          <w:szCs w:val="24"/>
          <w:lang w:val="en-US" w:eastAsia="zh-CN" w:bidi="ar-SA"/>
        </w:rPr>
        <w:t>田心校区、云龙校区校园网络维护服务</w:t>
      </w:r>
      <w:r>
        <w:rPr>
          <w:rFonts w:ascii="仿宋" w:hAnsi="仿宋" w:eastAsia="仿宋"/>
          <w:sz w:val="24"/>
          <w:szCs w:val="24"/>
        </w:rPr>
        <w:t>项目</w:t>
      </w:r>
      <w:r>
        <w:rPr>
          <w:rFonts w:hint="eastAsia" w:ascii="仿宋" w:hAnsi="仿宋" w:eastAsia="仿宋"/>
          <w:sz w:val="24"/>
          <w:szCs w:val="24"/>
        </w:rPr>
        <w:t>需进行采购，现采用发布公告方式，邀请符合资格条件的供应商参与采购活动。</w:t>
      </w:r>
    </w:p>
    <w:p w14:paraId="474761BB">
      <w:pPr>
        <w:snapToGrid w:val="0"/>
        <w:spacing w:line="360" w:lineRule="auto"/>
        <w:ind w:firstLine="482" w:firstLineChars="200"/>
        <w:jc w:val="left"/>
        <w:rPr>
          <w:rFonts w:ascii="仿宋" w:hAnsi="仿宋" w:eastAsia="仿宋" w:cs="仿宋"/>
          <w:b/>
          <w:bCs/>
          <w:color w:val="333333"/>
          <w:kern w:val="0"/>
          <w:sz w:val="24"/>
          <w:szCs w:val="24"/>
        </w:rPr>
      </w:pPr>
      <w:bookmarkStart w:id="0" w:name="_Toc26475"/>
      <w:bookmarkStart w:id="1" w:name="_Toc31662_WPSOffice_Level2"/>
      <w:bookmarkStart w:id="2" w:name="_Toc3564"/>
      <w:bookmarkStart w:id="3" w:name="_Toc17794_WPSOffice_Level2"/>
      <w:bookmarkStart w:id="4" w:name="_Toc4659"/>
      <w:r>
        <w:rPr>
          <w:rFonts w:hint="eastAsia" w:ascii="仿宋" w:hAnsi="仿宋" w:eastAsia="仿宋" w:cs="仿宋"/>
          <w:b/>
          <w:bCs/>
          <w:color w:val="333333"/>
          <w:kern w:val="0"/>
          <w:sz w:val="24"/>
          <w:szCs w:val="24"/>
        </w:rPr>
        <w:t>一、采购项目基本情况</w:t>
      </w:r>
      <w:bookmarkEnd w:id="0"/>
      <w:bookmarkEnd w:id="1"/>
      <w:bookmarkEnd w:id="2"/>
      <w:bookmarkEnd w:id="3"/>
      <w:bookmarkEnd w:id="4"/>
    </w:p>
    <w:p w14:paraId="4EF1E5F4">
      <w:pPr>
        <w:pStyle w:val="16"/>
        <w:snapToGrid w:val="0"/>
        <w:spacing w:before="0" w:beforeAutospacing="0" w:after="0" w:line="360" w:lineRule="auto"/>
        <w:ind w:left="0" w:leftChars="0" w:firstLine="480" w:firstLineChars="200"/>
        <w:jc w:val="left"/>
        <w:rPr>
          <w:rFonts w:ascii="宋体" w:hAnsi="宋体" w:cs="宋体"/>
          <w:sz w:val="24"/>
        </w:rPr>
      </w:pPr>
      <w:r>
        <w:rPr>
          <w:rFonts w:hint="eastAsia" w:ascii="仿宋" w:hAnsi="仿宋" w:eastAsia="仿宋"/>
          <w:sz w:val="24"/>
          <w:szCs w:val="24"/>
        </w:rPr>
        <w:t>1.项目名称：</w:t>
      </w:r>
      <w:r>
        <w:rPr>
          <w:rFonts w:hint="eastAsia" w:ascii="仿宋" w:hAnsi="仿宋" w:eastAsia="仿宋" w:cs="Times New Roman"/>
          <w:kern w:val="2"/>
          <w:sz w:val="24"/>
          <w:szCs w:val="24"/>
          <w:lang w:val="en-US" w:eastAsia="zh-CN" w:bidi="ar-SA"/>
        </w:rPr>
        <w:t>田心校区、云龙校区校园网络维护服务</w:t>
      </w:r>
    </w:p>
    <w:p w14:paraId="77CF43F4">
      <w:pPr>
        <w:pStyle w:val="16"/>
        <w:snapToGrid w:val="0"/>
        <w:spacing w:before="0" w:beforeAutospacing="0" w:after="0" w:line="360" w:lineRule="auto"/>
        <w:ind w:left="0" w:leftChars="0" w:firstLine="480" w:firstLineChars="200"/>
        <w:jc w:val="left"/>
        <w:rPr>
          <w:rFonts w:hint="eastAsia"/>
          <w:lang w:val="en-US" w:eastAsia="zh-CN"/>
        </w:rPr>
      </w:pPr>
      <w:r>
        <w:rPr>
          <w:rFonts w:hint="eastAsia" w:ascii="仿宋" w:hAnsi="仿宋" w:eastAsia="仿宋"/>
          <w:sz w:val="24"/>
          <w:szCs w:val="24"/>
        </w:rPr>
        <w:t>2.项目概况:</w:t>
      </w:r>
      <w:r>
        <w:rPr>
          <w:rFonts w:hint="eastAsia" w:ascii="仿宋" w:hAnsi="仿宋" w:eastAsia="仿宋"/>
          <w:sz w:val="24"/>
          <w:szCs w:val="24"/>
          <w:lang w:val="en-US" w:eastAsia="zh-CN"/>
        </w:rPr>
        <w:t>校园网络维护</w:t>
      </w:r>
      <w:r>
        <w:rPr>
          <w:rFonts w:hint="eastAsia" w:ascii="仿宋" w:hAnsi="仿宋" w:eastAsia="仿宋" w:cs="Times New Roman"/>
          <w:kern w:val="2"/>
          <w:sz w:val="24"/>
          <w:szCs w:val="24"/>
          <w:lang w:val="en-US" w:eastAsia="zh-CN" w:bidi="ar-SA"/>
        </w:rPr>
        <w:t>服务</w:t>
      </w:r>
      <w:r>
        <w:rPr>
          <w:rFonts w:hint="eastAsia" w:ascii="仿宋" w:hAnsi="仿宋" w:eastAsia="仿宋"/>
          <w:sz w:val="24"/>
          <w:szCs w:val="24"/>
          <w:lang w:val="en-US" w:eastAsia="zh-CN"/>
        </w:rPr>
        <w:t>项目是指</w:t>
      </w:r>
      <w:r>
        <w:rPr>
          <w:rFonts w:hint="eastAsia" w:ascii="仿宋" w:hAnsi="仿宋" w:eastAsia="仿宋" w:cs="Times New Roman"/>
          <w:kern w:val="2"/>
          <w:sz w:val="24"/>
          <w:szCs w:val="24"/>
          <w:lang w:val="en-US" w:eastAsia="zh-CN" w:bidi="ar-SA"/>
        </w:rPr>
        <w:t>田心校区、云龙校区</w:t>
      </w:r>
      <w:r>
        <w:rPr>
          <w:rFonts w:hint="eastAsia" w:ascii="仿宋" w:hAnsi="仿宋" w:eastAsia="仿宋"/>
          <w:sz w:val="24"/>
          <w:szCs w:val="24"/>
          <w:lang w:val="en-US" w:eastAsia="zh-CN"/>
        </w:rPr>
        <w:t>网络的维护，包括网络设备</w:t>
      </w:r>
      <w:r>
        <w:rPr>
          <w:rFonts w:hint="eastAsia" w:ascii="仿宋" w:hAnsi="仿宋" w:eastAsia="仿宋" w:cs="Times New Roman"/>
          <w:kern w:val="2"/>
          <w:sz w:val="24"/>
          <w:szCs w:val="24"/>
          <w:lang w:val="en-US" w:eastAsia="zh-CN" w:bidi="ar-SA"/>
        </w:rPr>
        <w:t>巡检与监控</w:t>
      </w:r>
      <w:r>
        <w:rPr>
          <w:rFonts w:hint="eastAsia" w:ascii="仿宋" w:hAnsi="仿宋" w:eastAsia="仿宋"/>
          <w:sz w:val="24"/>
          <w:szCs w:val="24"/>
          <w:lang w:val="en-US" w:eastAsia="zh-CN"/>
        </w:rPr>
        <w:t>、网络日常维护和网络复杂故障处理、活动或比赛期间提供网络全天候网络保障、无线网络优化服务等。供应商必须</w:t>
      </w:r>
      <w:r>
        <w:rPr>
          <w:rFonts w:hint="eastAsia" w:ascii="仿宋" w:hAnsi="仿宋" w:eastAsia="仿宋" w:cs="Times New Roman"/>
          <w:kern w:val="2"/>
          <w:sz w:val="24"/>
          <w:szCs w:val="24"/>
          <w:lang w:val="en-US" w:eastAsia="zh-CN" w:bidi="ar-SA"/>
        </w:rPr>
        <w:t>为学校师生提供“随时</w:t>
      </w:r>
      <w:r>
        <w:rPr>
          <w:rFonts w:hint="eastAsia" w:ascii="仿宋" w:hAnsi="仿宋" w:eastAsia="仿宋"/>
          <w:sz w:val="24"/>
          <w:szCs w:val="24"/>
          <w:lang w:val="en-US" w:eastAsia="zh-CN"/>
        </w:rPr>
        <w:t>可用、随处可用、随需可用”的高质量网络环境。</w:t>
      </w:r>
    </w:p>
    <w:p w14:paraId="7DCAD5FB">
      <w:pPr>
        <w:pStyle w:val="16"/>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lang w:val="en-US" w:eastAsia="zh-CN"/>
        </w:rPr>
        <w:t>3.服务内容：</w:t>
      </w:r>
    </w:p>
    <w:p w14:paraId="4B2E2AB0">
      <w:pPr>
        <w:pStyle w:val="16"/>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rPr>
        <w:t>（1）</w:t>
      </w:r>
      <w:r>
        <w:rPr>
          <w:rFonts w:hint="eastAsia" w:ascii="仿宋" w:hAnsi="仿宋" w:eastAsia="仿宋" w:cs="Times New Roman"/>
          <w:kern w:val="2"/>
          <w:sz w:val="24"/>
          <w:szCs w:val="24"/>
          <w:lang w:val="en-US" w:eastAsia="zh-CN" w:bidi="ar-SA"/>
        </w:rPr>
        <w:t>田心校区、云龙校区</w:t>
      </w:r>
      <w:r>
        <w:rPr>
          <w:rFonts w:hint="eastAsia" w:ascii="仿宋" w:hAnsi="仿宋" w:eastAsia="仿宋"/>
          <w:sz w:val="24"/>
          <w:szCs w:val="24"/>
          <w:lang w:val="en-US" w:eastAsia="zh-CN"/>
        </w:rPr>
        <w:t>有线网络维护服务</w:t>
      </w:r>
    </w:p>
    <w:p w14:paraId="1D3690C1">
      <w:pPr>
        <w:pStyle w:val="16"/>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rPr>
        <w:t>（2）</w:t>
      </w:r>
      <w:r>
        <w:rPr>
          <w:rFonts w:hint="eastAsia" w:ascii="仿宋" w:hAnsi="仿宋" w:eastAsia="仿宋" w:cs="Times New Roman"/>
          <w:kern w:val="2"/>
          <w:sz w:val="24"/>
          <w:szCs w:val="24"/>
          <w:lang w:val="en-US" w:eastAsia="zh-CN" w:bidi="ar-SA"/>
        </w:rPr>
        <w:t>田心校区、云龙校区</w:t>
      </w:r>
      <w:r>
        <w:rPr>
          <w:rFonts w:hint="eastAsia" w:ascii="仿宋" w:hAnsi="仿宋" w:eastAsia="仿宋"/>
          <w:sz w:val="24"/>
          <w:szCs w:val="24"/>
          <w:lang w:val="en-US" w:eastAsia="zh-CN"/>
        </w:rPr>
        <w:t>无线Wi-Fi系统维护服务</w:t>
      </w:r>
    </w:p>
    <w:p w14:paraId="70989601">
      <w:pPr>
        <w:pStyle w:val="16"/>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rPr>
        <w:t>（3）</w:t>
      </w:r>
      <w:r>
        <w:rPr>
          <w:rFonts w:hint="eastAsia" w:ascii="仿宋" w:hAnsi="仿宋" w:eastAsia="仿宋" w:cs="Times New Roman"/>
          <w:kern w:val="2"/>
          <w:sz w:val="24"/>
          <w:szCs w:val="24"/>
          <w:lang w:val="en-US" w:eastAsia="zh-CN" w:bidi="ar-SA"/>
        </w:rPr>
        <w:t>田心校区、云龙校区</w:t>
      </w:r>
      <w:r>
        <w:rPr>
          <w:rFonts w:hint="eastAsia" w:ascii="仿宋" w:hAnsi="仿宋" w:eastAsia="仿宋"/>
          <w:sz w:val="24"/>
          <w:szCs w:val="24"/>
          <w:lang w:val="en-US" w:eastAsia="zh-CN"/>
        </w:rPr>
        <w:t>会议、比赛等活动的网络保障服务。</w:t>
      </w:r>
    </w:p>
    <w:p w14:paraId="71947C1A">
      <w:pPr>
        <w:pStyle w:val="16"/>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lang w:val="en-US" w:eastAsia="zh-CN"/>
        </w:rPr>
        <w:t>4.采购预算： 10万元。</w:t>
      </w:r>
    </w:p>
    <w:p w14:paraId="45CACFE7">
      <w:pPr>
        <w:pStyle w:val="6"/>
        <w:rPr>
          <w:rFonts w:hint="default"/>
          <w:lang w:val="en-US" w:eastAsia="zh-CN"/>
        </w:rPr>
      </w:pPr>
      <w:r>
        <w:rPr>
          <w:rFonts w:hint="eastAsia" w:ascii="仿宋" w:hAnsi="仿宋" w:eastAsia="仿宋"/>
          <w:sz w:val="24"/>
          <w:szCs w:val="24"/>
          <w:lang w:val="en-US" w:eastAsia="zh-CN"/>
        </w:rPr>
        <w:t>5.服务时间： 合同内注明开始日起自然年一年。</w:t>
      </w:r>
    </w:p>
    <w:p w14:paraId="453272DD">
      <w:pPr>
        <w:pStyle w:val="16"/>
        <w:snapToGrid w:val="0"/>
        <w:spacing w:before="0" w:beforeAutospacing="0" w:after="0" w:line="360" w:lineRule="auto"/>
        <w:ind w:left="0" w:leftChars="0" w:firstLine="482" w:firstLineChars="200"/>
        <w:jc w:val="left"/>
        <w:rPr>
          <w:rFonts w:ascii="仿宋" w:hAnsi="仿宋" w:eastAsia="仿宋"/>
          <w:b/>
          <w:bCs/>
          <w:sz w:val="24"/>
          <w:szCs w:val="24"/>
        </w:rPr>
      </w:pPr>
      <w:r>
        <w:rPr>
          <w:rFonts w:hint="eastAsia" w:ascii="仿宋" w:hAnsi="仿宋" w:eastAsia="仿宋"/>
          <w:b/>
          <w:bCs/>
          <w:sz w:val="24"/>
          <w:szCs w:val="24"/>
        </w:rPr>
        <w:t>二、投标人资格要求</w:t>
      </w:r>
    </w:p>
    <w:p w14:paraId="62ECA4F5">
      <w:pPr>
        <w:pStyle w:val="16"/>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1、基本资格条件：供应商必须是在中华人民共和国境内注册登记的法人、其他组织或者自然人，且应当符合下列规定，即：</w:t>
      </w:r>
    </w:p>
    <w:p w14:paraId="24CC3B8F">
      <w:pPr>
        <w:pStyle w:val="16"/>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（1）具有独立承担民事责任的能力；</w:t>
      </w:r>
    </w:p>
    <w:p w14:paraId="58A3351A">
      <w:pPr>
        <w:pStyle w:val="16"/>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（2）具有良好的商业信誉和健全的财务会计制度；</w:t>
      </w:r>
    </w:p>
    <w:p w14:paraId="069569FD">
      <w:pPr>
        <w:pStyle w:val="16"/>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（3）具有履行合同所必需的设备和专业技术能力；</w:t>
      </w:r>
    </w:p>
    <w:p w14:paraId="060D3645">
      <w:pPr>
        <w:pStyle w:val="16"/>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（4）有依法缴纳税收和社会保障资金的良好记录；</w:t>
      </w:r>
    </w:p>
    <w:p w14:paraId="77978083">
      <w:pPr>
        <w:pStyle w:val="16"/>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（5）参加采购活动前三年内，在经营活动中没有重大违法记录；</w:t>
      </w:r>
    </w:p>
    <w:p w14:paraId="3AB4EB51">
      <w:pPr>
        <w:pStyle w:val="16"/>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（6）法律、行政法规规定的其他条件。</w:t>
      </w:r>
    </w:p>
    <w:p w14:paraId="5AE48D38">
      <w:pPr>
        <w:spacing w:line="360" w:lineRule="auto"/>
        <w:ind w:firstLine="480" w:firstLineChars="200"/>
        <w:rPr>
          <w:rFonts w:hint="eastAsia" w:ascii="仿宋" w:hAnsi="仿宋" w:eastAsia="仿宋"/>
          <w:sz w:val="24"/>
          <w:szCs w:val="24"/>
          <w:lang w:val="en-US" w:eastAsia="zh-CN"/>
        </w:rPr>
      </w:pPr>
      <w:r>
        <w:rPr>
          <w:rFonts w:hint="eastAsia" w:ascii="仿宋" w:hAnsi="仿宋" w:eastAsia="仿宋"/>
          <w:sz w:val="24"/>
          <w:szCs w:val="24"/>
        </w:rPr>
        <w:t>2、特定资格条件：</w:t>
      </w:r>
      <w:r>
        <w:rPr>
          <w:rFonts w:hint="eastAsia" w:ascii="仿宋" w:hAnsi="仿宋" w:eastAsia="仿宋"/>
          <w:sz w:val="24"/>
          <w:szCs w:val="24"/>
          <w:lang w:val="en-US" w:eastAsia="zh-CN"/>
        </w:rPr>
        <w:t>无</w:t>
      </w:r>
    </w:p>
    <w:p w14:paraId="09E880B8">
      <w:pPr>
        <w:pStyle w:val="16"/>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lang w:val="en-US" w:eastAsia="zh-CN"/>
        </w:rPr>
        <w:t>3</w:t>
      </w:r>
      <w:r>
        <w:rPr>
          <w:rFonts w:ascii="仿宋" w:hAnsi="仿宋" w:eastAsia="仿宋"/>
          <w:sz w:val="24"/>
          <w:szCs w:val="24"/>
        </w:rPr>
        <w:t>、</w:t>
      </w:r>
      <w:r>
        <w:rPr>
          <w:rFonts w:hint="eastAsia" w:ascii="仿宋" w:hAnsi="仿宋" w:eastAsia="仿宋"/>
          <w:sz w:val="24"/>
          <w:szCs w:val="24"/>
        </w:rPr>
        <w:t>本次采购不接受联合体投标。</w:t>
      </w:r>
    </w:p>
    <w:p w14:paraId="773A98C1">
      <w:pPr>
        <w:pStyle w:val="16"/>
        <w:snapToGrid w:val="0"/>
        <w:spacing w:before="0" w:beforeAutospacing="0" w:after="0" w:line="360" w:lineRule="auto"/>
        <w:ind w:left="0" w:leftChars="0" w:firstLine="482" w:firstLineChars="200"/>
        <w:jc w:val="left"/>
        <w:rPr>
          <w:rFonts w:ascii="仿宋" w:hAnsi="仿宋" w:eastAsia="仿宋"/>
          <w:b/>
          <w:bCs/>
          <w:sz w:val="24"/>
          <w:szCs w:val="24"/>
        </w:rPr>
      </w:pPr>
      <w:bookmarkStart w:id="5" w:name="_Toc58335831"/>
      <w:bookmarkStart w:id="6" w:name="_Hlk186730266"/>
      <w:r>
        <w:rPr>
          <w:rFonts w:hint="eastAsia" w:ascii="仿宋" w:hAnsi="仿宋" w:eastAsia="仿宋"/>
          <w:b/>
          <w:bCs/>
          <w:sz w:val="24"/>
          <w:szCs w:val="24"/>
        </w:rPr>
        <w:t>三、响应文件提交的截止时间、开启时间及地点</w:t>
      </w:r>
      <w:bookmarkEnd w:id="5"/>
    </w:p>
    <w:p w14:paraId="054E6273">
      <w:pPr>
        <w:pStyle w:val="16"/>
        <w:snapToGrid w:val="0"/>
        <w:spacing w:before="0" w:beforeAutospacing="0" w:after="0" w:line="360" w:lineRule="auto"/>
        <w:ind w:left="0" w:leftChars="0" w:firstLine="480" w:firstLineChars="200"/>
        <w:jc w:val="left"/>
        <w:rPr>
          <w:rFonts w:ascii="仿宋" w:hAnsi="仿宋" w:eastAsia="仿宋"/>
          <w:color w:val="000000" w:themeColor="text1"/>
          <w:sz w:val="24"/>
          <w:szCs w:val="24"/>
          <w14:textFill>
            <w14:solidFill>
              <w14:schemeClr w14:val="tx1"/>
            </w14:solidFill>
          </w14:textFill>
        </w:rPr>
      </w:pPr>
      <w:r>
        <w:rPr>
          <w:rFonts w:hint="eastAsia" w:ascii="仿宋" w:hAnsi="仿宋" w:eastAsia="仿宋"/>
          <w:sz w:val="24"/>
          <w:szCs w:val="24"/>
        </w:rPr>
        <w:t>1．首次响应文件的提交截止时间：2025</w:t>
      </w:r>
      <w:r>
        <w:rPr>
          <w:rFonts w:hint="eastAsia" w:ascii="仿宋" w:hAnsi="仿宋" w:eastAsia="仿宋"/>
          <w:color w:val="000000" w:themeColor="text1"/>
          <w:sz w:val="24"/>
          <w:szCs w:val="24"/>
          <w14:textFill>
            <w14:solidFill>
              <w14:schemeClr w14:val="tx1"/>
            </w14:solidFill>
          </w14:textFill>
        </w:rPr>
        <w:t>年</w:t>
      </w:r>
      <w:r>
        <w:rPr>
          <w:rFonts w:ascii="仿宋" w:hAnsi="仿宋" w:eastAsia="仿宋"/>
          <w:color w:val="000000" w:themeColor="text1"/>
          <w:sz w:val="24"/>
          <w:szCs w:val="24"/>
          <w14:textFill>
            <w14:solidFill>
              <w14:schemeClr w14:val="tx1"/>
            </w14:solidFill>
          </w14:textFill>
        </w:rPr>
        <w:t>9</w:t>
      </w:r>
      <w:r>
        <w:rPr>
          <w:rFonts w:hint="eastAsia" w:ascii="仿宋" w:hAnsi="仿宋" w:eastAsia="仿宋"/>
          <w:color w:val="000000" w:themeColor="text1"/>
          <w:sz w:val="24"/>
          <w:szCs w:val="24"/>
          <w14:textFill>
            <w14:solidFill>
              <w14:schemeClr w14:val="tx1"/>
            </w14:solidFill>
          </w14:textFill>
        </w:rPr>
        <w:t>月</w:t>
      </w:r>
      <w:r>
        <w:rPr>
          <w:rFonts w:hint="eastAsia" w:ascii="仿宋" w:hAnsi="仿宋" w:eastAsia="仿宋"/>
          <w:color w:val="000000" w:themeColor="text1"/>
          <w:sz w:val="24"/>
          <w:szCs w:val="24"/>
          <w:lang w:val="en-US" w:eastAsia="zh-CN"/>
          <w14:textFill>
            <w14:solidFill>
              <w14:schemeClr w14:val="tx1"/>
            </w14:solidFill>
          </w14:textFill>
        </w:rPr>
        <w:t xml:space="preserve"> 26 </w:t>
      </w:r>
      <w:r>
        <w:rPr>
          <w:rFonts w:hint="eastAsia" w:ascii="仿宋" w:hAnsi="仿宋" w:eastAsia="仿宋"/>
          <w:color w:val="000000" w:themeColor="text1"/>
          <w:sz w:val="24"/>
          <w:szCs w:val="24"/>
          <w14:textFill>
            <w14:solidFill>
              <w14:schemeClr w14:val="tx1"/>
            </w14:solidFill>
          </w14:textFill>
        </w:rPr>
        <w:t>日</w:t>
      </w:r>
      <w:r>
        <w:rPr>
          <w:rFonts w:hint="eastAsia" w:ascii="仿宋" w:hAnsi="仿宋" w:eastAsia="仿宋"/>
          <w:color w:val="000000" w:themeColor="text1"/>
          <w:sz w:val="24"/>
          <w:szCs w:val="24"/>
          <w:lang w:val="en-US" w:eastAsia="zh-CN"/>
          <w14:textFill>
            <w14:solidFill>
              <w14:schemeClr w14:val="tx1"/>
            </w14:solidFill>
          </w14:textFill>
        </w:rPr>
        <w:t>17</w:t>
      </w:r>
      <w:r>
        <w:rPr>
          <w:rFonts w:hint="eastAsia" w:ascii="仿宋" w:hAnsi="仿宋" w:eastAsia="仿宋"/>
          <w:color w:val="000000" w:themeColor="text1"/>
          <w:sz w:val="24"/>
          <w:szCs w:val="24"/>
          <w14:textFill>
            <w14:solidFill>
              <w14:schemeClr w14:val="tx1"/>
            </w14:solidFill>
          </w14:textFill>
        </w:rPr>
        <w:t>时</w:t>
      </w:r>
    </w:p>
    <w:p w14:paraId="5FCFB0A5">
      <w:pPr>
        <w:pStyle w:val="16"/>
        <w:snapToGrid w:val="0"/>
        <w:spacing w:before="0" w:beforeAutospacing="0" w:after="0" w:line="360" w:lineRule="auto"/>
        <w:ind w:left="0" w:leftChars="0" w:firstLine="480" w:firstLineChars="200"/>
        <w:jc w:val="left"/>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2．首次响应文件的开启时间：2025年</w:t>
      </w:r>
      <w:r>
        <w:rPr>
          <w:rFonts w:ascii="仿宋" w:hAnsi="仿宋" w:eastAsia="仿宋"/>
          <w:color w:val="000000" w:themeColor="text1"/>
          <w:sz w:val="24"/>
          <w:szCs w:val="24"/>
          <w14:textFill>
            <w14:solidFill>
              <w14:schemeClr w14:val="tx1"/>
            </w14:solidFill>
          </w14:textFill>
        </w:rPr>
        <w:t>9</w:t>
      </w:r>
      <w:r>
        <w:rPr>
          <w:rFonts w:hint="eastAsia" w:ascii="仿宋" w:hAnsi="仿宋" w:eastAsia="仿宋"/>
          <w:color w:val="000000" w:themeColor="text1"/>
          <w:sz w:val="24"/>
          <w:szCs w:val="24"/>
          <w14:textFill>
            <w14:solidFill>
              <w14:schemeClr w14:val="tx1"/>
            </w14:solidFill>
          </w14:textFill>
        </w:rPr>
        <w:t>月</w:t>
      </w:r>
      <w:r>
        <w:rPr>
          <w:rFonts w:hint="eastAsia" w:ascii="仿宋" w:hAnsi="仿宋" w:eastAsia="仿宋"/>
          <w:color w:val="000000" w:themeColor="text1"/>
          <w:sz w:val="24"/>
          <w:szCs w:val="24"/>
          <w:lang w:val="en-US" w:eastAsia="zh-CN"/>
          <w14:textFill>
            <w14:solidFill>
              <w14:schemeClr w14:val="tx1"/>
            </w14:solidFill>
          </w14:textFill>
        </w:rPr>
        <w:t xml:space="preserve"> 26 </w:t>
      </w:r>
      <w:r>
        <w:rPr>
          <w:rFonts w:hint="eastAsia" w:ascii="仿宋" w:hAnsi="仿宋" w:eastAsia="仿宋"/>
          <w:color w:val="000000" w:themeColor="text1"/>
          <w:sz w:val="24"/>
          <w:szCs w:val="24"/>
          <w14:textFill>
            <w14:solidFill>
              <w14:schemeClr w14:val="tx1"/>
            </w14:solidFill>
          </w14:textFill>
        </w:rPr>
        <w:t>日</w:t>
      </w:r>
      <w:r>
        <w:rPr>
          <w:rFonts w:hint="eastAsia" w:ascii="仿宋" w:hAnsi="仿宋" w:eastAsia="仿宋"/>
          <w:color w:val="000000" w:themeColor="text1"/>
          <w:sz w:val="24"/>
          <w:szCs w:val="24"/>
          <w:lang w:val="en-US" w:eastAsia="zh-CN"/>
          <w14:textFill>
            <w14:solidFill>
              <w14:schemeClr w14:val="tx1"/>
            </w14:solidFill>
          </w14:textFill>
        </w:rPr>
        <w:t>17</w:t>
      </w:r>
      <w:r>
        <w:rPr>
          <w:rFonts w:hint="eastAsia" w:ascii="仿宋" w:hAnsi="仿宋" w:eastAsia="仿宋"/>
          <w:color w:val="000000" w:themeColor="text1"/>
          <w:sz w:val="24"/>
          <w:szCs w:val="24"/>
          <w14:textFill>
            <w14:solidFill>
              <w14:schemeClr w14:val="tx1"/>
            </w14:solidFill>
          </w14:textFill>
        </w:rPr>
        <w:t>时</w:t>
      </w:r>
    </w:p>
    <w:p w14:paraId="63DB6ACB">
      <w:pPr>
        <w:pStyle w:val="16"/>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3．首次响应文件的开启地点：湖南铁道职业技术学院</w:t>
      </w:r>
    </w:p>
    <w:bookmarkEnd w:id="6"/>
    <w:p w14:paraId="35D4FC64">
      <w:pPr>
        <w:pStyle w:val="3"/>
        <w:snapToGrid w:val="0"/>
        <w:spacing w:before="0" w:after="0" w:line="360" w:lineRule="auto"/>
        <w:ind w:firstLine="470" w:firstLineChars="195"/>
        <w:jc w:val="left"/>
        <w:rPr>
          <w:rFonts w:ascii="仿宋" w:hAnsi="仿宋" w:eastAsia="仿宋" w:cs="宋体"/>
          <w:bCs w:val="0"/>
          <w:kern w:val="0"/>
          <w:sz w:val="24"/>
          <w:szCs w:val="24"/>
        </w:rPr>
      </w:pPr>
      <w:bookmarkStart w:id="7" w:name="_Toc58335832"/>
      <w:bookmarkStart w:id="8" w:name="_Hlk186730358"/>
      <w:r>
        <w:rPr>
          <w:rFonts w:hint="eastAsia" w:ascii="仿宋" w:hAnsi="仿宋" w:eastAsia="仿宋" w:cs="宋体"/>
          <w:bCs w:val="0"/>
          <w:kern w:val="0"/>
          <w:sz w:val="24"/>
          <w:szCs w:val="24"/>
        </w:rPr>
        <w:t>四、公告期限</w:t>
      </w:r>
      <w:bookmarkEnd w:id="7"/>
    </w:p>
    <w:p w14:paraId="20F5FB5A">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1．本</w:t>
      </w:r>
      <w:r>
        <w:rPr>
          <w:rFonts w:hint="eastAsia" w:ascii="仿宋" w:hAnsi="仿宋" w:eastAsia="仿宋" w:cstheme="minorEastAsia"/>
          <w:sz w:val="24"/>
          <w:szCs w:val="24"/>
          <w:lang w:eastAsia="zh-CN"/>
        </w:rPr>
        <w:t>询比采购</w:t>
      </w:r>
      <w:r>
        <w:rPr>
          <w:rFonts w:hint="eastAsia" w:ascii="仿宋" w:hAnsi="仿宋" w:eastAsia="仿宋" w:cstheme="minorEastAsia"/>
          <w:sz w:val="24"/>
          <w:szCs w:val="24"/>
        </w:rPr>
        <w:t>在湖南铁道职业技术学院官网（www.</w:t>
      </w:r>
      <w:r>
        <w:rPr>
          <w:rFonts w:ascii="仿宋" w:hAnsi="仿宋" w:eastAsia="仿宋" w:cstheme="minorEastAsia"/>
          <w:sz w:val="24"/>
          <w:szCs w:val="24"/>
        </w:rPr>
        <w:t>hnrpc.com</w:t>
      </w:r>
      <w:r>
        <w:rPr>
          <w:rFonts w:hint="eastAsia" w:ascii="仿宋" w:hAnsi="仿宋" w:eastAsia="仿宋" w:cstheme="minorEastAsia"/>
          <w:sz w:val="24"/>
          <w:szCs w:val="24"/>
        </w:rPr>
        <w:t>）发布。公告期限从本</w:t>
      </w:r>
      <w:r>
        <w:rPr>
          <w:rFonts w:hint="eastAsia" w:ascii="仿宋" w:hAnsi="仿宋" w:eastAsia="仿宋" w:cstheme="minorEastAsia"/>
          <w:sz w:val="24"/>
          <w:szCs w:val="24"/>
          <w:lang w:eastAsia="zh-CN"/>
        </w:rPr>
        <w:t>询比采购</w:t>
      </w:r>
      <w:r>
        <w:rPr>
          <w:rFonts w:hint="eastAsia" w:ascii="仿宋" w:hAnsi="仿宋" w:eastAsia="仿宋" w:cstheme="minorEastAsia"/>
          <w:sz w:val="24"/>
          <w:szCs w:val="24"/>
        </w:rPr>
        <w:t>发布之日起3个工作日。</w:t>
      </w:r>
    </w:p>
    <w:bookmarkEnd w:id="8"/>
    <w:p w14:paraId="0C946E80">
      <w:pPr>
        <w:pStyle w:val="3"/>
        <w:snapToGrid w:val="0"/>
        <w:spacing w:before="0" w:after="0" w:line="360" w:lineRule="auto"/>
        <w:ind w:firstLine="470" w:firstLineChars="195"/>
        <w:jc w:val="left"/>
        <w:rPr>
          <w:rFonts w:ascii="仿宋" w:hAnsi="仿宋" w:eastAsia="仿宋" w:cs="宋体"/>
          <w:bCs w:val="0"/>
          <w:kern w:val="0"/>
          <w:sz w:val="24"/>
          <w:szCs w:val="24"/>
        </w:rPr>
      </w:pPr>
      <w:bookmarkStart w:id="9" w:name="_Toc58335833"/>
      <w:bookmarkStart w:id="10" w:name="_Hlk186730642"/>
      <w:r>
        <w:rPr>
          <w:rFonts w:hint="eastAsia" w:ascii="仿宋" w:hAnsi="仿宋" w:eastAsia="仿宋" w:cs="宋体"/>
          <w:bCs w:val="0"/>
          <w:kern w:val="0"/>
          <w:sz w:val="24"/>
          <w:szCs w:val="24"/>
        </w:rPr>
        <w:t>五、疑问及质疑</w:t>
      </w:r>
      <w:bookmarkEnd w:id="9"/>
    </w:p>
    <w:p w14:paraId="0487828B">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1．潜在投标人对采购活动事项如有疑问的，可以向采购人提出询问。采购人将在3个工作日内作出答复。</w:t>
      </w:r>
    </w:p>
    <w:p w14:paraId="21DBEE99">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2．潜在投标人认为招标文件或</w:t>
      </w:r>
      <w:r>
        <w:rPr>
          <w:rFonts w:hint="eastAsia" w:ascii="仿宋" w:hAnsi="仿宋" w:eastAsia="仿宋" w:cstheme="minorEastAsia"/>
          <w:sz w:val="24"/>
          <w:szCs w:val="24"/>
          <w:lang w:eastAsia="zh-CN"/>
        </w:rPr>
        <w:t>询比采购</w:t>
      </w:r>
      <w:r>
        <w:rPr>
          <w:rFonts w:hint="eastAsia" w:ascii="仿宋" w:hAnsi="仿宋" w:eastAsia="仿宋" w:cstheme="minorEastAsia"/>
          <w:sz w:val="24"/>
          <w:szCs w:val="24"/>
        </w:rPr>
        <w:t>使自己的合法权益受到损害的，可以在收到招标文件之日或</w:t>
      </w:r>
      <w:r>
        <w:rPr>
          <w:rFonts w:hint="eastAsia" w:ascii="仿宋" w:hAnsi="仿宋" w:eastAsia="仿宋" w:cstheme="minorEastAsia"/>
          <w:sz w:val="24"/>
          <w:szCs w:val="24"/>
          <w:lang w:eastAsia="zh-CN"/>
        </w:rPr>
        <w:t>询比采购</w:t>
      </w:r>
      <w:r>
        <w:rPr>
          <w:rFonts w:hint="eastAsia" w:ascii="仿宋" w:hAnsi="仿宋" w:eastAsia="仿宋" w:cstheme="minorEastAsia"/>
          <w:sz w:val="24"/>
          <w:szCs w:val="24"/>
        </w:rPr>
        <w:t>期限届满之日起7个工作日内，以书面形式向采购人提出质疑。</w:t>
      </w:r>
    </w:p>
    <w:bookmarkEnd w:id="10"/>
    <w:p w14:paraId="42A84C11">
      <w:pPr>
        <w:pStyle w:val="3"/>
        <w:snapToGrid w:val="0"/>
        <w:spacing w:before="0" w:after="0" w:line="360" w:lineRule="auto"/>
        <w:ind w:firstLine="470" w:firstLineChars="195"/>
        <w:jc w:val="left"/>
        <w:rPr>
          <w:rFonts w:ascii="仿宋" w:hAnsi="仿宋" w:eastAsia="仿宋" w:cs="宋体"/>
          <w:bCs w:val="0"/>
          <w:kern w:val="0"/>
          <w:sz w:val="24"/>
          <w:szCs w:val="24"/>
        </w:rPr>
      </w:pPr>
      <w:bookmarkStart w:id="11" w:name="_Toc58335834"/>
      <w:bookmarkStart w:id="12" w:name="_Hlk186730687"/>
      <w:r>
        <w:rPr>
          <w:rFonts w:hint="eastAsia" w:ascii="仿宋" w:hAnsi="仿宋" w:eastAsia="仿宋" w:cs="宋体"/>
          <w:bCs w:val="0"/>
          <w:kern w:val="0"/>
          <w:sz w:val="24"/>
          <w:szCs w:val="24"/>
        </w:rPr>
        <w:t>六、采购项目联系人姓名和电话</w:t>
      </w:r>
      <w:bookmarkEnd w:id="11"/>
    </w:p>
    <w:p w14:paraId="39A62B23">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1．项目联系人和电话</w:t>
      </w:r>
    </w:p>
    <w:p w14:paraId="3FA64961">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联系人姓名：</w:t>
      </w:r>
      <w:r>
        <w:rPr>
          <w:rFonts w:hint="eastAsia" w:ascii="仿宋" w:hAnsi="仿宋" w:eastAsia="仿宋" w:cstheme="minorEastAsia"/>
          <w:sz w:val="24"/>
          <w:szCs w:val="24"/>
          <w:lang w:val="en-US" w:eastAsia="zh-CN"/>
        </w:rPr>
        <w:t>陈</w:t>
      </w:r>
      <w:r>
        <w:rPr>
          <w:rFonts w:hint="eastAsia" w:ascii="仿宋" w:hAnsi="仿宋" w:eastAsia="仿宋" w:cstheme="minorEastAsia"/>
          <w:sz w:val="24"/>
          <w:szCs w:val="24"/>
        </w:rPr>
        <w:t>老师</w:t>
      </w:r>
    </w:p>
    <w:p w14:paraId="5ACC0522">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电 话：</w:t>
      </w:r>
      <w:bookmarkStart w:id="13" w:name="_Hlk186731053"/>
      <w:r>
        <w:rPr>
          <w:rFonts w:hint="eastAsia" w:ascii="仿宋" w:hAnsi="仿宋" w:eastAsia="仿宋" w:cstheme="minorEastAsia"/>
          <w:sz w:val="24"/>
          <w:szCs w:val="24"/>
        </w:rPr>
        <w:t>0731-</w:t>
      </w:r>
      <w:bookmarkEnd w:id="13"/>
      <w:r>
        <w:rPr>
          <w:rFonts w:hint="eastAsia" w:ascii="仿宋" w:hAnsi="仿宋" w:eastAsia="仿宋" w:cstheme="minorEastAsia"/>
          <w:sz w:val="24"/>
          <w:szCs w:val="24"/>
        </w:rPr>
        <w:t>22783860</w:t>
      </w:r>
    </w:p>
    <w:p w14:paraId="77569E67">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2．采购人</w:t>
      </w:r>
    </w:p>
    <w:p w14:paraId="7D39B19C">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名 称：湖南铁道职业技术学院</w:t>
      </w:r>
    </w:p>
    <w:p w14:paraId="572EC4D3">
      <w:pPr>
        <w:ind w:firstLine="480" w:firstLineChars="200"/>
        <w:rPr>
          <w:rFonts w:ascii="仿宋" w:hAnsi="仿宋" w:eastAsia="仿宋" w:cstheme="minorEastAsia"/>
          <w:sz w:val="24"/>
          <w:szCs w:val="24"/>
        </w:rPr>
      </w:pPr>
      <w:r>
        <w:rPr>
          <w:rFonts w:hint="eastAsia" w:ascii="仿宋" w:hAnsi="仿宋" w:eastAsia="仿宋" w:cstheme="minorEastAsia"/>
          <w:sz w:val="24"/>
          <w:szCs w:val="24"/>
        </w:rPr>
        <w:t>地 址：株洲市石峰区田心路18号</w:t>
      </w:r>
    </w:p>
    <w:bookmarkEnd w:id="12"/>
    <w:p w14:paraId="5FC25CF5">
      <w:pPr>
        <w:rPr>
          <w:rFonts w:ascii="仿宋" w:hAnsi="仿宋" w:eastAsia="仿宋"/>
          <w:b/>
          <w:sz w:val="36"/>
          <w:szCs w:val="36"/>
        </w:rPr>
      </w:pPr>
    </w:p>
    <w:p w14:paraId="4F3CC95B">
      <w:pPr>
        <w:rPr>
          <w:rFonts w:ascii="仿宋" w:hAnsi="仿宋" w:eastAsia="仿宋"/>
          <w:b/>
          <w:sz w:val="36"/>
          <w:szCs w:val="36"/>
        </w:rPr>
      </w:pPr>
    </w:p>
    <w:p w14:paraId="24D42DC4">
      <w:pPr>
        <w:rPr>
          <w:rFonts w:ascii="仿宋" w:hAnsi="仿宋" w:eastAsia="仿宋"/>
          <w:b/>
          <w:sz w:val="36"/>
          <w:szCs w:val="36"/>
        </w:rPr>
      </w:pPr>
    </w:p>
    <w:p w14:paraId="0D58E885">
      <w:pPr>
        <w:rPr>
          <w:rFonts w:ascii="仿宋" w:hAnsi="仿宋" w:eastAsia="仿宋"/>
          <w:b/>
          <w:sz w:val="36"/>
          <w:szCs w:val="36"/>
        </w:rPr>
      </w:pPr>
    </w:p>
    <w:p w14:paraId="57DB73A5">
      <w:pPr>
        <w:rPr>
          <w:rFonts w:ascii="仿宋" w:hAnsi="仿宋" w:eastAsia="仿宋"/>
          <w:b/>
          <w:sz w:val="36"/>
          <w:szCs w:val="36"/>
        </w:rPr>
      </w:pPr>
    </w:p>
    <w:p w14:paraId="6783D41F">
      <w:pPr>
        <w:rPr>
          <w:rFonts w:ascii="仿宋" w:hAnsi="仿宋" w:eastAsia="仿宋"/>
          <w:b/>
          <w:sz w:val="36"/>
          <w:szCs w:val="36"/>
        </w:rPr>
      </w:pPr>
    </w:p>
    <w:p w14:paraId="739365B9">
      <w:pPr>
        <w:rPr>
          <w:rFonts w:ascii="仿宋" w:hAnsi="仿宋" w:eastAsia="仿宋"/>
          <w:b/>
          <w:sz w:val="36"/>
          <w:szCs w:val="36"/>
        </w:rPr>
      </w:pPr>
    </w:p>
    <w:p w14:paraId="60840C0B">
      <w:pPr>
        <w:rPr>
          <w:rFonts w:ascii="仿宋" w:hAnsi="仿宋" w:eastAsia="仿宋"/>
          <w:b/>
          <w:sz w:val="36"/>
          <w:szCs w:val="36"/>
        </w:rPr>
      </w:pPr>
    </w:p>
    <w:p w14:paraId="27242F20">
      <w:pPr>
        <w:rPr>
          <w:rFonts w:ascii="仿宋" w:hAnsi="仿宋" w:eastAsia="仿宋"/>
          <w:b/>
          <w:sz w:val="36"/>
          <w:szCs w:val="36"/>
        </w:rPr>
      </w:pPr>
    </w:p>
    <w:p w14:paraId="611302C1">
      <w:pPr>
        <w:pStyle w:val="16"/>
        <w:ind w:left="0" w:leftChars="0" w:firstLine="0"/>
        <w:jc w:val="center"/>
        <w:rPr>
          <w:rFonts w:ascii="仿宋" w:hAnsi="仿宋" w:eastAsia="仿宋"/>
          <w:b/>
          <w:sz w:val="36"/>
          <w:szCs w:val="36"/>
        </w:rPr>
      </w:pPr>
      <w:r>
        <w:rPr>
          <w:rFonts w:ascii="仿宋" w:hAnsi="仿宋" w:eastAsia="仿宋"/>
          <w:b/>
          <w:sz w:val="36"/>
          <w:szCs w:val="36"/>
        </w:rPr>
        <w:t>一</w:t>
      </w:r>
      <w:r>
        <w:rPr>
          <w:rFonts w:hint="eastAsia" w:ascii="仿宋" w:hAnsi="仿宋" w:eastAsia="仿宋"/>
          <w:b/>
          <w:sz w:val="36"/>
          <w:szCs w:val="36"/>
        </w:rPr>
        <w:t>、</w:t>
      </w:r>
      <w:r>
        <w:rPr>
          <w:rFonts w:ascii="仿宋" w:hAnsi="仿宋" w:eastAsia="仿宋"/>
          <w:b/>
          <w:sz w:val="36"/>
          <w:szCs w:val="36"/>
        </w:rPr>
        <w:t>采购需求</w:t>
      </w:r>
    </w:p>
    <w:p w14:paraId="64323B37">
      <w:pPr>
        <w:snapToGrid w:val="0"/>
        <w:spacing w:line="360" w:lineRule="auto"/>
        <w:ind w:firstLine="482" w:firstLineChars="200"/>
        <w:rPr>
          <w:rFonts w:ascii="仿宋" w:hAnsi="仿宋" w:eastAsia="仿宋" w:cs="仿宋"/>
          <w:b/>
          <w:bCs/>
          <w:color w:val="333333"/>
          <w:kern w:val="0"/>
          <w:sz w:val="24"/>
          <w:szCs w:val="24"/>
        </w:rPr>
      </w:pPr>
      <w:r>
        <w:rPr>
          <w:rFonts w:hint="eastAsia" w:ascii="仿宋" w:hAnsi="仿宋" w:eastAsia="仿宋" w:cs="仿宋"/>
          <w:b/>
          <w:bCs/>
          <w:color w:val="333333"/>
          <w:kern w:val="0"/>
          <w:sz w:val="24"/>
          <w:szCs w:val="24"/>
        </w:rPr>
        <w:t>一、项目基本情况</w:t>
      </w:r>
    </w:p>
    <w:p w14:paraId="38292FCB">
      <w:pPr>
        <w:spacing w:line="380" w:lineRule="exact"/>
        <w:ind w:firstLine="480" w:firstLineChars="200"/>
        <w:jc w:val="left"/>
        <w:rPr>
          <w:rFonts w:hint="eastAsia" w:ascii="仿宋" w:hAnsi="仿宋" w:eastAsia="仿宋" w:cs="仿宋"/>
          <w:color w:val="000000" w:themeColor="text1"/>
          <w:kern w:val="0"/>
          <w:sz w:val="24"/>
          <w:szCs w:val="24"/>
          <w:lang w:val="en-US" w:eastAsia="zh-CN" w:bidi="ar-SA"/>
          <w14:textFill>
            <w14:solidFill>
              <w14:schemeClr w14:val="tx1"/>
            </w14:solidFill>
          </w14:textFill>
        </w:rPr>
      </w:pPr>
      <w:r>
        <w:rPr>
          <w:rFonts w:hint="eastAsia" w:ascii="仿宋" w:hAnsi="仿宋" w:eastAsia="仿宋" w:cs="仿宋"/>
          <w:color w:val="000000" w:themeColor="text1"/>
          <w:kern w:val="0"/>
          <w:sz w:val="24"/>
          <w:szCs w:val="24"/>
          <w:lang w:val="en-US" w:eastAsia="zh-CN" w:bidi="ar-SA"/>
          <w14:textFill>
            <w14:solidFill>
              <w14:schemeClr w14:val="tx1"/>
            </w14:solidFill>
          </w14:textFill>
        </w:rPr>
        <w:t>1．项目名称：田心校区、云龙校区校园网络维护服务。</w:t>
      </w:r>
    </w:p>
    <w:p w14:paraId="73AC0132">
      <w:pPr>
        <w:spacing w:line="380" w:lineRule="exact"/>
        <w:ind w:firstLine="480" w:firstLineChars="200"/>
        <w:jc w:val="left"/>
        <w:rPr>
          <w:rFonts w:hint="eastAsia" w:ascii="仿宋" w:hAnsi="仿宋" w:eastAsia="仿宋" w:cs="仿宋"/>
          <w:color w:val="000000" w:themeColor="text1"/>
          <w:kern w:val="0"/>
          <w:sz w:val="24"/>
          <w:szCs w:val="24"/>
          <w:lang w:val="en-US" w:eastAsia="zh-CN" w:bidi="ar-SA"/>
          <w14:textFill>
            <w14:solidFill>
              <w14:schemeClr w14:val="tx1"/>
            </w14:solidFill>
          </w14:textFill>
        </w:rPr>
      </w:pPr>
      <w:r>
        <w:rPr>
          <w:rFonts w:hint="eastAsia" w:ascii="仿宋" w:hAnsi="仿宋" w:eastAsia="仿宋" w:cs="仿宋"/>
          <w:color w:val="000000" w:themeColor="text1"/>
          <w:kern w:val="0"/>
          <w:sz w:val="24"/>
          <w:szCs w:val="24"/>
          <w:lang w:val="en-US" w:eastAsia="zh-CN" w:bidi="ar-SA"/>
          <w14:textFill>
            <w14:solidFill>
              <w14:schemeClr w14:val="tx1"/>
            </w14:solidFill>
          </w14:textFill>
        </w:rPr>
        <w:t>2．服务期限：合同内注明开始日起自然年一年。</w:t>
      </w:r>
    </w:p>
    <w:p w14:paraId="571FF00A">
      <w:pPr>
        <w:spacing w:line="380" w:lineRule="exact"/>
        <w:ind w:firstLine="480" w:firstLineChars="200"/>
        <w:jc w:val="left"/>
        <w:rPr>
          <w:rFonts w:hint="eastAsia" w:ascii="仿宋" w:hAnsi="仿宋" w:eastAsia="仿宋" w:cs="仿宋"/>
          <w:color w:val="000000" w:themeColor="text1"/>
          <w:kern w:val="0"/>
          <w:sz w:val="24"/>
          <w:szCs w:val="24"/>
          <w:lang w:val="en-US" w:eastAsia="zh-CN" w:bidi="ar-SA"/>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3</w:t>
      </w:r>
      <w:r>
        <w:rPr>
          <w:rFonts w:hint="eastAsia" w:ascii="仿宋" w:hAnsi="仿宋" w:eastAsia="仿宋" w:cs="仿宋"/>
          <w:color w:val="000000" w:themeColor="text1"/>
          <w:kern w:val="0"/>
          <w:sz w:val="24"/>
          <w:szCs w:val="24"/>
          <w14:textFill>
            <w14:solidFill>
              <w14:schemeClr w14:val="tx1"/>
            </w14:solidFill>
          </w14:textFill>
        </w:rPr>
        <w:t>．</w:t>
      </w:r>
      <w:r>
        <w:rPr>
          <w:rFonts w:hint="eastAsia" w:ascii="仿宋" w:hAnsi="仿宋" w:eastAsia="仿宋" w:cs="仿宋"/>
          <w:color w:val="000000" w:themeColor="text1"/>
          <w:kern w:val="0"/>
          <w:sz w:val="24"/>
          <w:szCs w:val="24"/>
          <w:lang w:val="en-US" w:eastAsia="zh-CN" w:bidi="ar-SA"/>
          <w14:textFill>
            <w14:solidFill>
              <w14:schemeClr w14:val="tx1"/>
            </w14:solidFill>
          </w14:textFill>
        </w:rPr>
        <w:t>服务范围：湖南铁道职业技术学院田心校区和云龙校区。</w:t>
      </w:r>
    </w:p>
    <w:p w14:paraId="10B47767">
      <w:pPr>
        <w:widowControl w:val="0"/>
        <w:snapToGrid w:val="0"/>
        <w:spacing w:line="360" w:lineRule="auto"/>
        <w:ind w:firstLine="480" w:firstLineChars="200"/>
        <w:jc w:val="both"/>
        <w:rPr>
          <w:rFonts w:hint="eastAsia" w:ascii="仿宋" w:hAnsi="仿宋" w:eastAsia="仿宋" w:cs="仿宋"/>
          <w:color w:val="000000" w:themeColor="text1"/>
          <w:kern w:val="0"/>
          <w:sz w:val="24"/>
          <w:szCs w:val="24"/>
          <w:lang w:val="en-US" w:eastAsia="zh-CN" w:bidi="ar-SA"/>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4</w:t>
      </w:r>
      <w:r>
        <w:rPr>
          <w:rFonts w:hint="eastAsia" w:ascii="仿宋" w:hAnsi="仿宋" w:eastAsia="仿宋" w:cs="仿宋"/>
          <w:color w:val="000000" w:themeColor="text1"/>
          <w:kern w:val="0"/>
          <w:sz w:val="24"/>
          <w:szCs w:val="24"/>
          <w14:textFill>
            <w14:solidFill>
              <w14:schemeClr w14:val="tx1"/>
            </w14:solidFill>
          </w14:textFill>
        </w:rPr>
        <w:t>．采购预算：10万元。</w:t>
      </w:r>
    </w:p>
    <w:p w14:paraId="0650CCCF">
      <w:pPr>
        <w:numPr>
          <w:ilvl w:val="0"/>
          <w:numId w:val="1"/>
        </w:numPr>
        <w:snapToGrid w:val="0"/>
        <w:spacing w:before="156" w:beforeLines="50" w:line="360" w:lineRule="auto"/>
        <w:ind w:firstLine="482" w:firstLineChars="200"/>
        <w:jc w:val="left"/>
        <w:rPr>
          <w:rFonts w:ascii="Times New Roman" w:hAnsi="Times New Roman"/>
          <w:sz w:val="24"/>
        </w:rPr>
      </w:pPr>
      <w:r>
        <w:rPr>
          <w:rFonts w:hint="eastAsia" w:ascii="仿宋" w:hAnsi="仿宋" w:eastAsia="仿宋" w:cstheme="minorEastAsia"/>
          <w:b/>
          <w:sz w:val="24"/>
          <w:szCs w:val="24"/>
        </w:rPr>
        <w:t>服务内容及要求</w:t>
      </w:r>
    </w:p>
    <w:p w14:paraId="010D1A22">
      <w:pPr>
        <w:widowControl w:val="0"/>
        <w:spacing w:line="380" w:lineRule="exact"/>
        <w:ind w:firstLine="480" w:firstLineChars="200"/>
        <w:jc w:val="left"/>
        <w:rPr>
          <w:rFonts w:hint="eastAsia" w:ascii="仿宋" w:hAnsi="仿宋" w:eastAsia="仿宋" w:cs="仿宋"/>
          <w:color w:val="000000" w:themeColor="text1"/>
          <w:kern w:val="0"/>
          <w:sz w:val="24"/>
          <w:szCs w:val="24"/>
          <w:lang w:val="en-US" w:eastAsia="zh-CN" w:bidi="ar-SA"/>
          <w14:textFill>
            <w14:solidFill>
              <w14:schemeClr w14:val="tx1"/>
            </w14:solidFill>
          </w14:textFill>
        </w:rPr>
      </w:pPr>
      <w:r>
        <w:rPr>
          <w:rFonts w:hint="eastAsia" w:ascii="仿宋" w:hAnsi="仿宋" w:eastAsia="仿宋" w:cs="仿宋"/>
          <w:color w:val="000000" w:themeColor="text1"/>
          <w:kern w:val="0"/>
          <w:sz w:val="24"/>
          <w:szCs w:val="24"/>
          <w:lang w:val="en-US" w:eastAsia="zh-CN" w:bidi="ar-SA"/>
          <w14:textFill>
            <w14:solidFill>
              <w14:schemeClr w14:val="tx1"/>
            </w14:solidFill>
          </w14:textFill>
        </w:rPr>
        <w:t>校园网络维护服务项目是指田心校区、云龙校区网络的维护，包括网络设备巡检与监控、网络日常维护和网络复杂故障处理、活动或比赛期间提供网络全天候网络保障、无线网络优化服务等。供应商必须为学校师生提供“随时可用、随处可用、随需可用”的高质量网络环境。服务内容包含：</w:t>
      </w:r>
    </w:p>
    <w:p w14:paraId="1E61B594">
      <w:pPr>
        <w:widowControl w:val="0"/>
        <w:spacing w:line="380" w:lineRule="exact"/>
        <w:ind w:firstLine="480" w:firstLineChars="200"/>
        <w:jc w:val="left"/>
        <w:rPr>
          <w:rFonts w:hint="eastAsia" w:ascii="仿宋" w:hAnsi="仿宋" w:eastAsia="仿宋" w:cs="仿宋"/>
          <w:b w:val="0"/>
          <w:bCs/>
          <w:color w:val="000000" w:themeColor="text1"/>
          <w:kern w:val="0"/>
          <w:sz w:val="24"/>
          <w:szCs w:val="24"/>
          <w:lang w:val="en-US" w:eastAsia="zh-CN" w:bidi="ar-SA"/>
          <w14:textFill>
            <w14:solidFill>
              <w14:schemeClr w14:val="tx1"/>
            </w14:solidFill>
          </w14:textFill>
        </w:rPr>
      </w:pPr>
      <w:r>
        <w:rPr>
          <w:rFonts w:hint="eastAsia" w:ascii="仿宋" w:hAnsi="仿宋" w:eastAsia="仿宋" w:cs="仿宋"/>
          <w:b w:val="0"/>
          <w:bCs/>
          <w:color w:val="000000" w:themeColor="text1"/>
          <w:kern w:val="0"/>
          <w:sz w:val="24"/>
          <w:szCs w:val="24"/>
          <w:lang w:val="en-US" w:eastAsia="zh-CN" w:bidi="ar-SA"/>
          <w14:textFill>
            <w14:solidFill>
              <w14:schemeClr w14:val="tx1"/>
            </w14:solidFill>
          </w14:textFill>
        </w:rPr>
        <w:t>1、</w:t>
      </w:r>
      <w:r>
        <w:rPr>
          <w:rFonts w:hint="eastAsia" w:ascii="仿宋" w:hAnsi="仿宋" w:eastAsia="仿宋" w:cs="Times New Roman"/>
          <w:kern w:val="2"/>
          <w:sz w:val="24"/>
          <w:szCs w:val="24"/>
          <w:lang w:val="en-US" w:eastAsia="zh-CN" w:bidi="ar-SA"/>
        </w:rPr>
        <w:t>田心校区、云龙校区</w:t>
      </w:r>
      <w:r>
        <w:rPr>
          <w:rFonts w:hint="eastAsia" w:ascii="仿宋" w:hAnsi="仿宋" w:eastAsia="仿宋" w:cs="仿宋"/>
          <w:b w:val="0"/>
          <w:bCs/>
          <w:color w:val="000000" w:themeColor="text1"/>
          <w:kern w:val="0"/>
          <w:sz w:val="24"/>
          <w:szCs w:val="24"/>
          <w:lang w:val="en-US" w:eastAsia="zh-CN" w:bidi="ar-SA"/>
          <w14:textFill>
            <w14:solidFill>
              <w14:schemeClr w14:val="tx1"/>
            </w14:solidFill>
          </w14:textFill>
        </w:rPr>
        <w:t>有线网络维护服务</w:t>
      </w:r>
    </w:p>
    <w:p w14:paraId="77C550E2">
      <w:pPr>
        <w:widowControl w:val="0"/>
        <w:spacing w:line="380" w:lineRule="exact"/>
        <w:ind w:firstLine="480" w:firstLineChars="200"/>
        <w:jc w:val="left"/>
        <w:rPr>
          <w:rFonts w:hint="eastAsia" w:ascii="仿宋" w:hAnsi="仿宋" w:eastAsia="仿宋" w:cs="仿宋"/>
          <w:color w:val="000000" w:themeColor="text1"/>
          <w:kern w:val="0"/>
          <w:sz w:val="24"/>
          <w:szCs w:val="24"/>
          <w:lang w:val="en-US" w:eastAsia="zh-CN" w:bidi="ar-SA"/>
          <w14:textFill>
            <w14:solidFill>
              <w14:schemeClr w14:val="tx1"/>
            </w14:solidFill>
          </w14:textFill>
        </w:rPr>
      </w:pPr>
      <w:r>
        <w:rPr>
          <w:rFonts w:hint="eastAsia" w:ascii="仿宋" w:hAnsi="仿宋" w:eastAsia="仿宋" w:cs="仿宋"/>
          <w:color w:val="000000" w:themeColor="text1"/>
          <w:kern w:val="0"/>
          <w:sz w:val="24"/>
          <w:szCs w:val="24"/>
          <w:lang w:val="en-US" w:eastAsia="zh-CN" w:bidi="ar-SA"/>
          <w14:textFill>
            <w14:solidFill>
              <w14:schemeClr w14:val="tx1"/>
            </w14:solidFill>
          </w14:textFill>
        </w:rPr>
        <w:t>a)提供从信息中心机房到教学楼，办公楼，学生宿舍楼，食堂等校园网络覆盖区域的线路和网络设备的维护服务；</w:t>
      </w:r>
    </w:p>
    <w:p w14:paraId="5BE9D139">
      <w:pPr>
        <w:widowControl w:val="0"/>
        <w:spacing w:line="380" w:lineRule="exact"/>
        <w:ind w:firstLine="480" w:firstLineChars="200"/>
        <w:jc w:val="left"/>
        <w:rPr>
          <w:rFonts w:hint="eastAsia" w:ascii="仿宋" w:hAnsi="仿宋" w:eastAsia="仿宋" w:cs="仿宋"/>
          <w:color w:val="000000" w:themeColor="text1"/>
          <w:kern w:val="0"/>
          <w:sz w:val="24"/>
          <w:szCs w:val="24"/>
          <w:lang w:val="en-US" w:eastAsia="zh-CN" w:bidi="ar-SA"/>
          <w14:textFill>
            <w14:solidFill>
              <w14:schemeClr w14:val="tx1"/>
            </w14:solidFill>
          </w14:textFill>
        </w:rPr>
      </w:pPr>
      <w:r>
        <w:rPr>
          <w:rFonts w:hint="eastAsia" w:ascii="仿宋" w:hAnsi="仿宋" w:eastAsia="仿宋" w:cs="仿宋"/>
          <w:color w:val="000000" w:themeColor="text1"/>
          <w:kern w:val="0"/>
          <w:sz w:val="24"/>
          <w:szCs w:val="24"/>
          <w:lang w:val="en-US" w:eastAsia="zh-CN" w:bidi="ar-SA"/>
          <w14:textFill>
            <w14:solidFill>
              <w14:schemeClr w14:val="tx1"/>
            </w14:solidFill>
          </w14:textFill>
        </w:rPr>
        <w:t>b)提供每月1次的日常线路巡检服务，提供 7 x 24 小时热线咨询服务；</w:t>
      </w:r>
    </w:p>
    <w:p w14:paraId="3402B459">
      <w:pPr>
        <w:widowControl w:val="0"/>
        <w:spacing w:line="380" w:lineRule="exact"/>
        <w:ind w:firstLine="480" w:firstLineChars="200"/>
        <w:jc w:val="left"/>
        <w:rPr>
          <w:rFonts w:hint="eastAsia" w:ascii="仿宋" w:hAnsi="仿宋" w:eastAsia="仿宋" w:cs="仿宋"/>
          <w:color w:val="000000" w:themeColor="text1"/>
          <w:kern w:val="0"/>
          <w:sz w:val="24"/>
          <w:szCs w:val="24"/>
          <w:lang w:val="en-US" w:eastAsia="zh-CN" w:bidi="ar-SA"/>
          <w14:textFill>
            <w14:solidFill>
              <w14:schemeClr w14:val="tx1"/>
            </w14:solidFill>
          </w14:textFill>
        </w:rPr>
      </w:pPr>
      <w:r>
        <w:rPr>
          <w:rFonts w:hint="eastAsia" w:ascii="仿宋" w:hAnsi="仿宋" w:eastAsia="仿宋" w:cs="仿宋"/>
          <w:color w:val="000000" w:themeColor="text1"/>
          <w:kern w:val="0"/>
          <w:sz w:val="24"/>
          <w:szCs w:val="24"/>
          <w:lang w:val="en-US" w:eastAsia="zh-CN" w:bidi="ar-SA"/>
          <w14:textFill>
            <w14:solidFill>
              <w14:schemeClr w14:val="tx1"/>
            </w14:solidFill>
          </w14:textFill>
        </w:rPr>
        <w:t>c)建立备品备件库，能够及时提供小时级的备件服务；</w:t>
      </w:r>
    </w:p>
    <w:p w14:paraId="1BE1C2DF">
      <w:pPr>
        <w:widowControl w:val="0"/>
        <w:spacing w:line="380" w:lineRule="exact"/>
        <w:ind w:firstLine="480" w:firstLineChars="200"/>
        <w:jc w:val="left"/>
        <w:rPr>
          <w:rFonts w:hint="eastAsia" w:ascii="仿宋" w:hAnsi="仿宋" w:eastAsia="仿宋" w:cs="仿宋"/>
          <w:color w:val="000000" w:themeColor="text1"/>
          <w:kern w:val="0"/>
          <w:sz w:val="24"/>
          <w:szCs w:val="24"/>
          <w:lang w:val="en-US" w:eastAsia="zh-CN" w:bidi="ar-SA"/>
          <w14:textFill>
            <w14:solidFill>
              <w14:schemeClr w14:val="tx1"/>
            </w14:solidFill>
          </w14:textFill>
        </w:rPr>
      </w:pPr>
      <w:r>
        <w:rPr>
          <w:rFonts w:hint="eastAsia" w:ascii="仿宋" w:hAnsi="仿宋" w:eastAsia="仿宋" w:cs="仿宋"/>
          <w:color w:val="000000" w:themeColor="text1"/>
          <w:kern w:val="0"/>
          <w:sz w:val="24"/>
          <w:szCs w:val="24"/>
          <w:lang w:val="en-US" w:eastAsia="zh-CN" w:bidi="ar-SA"/>
          <w14:textFill>
            <w14:solidFill>
              <w14:schemeClr w14:val="tx1"/>
            </w14:solidFill>
          </w14:textFill>
        </w:rPr>
        <w:t>d)出现故障，一般情况下15分钟响应，1小时到达现场，2小时恢复故障，提供故障说明报告；</w:t>
      </w:r>
    </w:p>
    <w:p w14:paraId="41B49BCE">
      <w:pPr>
        <w:widowControl w:val="0"/>
        <w:spacing w:line="380" w:lineRule="exact"/>
        <w:ind w:firstLine="480" w:firstLineChars="200"/>
        <w:jc w:val="left"/>
        <w:rPr>
          <w:rFonts w:hint="eastAsia" w:ascii="仿宋" w:hAnsi="仿宋" w:eastAsia="仿宋" w:cs="仿宋"/>
          <w:color w:val="000000" w:themeColor="text1"/>
          <w:kern w:val="0"/>
          <w:sz w:val="24"/>
          <w:szCs w:val="24"/>
          <w:lang w:val="en-US" w:eastAsia="zh-CN" w:bidi="ar-SA"/>
          <w14:textFill>
            <w14:solidFill>
              <w14:schemeClr w14:val="tx1"/>
            </w14:solidFill>
          </w14:textFill>
        </w:rPr>
      </w:pPr>
      <w:r>
        <w:rPr>
          <w:rFonts w:hint="eastAsia" w:ascii="仿宋" w:hAnsi="仿宋" w:eastAsia="仿宋" w:cs="仿宋"/>
          <w:color w:val="000000" w:themeColor="text1"/>
          <w:kern w:val="0"/>
          <w:sz w:val="24"/>
          <w:szCs w:val="24"/>
          <w:lang w:val="en-US" w:eastAsia="zh-CN" w:bidi="ar-SA"/>
          <w14:textFill>
            <w14:solidFill>
              <w14:schemeClr w14:val="tx1"/>
            </w14:solidFill>
          </w14:textFill>
        </w:rPr>
        <w:t>e)每季度提供一次线路和网络设备的巡检报告，一共4次；</w:t>
      </w:r>
    </w:p>
    <w:p w14:paraId="7A9B15A4">
      <w:pPr>
        <w:widowControl w:val="0"/>
        <w:spacing w:line="380" w:lineRule="exact"/>
        <w:ind w:firstLine="480" w:firstLineChars="200"/>
        <w:jc w:val="left"/>
        <w:rPr>
          <w:rFonts w:hint="eastAsia" w:ascii="仿宋" w:hAnsi="仿宋" w:eastAsia="仿宋" w:cs="仿宋"/>
          <w:color w:val="000000" w:themeColor="text1"/>
          <w:kern w:val="0"/>
          <w:sz w:val="24"/>
          <w:szCs w:val="24"/>
          <w:lang w:val="en-US" w:eastAsia="zh-CN" w:bidi="ar-SA"/>
          <w14:textFill>
            <w14:solidFill>
              <w14:schemeClr w14:val="tx1"/>
            </w14:solidFill>
          </w14:textFill>
        </w:rPr>
      </w:pPr>
      <w:r>
        <w:rPr>
          <w:rFonts w:hint="eastAsia" w:ascii="仿宋" w:hAnsi="仿宋" w:eastAsia="仿宋" w:cs="仿宋"/>
          <w:color w:val="000000" w:themeColor="text1"/>
          <w:kern w:val="0"/>
          <w:sz w:val="24"/>
          <w:szCs w:val="24"/>
          <w:lang w:val="en-US" w:eastAsia="zh-CN" w:bidi="ar-SA"/>
          <w14:textFill>
            <w14:solidFill>
              <w14:schemeClr w14:val="tx1"/>
            </w14:solidFill>
          </w14:textFill>
        </w:rPr>
        <w:t>f)提供网络布线20次（网线长度≤20米）。</w:t>
      </w:r>
    </w:p>
    <w:p w14:paraId="4FF9B029">
      <w:pPr>
        <w:widowControl w:val="0"/>
        <w:spacing w:line="380" w:lineRule="exact"/>
        <w:ind w:firstLine="480" w:firstLineChars="200"/>
        <w:jc w:val="left"/>
        <w:rPr>
          <w:rFonts w:hint="eastAsia" w:ascii="仿宋" w:hAnsi="仿宋" w:eastAsia="仿宋" w:cs="仿宋"/>
          <w:b w:val="0"/>
          <w:bCs/>
          <w:color w:val="000000" w:themeColor="text1"/>
          <w:kern w:val="0"/>
          <w:sz w:val="24"/>
          <w:szCs w:val="24"/>
          <w:lang w:val="en-US" w:eastAsia="zh-CN" w:bidi="ar-SA"/>
          <w14:textFill>
            <w14:solidFill>
              <w14:schemeClr w14:val="tx1"/>
            </w14:solidFill>
          </w14:textFill>
        </w:rPr>
      </w:pPr>
      <w:r>
        <w:rPr>
          <w:rFonts w:hint="eastAsia" w:ascii="仿宋" w:hAnsi="仿宋" w:eastAsia="仿宋" w:cs="仿宋"/>
          <w:b w:val="0"/>
          <w:bCs/>
          <w:color w:val="000000" w:themeColor="text1"/>
          <w:kern w:val="0"/>
          <w:sz w:val="24"/>
          <w:szCs w:val="24"/>
          <w:lang w:val="en-US" w:eastAsia="zh-CN" w:bidi="ar-SA"/>
          <w14:textFill>
            <w14:solidFill>
              <w14:schemeClr w14:val="tx1"/>
            </w14:solidFill>
          </w14:textFill>
        </w:rPr>
        <w:t>2、</w:t>
      </w:r>
      <w:r>
        <w:rPr>
          <w:rFonts w:hint="eastAsia" w:ascii="仿宋" w:hAnsi="仿宋" w:eastAsia="仿宋" w:cs="Times New Roman"/>
          <w:kern w:val="2"/>
          <w:sz w:val="24"/>
          <w:szCs w:val="24"/>
          <w:lang w:val="en-US" w:eastAsia="zh-CN" w:bidi="ar-SA"/>
        </w:rPr>
        <w:t>田心校区、云龙校区</w:t>
      </w:r>
      <w:r>
        <w:rPr>
          <w:rFonts w:hint="eastAsia" w:ascii="仿宋" w:hAnsi="仿宋" w:eastAsia="仿宋" w:cs="仿宋"/>
          <w:b w:val="0"/>
          <w:bCs/>
          <w:color w:val="000000" w:themeColor="text1"/>
          <w:kern w:val="0"/>
          <w:sz w:val="24"/>
          <w:szCs w:val="24"/>
          <w:lang w:val="en-US" w:eastAsia="zh-CN" w:bidi="ar-SA"/>
          <w14:textFill>
            <w14:solidFill>
              <w14:schemeClr w14:val="tx1"/>
            </w14:solidFill>
          </w14:textFill>
        </w:rPr>
        <w:t>无线Wi-Fi系统维护服务</w:t>
      </w:r>
    </w:p>
    <w:p w14:paraId="2358C43D">
      <w:pPr>
        <w:widowControl w:val="0"/>
        <w:spacing w:line="380" w:lineRule="exact"/>
        <w:ind w:firstLine="480" w:firstLineChars="200"/>
        <w:jc w:val="left"/>
        <w:rPr>
          <w:rFonts w:hint="eastAsia" w:ascii="仿宋" w:hAnsi="仿宋" w:eastAsia="仿宋" w:cs="仿宋"/>
          <w:b w:val="0"/>
          <w:bCs/>
          <w:color w:val="000000" w:themeColor="text1"/>
          <w:kern w:val="0"/>
          <w:sz w:val="24"/>
          <w:szCs w:val="24"/>
          <w:lang w:val="en-US" w:eastAsia="zh-CN" w:bidi="ar-SA"/>
          <w14:textFill>
            <w14:solidFill>
              <w14:schemeClr w14:val="tx1"/>
            </w14:solidFill>
          </w14:textFill>
        </w:rPr>
      </w:pPr>
      <w:r>
        <w:rPr>
          <w:rFonts w:hint="eastAsia" w:ascii="仿宋" w:hAnsi="仿宋" w:eastAsia="仿宋" w:cs="仿宋"/>
          <w:b w:val="0"/>
          <w:bCs/>
          <w:color w:val="000000" w:themeColor="text1"/>
          <w:kern w:val="0"/>
          <w:sz w:val="24"/>
          <w:szCs w:val="24"/>
          <w:lang w:val="en-US" w:eastAsia="zh-CN" w:bidi="ar-SA"/>
          <w14:textFill>
            <w14:solidFill>
              <w14:schemeClr w14:val="tx1"/>
            </w14:solidFill>
          </w14:textFill>
        </w:rPr>
        <w:t>a)提供校园Wi-Fi系统的整体维护服务，包含AP、POE交换机、线路等；</w:t>
      </w:r>
    </w:p>
    <w:p w14:paraId="7753E55D">
      <w:pPr>
        <w:widowControl w:val="0"/>
        <w:spacing w:line="380" w:lineRule="exact"/>
        <w:ind w:firstLine="480" w:firstLineChars="200"/>
        <w:jc w:val="left"/>
        <w:rPr>
          <w:rFonts w:hint="eastAsia" w:ascii="仿宋" w:hAnsi="仿宋" w:eastAsia="仿宋" w:cs="仿宋"/>
          <w:b w:val="0"/>
          <w:bCs/>
          <w:color w:val="000000" w:themeColor="text1"/>
          <w:kern w:val="0"/>
          <w:sz w:val="24"/>
          <w:szCs w:val="24"/>
          <w:lang w:val="en-US" w:eastAsia="zh-CN" w:bidi="ar-SA"/>
          <w14:textFill>
            <w14:solidFill>
              <w14:schemeClr w14:val="tx1"/>
            </w14:solidFill>
          </w14:textFill>
        </w:rPr>
      </w:pPr>
      <w:r>
        <w:rPr>
          <w:rFonts w:hint="eastAsia" w:ascii="仿宋" w:hAnsi="仿宋" w:eastAsia="仿宋" w:cs="仿宋"/>
          <w:b w:val="0"/>
          <w:bCs/>
          <w:color w:val="000000" w:themeColor="text1"/>
          <w:kern w:val="0"/>
          <w:sz w:val="24"/>
          <w:szCs w:val="24"/>
          <w:lang w:val="en-US" w:eastAsia="zh-CN" w:bidi="ar-SA"/>
          <w14:textFill>
            <w14:solidFill>
              <w14:schemeClr w14:val="tx1"/>
            </w14:solidFill>
          </w14:textFill>
        </w:rPr>
        <w:t>b)提供学生和老师，新建上网账号、更改密码、处理一般账号的服务；</w:t>
      </w:r>
    </w:p>
    <w:p w14:paraId="0FC446C7">
      <w:pPr>
        <w:widowControl w:val="0"/>
        <w:spacing w:line="380" w:lineRule="exact"/>
        <w:ind w:firstLine="480" w:firstLineChars="200"/>
        <w:jc w:val="left"/>
        <w:rPr>
          <w:rFonts w:hint="eastAsia" w:ascii="仿宋" w:hAnsi="仿宋" w:eastAsia="仿宋" w:cs="仿宋"/>
          <w:b w:val="0"/>
          <w:bCs/>
          <w:color w:val="000000" w:themeColor="text1"/>
          <w:kern w:val="0"/>
          <w:sz w:val="24"/>
          <w:szCs w:val="24"/>
          <w:lang w:val="en-US" w:eastAsia="zh-CN" w:bidi="ar-SA"/>
          <w14:textFill>
            <w14:solidFill>
              <w14:schemeClr w14:val="tx1"/>
            </w14:solidFill>
          </w14:textFill>
        </w:rPr>
      </w:pPr>
      <w:r>
        <w:rPr>
          <w:rFonts w:hint="eastAsia" w:ascii="仿宋" w:hAnsi="仿宋" w:eastAsia="仿宋" w:cs="仿宋"/>
          <w:b w:val="0"/>
          <w:bCs/>
          <w:color w:val="000000" w:themeColor="text1"/>
          <w:kern w:val="0"/>
          <w:sz w:val="24"/>
          <w:szCs w:val="24"/>
          <w:lang w:val="en-US" w:eastAsia="zh-CN" w:bidi="ar-SA"/>
          <w14:textFill>
            <w14:solidFill>
              <w14:schemeClr w14:val="tx1"/>
            </w14:solidFill>
          </w14:textFill>
        </w:rPr>
        <w:t>c)建立备品备件库，能够及时提供小时级的备件服务；</w:t>
      </w:r>
    </w:p>
    <w:p w14:paraId="3B6D0125">
      <w:pPr>
        <w:widowControl w:val="0"/>
        <w:spacing w:line="380" w:lineRule="exact"/>
        <w:ind w:firstLine="480" w:firstLineChars="200"/>
        <w:jc w:val="left"/>
        <w:rPr>
          <w:rFonts w:hint="eastAsia" w:ascii="仿宋" w:hAnsi="仿宋" w:eastAsia="仿宋" w:cs="仿宋"/>
          <w:b w:val="0"/>
          <w:bCs/>
          <w:color w:val="000000" w:themeColor="text1"/>
          <w:kern w:val="0"/>
          <w:sz w:val="24"/>
          <w:szCs w:val="24"/>
          <w:lang w:val="en-US" w:eastAsia="zh-CN" w:bidi="ar-SA"/>
          <w14:textFill>
            <w14:solidFill>
              <w14:schemeClr w14:val="tx1"/>
            </w14:solidFill>
          </w14:textFill>
        </w:rPr>
      </w:pPr>
      <w:r>
        <w:rPr>
          <w:rFonts w:hint="eastAsia" w:ascii="仿宋" w:hAnsi="仿宋" w:eastAsia="仿宋" w:cs="仿宋"/>
          <w:b w:val="0"/>
          <w:bCs/>
          <w:color w:val="000000" w:themeColor="text1"/>
          <w:kern w:val="0"/>
          <w:sz w:val="24"/>
          <w:szCs w:val="24"/>
          <w:lang w:val="en-US" w:eastAsia="zh-CN" w:bidi="ar-SA"/>
          <w14:textFill>
            <w14:solidFill>
              <w14:schemeClr w14:val="tx1"/>
            </w14:solidFill>
          </w14:textFill>
        </w:rPr>
        <w:t>d)出现故障，一般情况下1小时到达现场，进行故障分析和诊断、制定故障恢复方案，原则上2小时排除恢复故障。</w:t>
      </w:r>
    </w:p>
    <w:p w14:paraId="4C820CC9">
      <w:pPr>
        <w:widowControl w:val="0"/>
        <w:spacing w:line="380" w:lineRule="exact"/>
        <w:ind w:firstLine="480" w:firstLineChars="200"/>
        <w:jc w:val="left"/>
        <w:rPr>
          <w:rFonts w:hint="eastAsia" w:ascii="仿宋" w:hAnsi="仿宋" w:eastAsia="仿宋" w:cs="仿宋"/>
          <w:b w:val="0"/>
          <w:bCs/>
          <w:color w:val="000000" w:themeColor="text1"/>
          <w:kern w:val="0"/>
          <w:sz w:val="24"/>
          <w:szCs w:val="24"/>
          <w:lang w:val="en-US" w:eastAsia="zh-CN" w:bidi="ar-SA"/>
          <w14:textFill>
            <w14:solidFill>
              <w14:schemeClr w14:val="tx1"/>
            </w14:solidFill>
          </w14:textFill>
        </w:rPr>
      </w:pPr>
      <w:r>
        <w:rPr>
          <w:rFonts w:hint="eastAsia" w:ascii="仿宋" w:hAnsi="仿宋" w:eastAsia="仿宋" w:cs="仿宋"/>
          <w:b w:val="0"/>
          <w:bCs/>
          <w:color w:val="000000" w:themeColor="text1"/>
          <w:kern w:val="0"/>
          <w:sz w:val="24"/>
          <w:szCs w:val="24"/>
          <w:lang w:val="en-US" w:eastAsia="zh-CN" w:bidi="ar-SA"/>
          <w14:textFill>
            <w14:solidFill>
              <w14:schemeClr w14:val="tx1"/>
            </w14:solidFill>
          </w14:textFill>
        </w:rPr>
        <w:t>e)每季度提供一次线路和网络设备的巡检报告，一共4次；</w:t>
      </w:r>
    </w:p>
    <w:p w14:paraId="42A97736">
      <w:pPr>
        <w:widowControl w:val="0"/>
        <w:spacing w:line="380" w:lineRule="exact"/>
        <w:ind w:firstLine="480" w:firstLineChars="200"/>
        <w:jc w:val="left"/>
        <w:rPr>
          <w:rFonts w:hint="eastAsia" w:ascii="仿宋" w:hAnsi="仿宋" w:eastAsia="仿宋" w:cs="仿宋"/>
          <w:b w:val="0"/>
          <w:bCs/>
          <w:color w:val="000000" w:themeColor="text1"/>
          <w:kern w:val="0"/>
          <w:sz w:val="24"/>
          <w:szCs w:val="24"/>
          <w:lang w:val="en-US" w:eastAsia="zh-CN" w:bidi="ar-SA"/>
          <w14:textFill>
            <w14:solidFill>
              <w14:schemeClr w14:val="tx1"/>
            </w14:solidFill>
          </w14:textFill>
        </w:rPr>
      </w:pPr>
      <w:r>
        <w:rPr>
          <w:rFonts w:hint="eastAsia" w:ascii="仿宋" w:hAnsi="仿宋" w:eastAsia="仿宋" w:cs="仿宋"/>
          <w:b w:val="0"/>
          <w:bCs/>
          <w:color w:val="000000" w:themeColor="text1"/>
          <w:kern w:val="0"/>
          <w:sz w:val="24"/>
          <w:szCs w:val="24"/>
          <w:lang w:val="en-US" w:eastAsia="zh-CN" w:bidi="ar-SA"/>
          <w14:textFill>
            <w14:solidFill>
              <w14:schemeClr w14:val="tx1"/>
            </w14:solidFill>
          </w14:textFill>
        </w:rPr>
        <w:t>3、</w:t>
      </w:r>
      <w:r>
        <w:rPr>
          <w:rFonts w:hint="eastAsia" w:ascii="仿宋" w:hAnsi="仿宋" w:eastAsia="仿宋" w:cs="Times New Roman"/>
          <w:kern w:val="2"/>
          <w:sz w:val="24"/>
          <w:szCs w:val="24"/>
          <w:lang w:val="en-US" w:eastAsia="zh-CN" w:bidi="ar-SA"/>
        </w:rPr>
        <w:t>田心校区、云龙校区</w:t>
      </w:r>
      <w:r>
        <w:rPr>
          <w:rFonts w:hint="eastAsia" w:ascii="仿宋" w:hAnsi="仿宋" w:eastAsia="仿宋" w:cs="仿宋"/>
          <w:b w:val="0"/>
          <w:bCs/>
          <w:color w:val="000000" w:themeColor="text1"/>
          <w:kern w:val="0"/>
          <w:sz w:val="24"/>
          <w:szCs w:val="24"/>
          <w:lang w:val="en-US" w:eastAsia="zh-CN" w:bidi="ar-SA"/>
          <w14:textFill>
            <w14:solidFill>
              <w14:schemeClr w14:val="tx1"/>
            </w14:solidFill>
          </w14:textFill>
        </w:rPr>
        <w:t>会议、比赛等活动的网络保障服务。</w:t>
      </w:r>
    </w:p>
    <w:p w14:paraId="0FB14352">
      <w:pPr>
        <w:widowControl w:val="0"/>
        <w:spacing w:line="380" w:lineRule="exact"/>
        <w:ind w:firstLine="480" w:firstLineChars="200"/>
        <w:jc w:val="left"/>
        <w:rPr>
          <w:rFonts w:hint="default" w:ascii="仿宋" w:hAnsi="仿宋" w:eastAsia="仿宋" w:cs="仿宋"/>
          <w:color w:val="000000" w:themeColor="text1"/>
          <w:kern w:val="0"/>
          <w:sz w:val="24"/>
          <w:szCs w:val="24"/>
          <w:lang w:val="en-US" w:eastAsia="zh-CN" w:bidi="ar-SA"/>
          <w14:textFill>
            <w14:solidFill>
              <w14:schemeClr w14:val="tx1"/>
            </w14:solidFill>
          </w14:textFill>
        </w:rPr>
      </w:pPr>
      <w:r>
        <w:rPr>
          <w:rFonts w:hint="eastAsia" w:ascii="仿宋" w:hAnsi="仿宋" w:eastAsia="仿宋" w:cs="仿宋"/>
          <w:color w:val="000000" w:themeColor="text1"/>
          <w:kern w:val="0"/>
          <w:sz w:val="24"/>
          <w:szCs w:val="24"/>
          <w:lang w:val="en-US" w:eastAsia="zh-CN" w:bidi="ar-SA"/>
          <w14:textFill>
            <w14:solidFill>
              <w14:schemeClr w14:val="tx1"/>
            </w14:solidFill>
          </w14:textFill>
        </w:rPr>
        <w:t>a)会议、比赛前需对现有网络检测</w:t>
      </w:r>
      <w:r>
        <w:rPr>
          <w:rFonts w:hint="default" w:ascii="仿宋" w:hAnsi="仿宋" w:eastAsia="仿宋" w:cs="仿宋"/>
          <w:color w:val="000000" w:themeColor="text1"/>
          <w:kern w:val="0"/>
          <w:sz w:val="24"/>
          <w:szCs w:val="24"/>
          <w:lang w:val="en-US" w:eastAsia="zh-CN" w:bidi="ar-SA"/>
          <w14:textFill>
            <w14:solidFill>
              <w14:schemeClr w14:val="tx1"/>
            </w14:solidFill>
          </w14:textFill>
        </w:rPr>
        <w:t>：提前勘查会议场地（主会场、分会场、签到处、茶歇区等）的网络设备（交换机、AP、线路）、带宽容量、运营商链路质量（如光纤/专线状态）</w:t>
      </w:r>
      <w:r>
        <w:rPr>
          <w:rFonts w:hint="eastAsia" w:ascii="仿宋" w:hAnsi="仿宋" w:eastAsia="仿宋" w:cs="仿宋"/>
          <w:color w:val="000000" w:themeColor="text1"/>
          <w:kern w:val="0"/>
          <w:sz w:val="24"/>
          <w:szCs w:val="24"/>
          <w:lang w:val="en-US" w:eastAsia="zh-CN" w:bidi="ar-SA"/>
          <w14:textFill>
            <w14:solidFill>
              <w14:schemeClr w14:val="tx1"/>
            </w14:solidFill>
          </w14:textFill>
        </w:rPr>
        <w:t>。</w:t>
      </w:r>
    </w:p>
    <w:p w14:paraId="2CA2588A">
      <w:pPr>
        <w:widowControl w:val="0"/>
        <w:spacing w:line="380" w:lineRule="exact"/>
        <w:ind w:firstLine="480" w:firstLineChars="200"/>
        <w:jc w:val="left"/>
        <w:rPr>
          <w:rFonts w:hint="eastAsia" w:ascii="仿宋" w:hAnsi="仿宋" w:eastAsia="仿宋" w:cs="仿宋"/>
          <w:color w:val="000000" w:themeColor="text1"/>
          <w:kern w:val="0"/>
          <w:sz w:val="24"/>
          <w:szCs w:val="24"/>
          <w:lang w:val="en-US" w:eastAsia="zh-CN" w:bidi="ar-SA"/>
          <w14:textFill>
            <w14:solidFill>
              <w14:schemeClr w14:val="tx1"/>
            </w14:solidFill>
          </w14:textFill>
        </w:rPr>
      </w:pPr>
      <w:r>
        <w:rPr>
          <w:rFonts w:hint="eastAsia" w:ascii="仿宋" w:hAnsi="仿宋" w:eastAsia="仿宋" w:cs="仿宋"/>
          <w:color w:val="000000" w:themeColor="text1"/>
          <w:kern w:val="0"/>
          <w:sz w:val="24"/>
          <w:szCs w:val="24"/>
          <w:lang w:val="en-US" w:eastAsia="zh-CN" w:bidi="ar-SA"/>
          <w14:textFill>
            <w14:solidFill>
              <w14:schemeClr w14:val="tx1"/>
            </w14:solidFill>
          </w14:textFill>
        </w:rPr>
        <w:t>b)会议、比赛前1-3天完成设备部署与全流程测试，确保会前网络“零故障”。</w:t>
      </w:r>
    </w:p>
    <w:p w14:paraId="6508AC08">
      <w:pPr>
        <w:widowControl w:val="0"/>
        <w:spacing w:line="380" w:lineRule="exact"/>
        <w:ind w:firstLine="480" w:firstLineChars="200"/>
        <w:jc w:val="left"/>
        <w:rPr>
          <w:rFonts w:ascii="仿宋" w:hAnsi="仿宋" w:eastAsia="仿宋" w:cs="仿宋"/>
          <w:color w:val="333333"/>
          <w:kern w:val="0"/>
          <w:sz w:val="24"/>
          <w:szCs w:val="24"/>
        </w:rPr>
      </w:pPr>
      <w:r>
        <w:rPr>
          <w:rFonts w:hint="eastAsia" w:ascii="仿宋" w:hAnsi="仿宋" w:eastAsia="仿宋" w:cs="仿宋"/>
          <w:color w:val="000000" w:themeColor="text1"/>
          <w:kern w:val="0"/>
          <w:sz w:val="24"/>
          <w:szCs w:val="24"/>
          <w:lang w:val="en-US" w:eastAsia="zh-CN" w:bidi="ar-SA"/>
          <w14:textFill>
            <w14:solidFill>
              <w14:schemeClr w14:val="tx1"/>
            </w14:solidFill>
          </w14:textFill>
        </w:rPr>
        <w:t>c)会议、比赛期间需7×24小时监控网络状态，及时处理突发故障，确保关键业务“零中断”。</w:t>
      </w:r>
    </w:p>
    <w:p w14:paraId="130BDE49">
      <w:pPr>
        <w:numPr>
          <w:ilvl w:val="0"/>
          <w:numId w:val="1"/>
        </w:numPr>
        <w:snapToGrid w:val="0"/>
        <w:spacing w:before="156" w:beforeLines="50" w:line="360" w:lineRule="auto"/>
        <w:ind w:firstLine="482" w:firstLineChars="200"/>
        <w:jc w:val="left"/>
        <w:rPr>
          <w:rFonts w:ascii="仿宋" w:hAnsi="仿宋" w:eastAsia="仿宋" w:cstheme="minorEastAsia"/>
          <w:b/>
          <w:sz w:val="24"/>
          <w:szCs w:val="24"/>
        </w:rPr>
      </w:pPr>
      <w:r>
        <w:rPr>
          <w:rFonts w:hint="eastAsia" w:ascii="仿宋" w:hAnsi="仿宋" w:eastAsia="仿宋" w:cstheme="minorEastAsia"/>
          <w:b/>
          <w:sz w:val="24"/>
          <w:szCs w:val="24"/>
        </w:rPr>
        <w:t>服务质量要求：</w:t>
      </w:r>
    </w:p>
    <w:p w14:paraId="6CF69B55">
      <w:pPr>
        <w:widowControl w:val="0"/>
        <w:spacing w:line="380" w:lineRule="exact"/>
        <w:ind w:firstLine="480" w:firstLineChars="200"/>
        <w:jc w:val="left"/>
        <w:rPr>
          <w:rFonts w:hint="eastAsia" w:ascii="仿宋" w:hAnsi="仿宋" w:eastAsia="仿宋" w:cs="仿宋"/>
          <w:color w:val="000000" w:themeColor="text1"/>
          <w:kern w:val="0"/>
          <w:sz w:val="24"/>
          <w:szCs w:val="24"/>
          <w:lang w:val="en-US" w:eastAsia="zh-CN" w:bidi="ar-SA"/>
          <w14:textFill>
            <w14:solidFill>
              <w14:schemeClr w14:val="tx1"/>
            </w14:solidFill>
          </w14:textFill>
        </w:rPr>
      </w:pPr>
      <w:r>
        <w:rPr>
          <w:rFonts w:hint="eastAsia" w:ascii="仿宋" w:hAnsi="仿宋" w:eastAsia="仿宋" w:cs="仿宋"/>
          <w:color w:val="000000" w:themeColor="text1"/>
          <w:kern w:val="0"/>
          <w:sz w:val="24"/>
          <w:szCs w:val="24"/>
          <w:lang w:val="en-US" w:eastAsia="zh-CN" w:bidi="ar-SA"/>
          <w14:textFill>
            <w14:solidFill>
              <w14:schemeClr w14:val="tx1"/>
            </w14:solidFill>
          </w14:textFill>
        </w:rPr>
        <w:t>1.供应商保证合作期间校园网网络畅通，提供 7 x 24 小时热线咨询服务。</w:t>
      </w:r>
    </w:p>
    <w:p w14:paraId="4754119F">
      <w:pPr>
        <w:widowControl w:val="0"/>
        <w:spacing w:line="380" w:lineRule="exact"/>
        <w:ind w:firstLine="480" w:firstLineChars="200"/>
        <w:jc w:val="left"/>
        <w:rPr>
          <w:rFonts w:hint="eastAsia" w:ascii="仿宋" w:hAnsi="仿宋" w:eastAsia="仿宋" w:cs="仿宋"/>
          <w:color w:val="000000" w:themeColor="text1"/>
          <w:kern w:val="0"/>
          <w:sz w:val="24"/>
          <w:szCs w:val="24"/>
          <w:lang w:val="en-US" w:eastAsia="zh-CN" w:bidi="ar-SA"/>
          <w14:textFill>
            <w14:solidFill>
              <w14:schemeClr w14:val="tx1"/>
            </w14:solidFill>
          </w14:textFill>
        </w:rPr>
      </w:pPr>
      <w:r>
        <w:rPr>
          <w:rFonts w:hint="eastAsia" w:ascii="仿宋" w:hAnsi="仿宋" w:eastAsia="仿宋" w:cs="仿宋"/>
          <w:color w:val="000000" w:themeColor="text1"/>
          <w:kern w:val="0"/>
          <w:sz w:val="24"/>
          <w:szCs w:val="24"/>
          <w:lang w:val="en-US" w:eastAsia="zh-CN" w:bidi="ar-SA"/>
          <w14:textFill>
            <w14:solidFill>
              <w14:schemeClr w14:val="tx1"/>
            </w14:solidFill>
          </w14:textFill>
        </w:rPr>
        <w:t>2.供应商要能快速处理故障，15分钟响应，1小时到达现场，2小时恢复故障。</w:t>
      </w:r>
    </w:p>
    <w:p w14:paraId="2F0F319A">
      <w:pPr>
        <w:widowControl w:val="0"/>
        <w:spacing w:line="380" w:lineRule="exact"/>
        <w:ind w:firstLine="480" w:firstLineChars="200"/>
        <w:jc w:val="left"/>
        <w:rPr>
          <w:rFonts w:hint="eastAsia" w:ascii="仿宋" w:hAnsi="仿宋" w:eastAsia="仿宋" w:cs="仿宋"/>
          <w:color w:val="000000" w:themeColor="text1"/>
          <w:kern w:val="0"/>
          <w:sz w:val="24"/>
          <w:szCs w:val="24"/>
          <w:lang w:val="en-US" w:eastAsia="zh-CN" w:bidi="ar-SA"/>
          <w14:textFill>
            <w14:solidFill>
              <w14:schemeClr w14:val="tx1"/>
            </w14:solidFill>
          </w14:textFill>
        </w:rPr>
      </w:pPr>
      <w:r>
        <w:rPr>
          <w:rFonts w:hint="eastAsia" w:ascii="仿宋" w:hAnsi="仿宋" w:eastAsia="仿宋" w:cs="仿宋"/>
          <w:color w:val="000000" w:themeColor="text1"/>
          <w:kern w:val="0"/>
          <w:sz w:val="24"/>
          <w:szCs w:val="24"/>
          <w:lang w:val="en-US" w:eastAsia="zh-CN" w:bidi="ar-SA"/>
          <w14:textFill>
            <w14:solidFill>
              <w14:schemeClr w14:val="tx1"/>
            </w14:solidFill>
          </w14:textFill>
        </w:rPr>
        <w:t>3.供应商要做好用户服务降低投诉数量。</w:t>
      </w:r>
    </w:p>
    <w:p w14:paraId="3C7DCFAE">
      <w:pPr>
        <w:snapToGrid w:val="0"/>
        <w:spacing w:before="156" w:beforeLines="50" w:line="360" w:lineRule="auto"/>
        <w:ind w:firstLine="482" w:firstLineChars="200"/>
        <w:jc w:val="left"/>
        <w:rPr>
          <w:rFonts w:ascii="仿宋" w:hAnsi="仿宋" w:eastAsia="仿宋" w:cstheme="minorEastAsia"/>
          <w:b/>
          <w:sz w:val="24"/>
          <w:szCs w:val="24"/>
        </w:rPr>
      </w:pPr>
      <w:r>
        <w:rPr>
          <w:rFonts w:hint="eastAsia" w:ascii="仿宋" w:hAnsi="仿宋" w:eastAsia="仿宋" w:cstheme="minorEastAsia"/>
          <w:b/>
          <w:sz w:val="24"/>
          <w:szCs w:val="24"/>
        </w:rPr>
        <w:t>四、服务质量检查考核标准和方法：</w:t>
      </w:r>
    </w:p>
    <w:p w14:paraId="7EE09962">
      <w:pPr>
        <w:widowControl w:val="0"/>
        <w:spacing w:line="380" w:lineRule="exact"/>
        <w:ind w:firstLine="480" w:firstLineChars="200"/>
        <w:jc w:val="left"/>
        <w:rPr>
          <w:rFonts w:hint="eastAsia" w:ascii="仿宋" w:hAnsi="仿宋" w:eastAsia="仿宋" w:cs="仿宋"/>
          <w:color w:val="000000" w:themeColor="text1"/>
          <w:kern w:val="0"/>
          <w:sz w:val="24"/>
          <w:szCs w:val="24"/>
          <w:lang w:val="en-US" w:eastAsia="zh-CN" w:bidi="ar-SA"/>
          <w14:textFill>
            <w14:solidFill>
              <w14:schemeClr w14:val="tx1"/>
            </w14:solidFill>
          </w14:textFill>
        </w:rPr>
      </w:pPr>
      <w:r>
        <w:rPr>
          <w:rFonts w:hint="eastAsia" w:ascii="仿宋" w:hAnsi="仿宋" w:eastAsia="仿宋" w:cs="仿宋"/>
          <w:color w:val="000000" w:themeColor="text1"/>
          <w:kern w:val="0"/>
          <w:sz w:val="24"/>
          <w:szCs w:val="24"/>
          <w:lang w:val="en-US" w:eastAsia="zh-CN" w:bidi="ar-SA"/>
          <w14:textFill>
            <w14:solidFill>
              <w14:schemeClr w14:val="tx1"/>
            </w14:solidFill>
          </w14:textFill>
        </w:rPr>
        <w:t>1、维护服务响应速度</w:t>
      </w:r>
    </w:p>
    <w:p w14:paraId="0D621A59">
      <w:pPr>
        <w:widowControl w:val="0"/>
        <w:spacing w:line="380" w:lineRule="exact"/>
        <w:ind w:firstLine="480" w:firstLineChars="200"/>
        <w:jc w:val="left"/>
        <w:rPr>
          <w:rFonts w:hint="eastAsia" w:ascii="仿宋" w:hAnsi="仿宋" w:eastAsia="仿宋" w:cs="仿宋"/>
          <w:color w:val="000000" w:themeColor="text1"/>
          <w:kern w:val="0"/>
          <w:sz w:val="24"/>
          <w:szCs w:val="24"/>
          <w:lang w:val="en-US" w:eastAsia="zh-CN" w:bidi="ar-SA"/>
          <w14:textFill>
            <w14:solidFill>
              <w14:schemeClr w14:val="tx1"/>
            </w14:solidFill>
          </w14:textFill>
        </w:rPr>
      </w:pPr>
      <w:r>
        <w:rPr>
          <w:rFonts w:hint="eastAsia" w:ascii="仿宋" w:hAnsi="仿宋" w:eastAsia="仿宋" w:cs="仿宋"/>
          <w:color w:val="000000" w:themeColor="text1"/>
          <w:kern w:val="0"/>
          <w:sz w:val="24"/>
          <w:szCs w:val="24"/>
          <w:lang w:val="en-US" w:eastAsia="zh-CN" w:bidi="ar-SA"/>
          <w14:textFill>
            <w14:solidFill>
              <w14:schemeClr w14:val="tx1"/>
            </w14:solidFill>
          </w14:textFill>
        </w:rPr>
        <w:t>在规定的处理时限内未及时处理的，每延时1小时扣款乙方10元/次，导致用户投诉的，扣款100元/次，甲乙双方每周核对前一周的网络维修记录，并签字确认。</w:t>
      </w:r>
    </w:p>
    <w:p w14:paraId="1A2B757B">
      <w:pPr>
        <w:widowControl w:val="0"/>
        <w:spacing w:line="380" w:lineRule="exact"/>
        <w:ind w:firstLine="480" w:firstLineChars="200"/>
        <w:jc w:val="left"/>
        <w:rPr>
          <w:rFonts w:hint="eastAsia" w:ascii="仿宋" w:hAnsi="仿宋" w:eastAsia="仿宋" w:cs="仿宋"/>
          <w:color w:val="000000" w:themeColor="text1"/>
          <w:kern w:val="0"/>
          <w:sz w:val="24"/>
          <w:szCs w:val="24"/>
          <w:lang w:val="en-US" w:eastAsia="zh-CN" w:bidi="ar-SA"/>
          <w14:textFill>
            <w14:solidFill>
              <w14:schemeClr w14:val="tx1"/>
            </w14:solidFill>
          </w14:textFill>
        </w:rPr>
      </w:pPr>
      <w:r>
        <w:rPr>
          <w:rFonts w:hint="eastAsia" w:ascii="仿宋" w:hAnsi="仿宋" w:eastAsia="仿宋" w:cs="仿宋"/>
          <w:color w:val="000000" w:themeColor="text1"/>
          <w:kern w:val="0"/>
          <w:sz w:val="24"/>
          <w:szCs w:val="24"/>
          <w:lang w:val="en-US" w:eastAsia="zh-CN" w:bidi="ar-SA"/>
          <w14:textFill>
            <w14:solidFill>
              <w14:schemeClr w14:val="tx1"/>
            </w14:solidFill>
          </w14:textFill>
        </w:rPr>
        <w:t>2、故障复发率考核</w:t>
      </w:r>
    </w:p>
    <w:p w14:paraId="21F946BA">
      <w:pPr>
        <w:widowControl w:val="0"/>
        <w:spacing w:line="380" w:lineRule="exact"/>
        <w:ind w:firstLine="480" w:firstLineChars="200"/>
        <w:jc w:val="left"/>
        <w:rPr>
          <w:rFonts w:hint="eastAsia" w:ascii="仿宋" w:hAnsi="仿宋" w:eastAsia="仿宋" w:cs="仿宋"/>
          <w:color w:val="000000" w:themeColor="text1"/>
          <w:kern w:val="0"/>
          <w:sz w:val="24"/>
          <w:szCs w:val="24"/>
          <w:lang w:val="en-US" w:eastAsia="zh-CN" w:bidi="ar-SA"/>
          <w14:textFill>
            <w14:solidFill>
              <w14:schemeClr w14:val="tx1"/>
            </w14:solidFill>
          </w14:textFill>
        </w:rPr>
      </w:pPr>
      <w:r>
        <w:rPr>
          <w:rFonts w:hint="eastAsia" w:ascii="仿宋" w:hAnsi="仿宋" w:eastAsia="仿宋" w:cs="仿宋"/>
          <w:color w:val="000000" w:themeColor="text1"/>
          <w:kern w:val="0"/>
          <w:sz w:val="24"/>
          <w:szCs w:val="24"/>
          <w:lang w:val="en-US" w:eastAsia="zh-CN" w:bidi="ar-SA"/>
          <w14:textFill>
            <w14:solidFill>
              <w14:schemeClr w14:val="tx1"/>
            </w14:solidFill>
          </w14:textFill>
        </w:rPr>
        <w:t>一个月内用户重复报修故障超过故障总数的4%，超过部分每发生一次扣款20元。</w:t>
      </w:r>
    </w:p>
    <w:p w14:paraId="3F8E602B">
      <w:pPr>
        <w:widowControl w:val="0"/>
        <w:spacing w:line="380" w:lineRule="exact"/>
        <w:ind w:firstLine="480" w:firstLineChars="200"/>
        <w:jc w:val="left"/>
        <w:rPr>
          <w:rFonts w:hint="eastAsia" w:ascii="仿宋" w:hAnsi="仿宋" w:eastAsia="仿宋" w:cs="仿宋"/>
          <w:color w:val="000000" w:themeColor="text1"/>
          <w:kern w:val="0"/>
          <w:sz w:val="24"/>
          <w:szCs w:val="24"/>
          <w:lang w:val="en-US" w:eastAsia="zh-CN" w:bidi="ar-SA"/>
          <w14:textFill>
            <w14:solidFill>
              <w14:schemeClr w14:val="tx1"/>
            </w14:solidFill>
          </w14:textFill>
        </w:rPr>
      </w:pPr>
      <w:r>
        <w:rPr>
          <w:rFonts w:hint="eastAsia" w:ascii="仿宋" w:hAnsi="仿宋" w:eastAsia="仿宋" w:cs="仿宋"/>
          <w:color w:val="000000" w:themeColor="text1"/>
          <w:kern w:val="0"/>
          <w:sz w:val="24"/>
          <w:szCs w:val="24"/>
          <w:lang w:val="en-US" w:eastAsia="zh-CN" w:bidi="ar-SA"/>
          <w14:textFill>
            <w14:solidFill>
              <w14:schemeClr w14:val="tx1"/>
            </w14:solidFill>
          </w14:textFill>
        </w:rPr>
        <w:t>同一用户1个月内产生4次重复故障，扣款300元，产生5次重复故障，扣款400元。</w:t>
      </w:r>
    </w:p>
    <w:p w14:paraId="4CDAAD9C">
      <w:pPr>
        <w:widowControl w:val="0"/>
        <w:spacing w:line="380" w:lineRule="exact"/>
        <w:ind w:firstLine="480" w:firstLineChars="200"/>
        <w:jc w:val="left"/>
        <w:rPr>
          <w:rFonts w:hint="eastAsia" w:ascii="仿宋" w:hAnsi="仿宋" w:eastAsia="仿宋" w:cs="仿宋"/>
          <w:color w:val="000000" w:themeColor="text1"/>
          <w:kern w:val="0"/>
          <w:sz w:val="24"/>
          <w:szCs w:val="24"/>
          <w:lang w:val="en-US" w:eastAsia="zh-CN" w:bidi="ar-SA"/>
          <w14:textFill>
            <w14:solidFill>
              <w14:schemeClr w14:val="tx1"/>
            </w14:solidFill>
          </w14:textFill>
        </w:rPr>
      </w:pPr>
      <w:r>
        <w:rPr>
          <w:rFonts w:hint="eastAsia" w:ascii="仿宋" w:hAnsi="仿宋" w:eastAsia="仿宋" w:cs="仿宋"/>
          <w:color w:val="000000" w:themeColor="text1"/>
          <w:kern w:val="0"/>
          <w:sz w:val="24"/>
          <w:szCs w:val="24"/>
          <w:lang w:val="en-US" w:eastAsia="zh-CN" w:bidi="ar-SA"/>
          <w14:textFill>
            <w14:solidFill>
              <w14:schemeClr w14:val="tx1"/>
            </w14:solidFill>
          </w14:textFill>
        </w:rPr>
        <w:t>3、用户投诉比考核：</w:t>
      </w:r>
    </w:p>
    <w:p w14:paraId="73483846">
      <w:pPr>
        <w:widowControl w:val="0"/>
        <w:spacing w:line="380" w:lineRule="exact"/>
        <w:ind w:firstLine="480" w:firstLineChars="200"/>
        <w:jc w:val="left"/>
        <w:rPr>
          <w:rFonts w:hint="eastAsia" w:ascii="仿宋" w:hAnsi="仿宋" w:eastAsia="仿宋" w:cs="仿宋"/>
          <w:color w:val="000000" w:themeColor="text1"/>
          <w:kern w:val="0"/>
          <w:sz w:val="24"/>
          <w:szCs w:val="24"/>
          <w:lang w:val="en-US" w:eastAsia="zh-CN" w:bidi="ar-SA"/>
          <w14:textFill>
            <w14:solidFill>
              <w14:schemeClr w14:val="tx1"/>
            </w14:solidFill>
          </w14:textFill>
        </w:rPr>
      </w:pPr>
      <w:r>
        <w:rPr>
          <w:rFonts w:hint="eastAsia" w:ascii="仿宋" w:hAnsi="仿宋" w:eastAsia="仿宋" w:cs="仿宋"/>
          <w:color w:val="000000" w:themeColor="text1"/>
          <w:kern w:val="0"/>
          <w:sz w:val="24"/>
          <w:szCs w:val="24"/>
          <w:lang w:val="en-US" w:eastAsia="zh-CN" w:bidi="ar-SA"/>
          <w14:textFill>
            <w14:solidFill>
              <w14:schemeClr w14:val="tx1"/>
            </w14:solidFill>
          </w14:textFill>
        </w:rPr>
        <w:t>按照1.5%标准，上半年超过1.5%的以上投诉数量按5元/件考核。下半年超过1.5%的以上投诉数量按10元/件考核。</w:t>
      </w:r>
    </w:p>
    <w:p w14:paraId="3F09CAEA">
      <w:pPr>
        <w:widowControl w:val="0"/>
        <w:spacing w:line="380" w:lineRule="exact"/>
        <w:ind w:firstLine="480" w:firstLineChars="200"/>
        <w:jc w:val="left"/>
        <w:rPr>
          <w:rFonts w:hint="eastAsia" w:ascii="仿宋" w:hAnsi="仿宋" w:eastAsia="仿宋" w:cs="仿宋"/>
          <w:color w:val="000000" w:themeColor="text1"/>
          <w:kern w:val="0"/>
          <w:sz w:val="24"/>
          <w:szCs w:val="24"/>
          <w:lang w:val="en-US" w:eastAsia="zh-CN" w:bidi="ar-SA"/>
          <w14:textFill>
            <w14:solidFill>
              <w14:schemeClr w14:val="tx1"/>
            </w14:solidFill>
          </w14:textFill>
        </w:rPr>
      </w:pPr>
      <w:r>
        <w:rPr>
          <w:rFonts w:hint="eastAsia" w:ascii="仿宋" w:hAnsi="仿宋" w:eastAsia="仿宋" w:cs="仿宋"/>
          <w:color w:val="000000" w:themeColor="text1"/>
          <w:kern w:val="0"/>
          <w:sz w:val="24"/>
          <w:szCs w:val="24"/>
          <w:lang w:val="en-US" w:eastAsia="zh-CN" w:bidi="ar-SA"/>
          <w14:textFill>
            <w14:solidFill>
              <w14:schemeClr w14:val="tx1"/>
            </w14:solidFill>
          </w14:textFill>
        </w:rPr>
        <w:t>4、因乙方技术问题或维护问题造成事故，使甲方设备遭受损失的，乙方应赔偿甲方设备的全部损失。</w:t>
      </w:r>
    </w:p>
    <w:p w14:paraId="72A859E3">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五、投标报价说明</w:t>
      </w:r>
    </w:p>
    <w:p w14:paraId="26FDA341">
      <w:pPr>
        <w:adjustRightInd w:val="0"/>
        <w:snapToGrid w:val="0"/>
        <w:spacing w:line="520" w:lineRule="exact"/>
        <w:ind w:firstLine="480" w:firstLineChars="200"/>
        <w:jc w:val="left"/>
        <w:rPr>
          <w:rFonts w:hint="eastAsia" w:ascii="仿宋" w:hAnsi="仿宋" w:eastAsia="仿宋" w:cs="仿宋"/>
          <w:color w:val="000000" w:themeColor="text1"/>
          <w:kern w:val="0"/>
          <w:sz w:val="24"/>
          <w:szCs w:val="24"/>
          <w:lang w:val="en-US" w:eastAsia="zh-CN" w:bidi="ar-SA"/>
          <w14:textFill>
            <w14:solidFill>
              <w14:schemeClr w14:val="tx1"/>
            </w14:solidFill>
          </w14:textFill>
        </w:rPr>
      </w:pPr>
      <w:r>
        <w:rPr>
          <w:rFonts w:hint="eastAsia" w:ascii="仿宋" w:hAnsi="仿宋" w:eastAsia="仿宋" w:cs="仿宋"/>
          <w:color w:val="000000" w:themeColor="text1"/>
          <w:kern w:val="0"/>
          <w:sz w:val="24"/>
          <w:szCs w:val="24"/>
          <w:lang w:val="en-US" w:eastAsia="zh-CN" w:bidi="ar-SA"/>
          <w14:textFill>
            <w14:solidFill>
              <w14:schemeClr w14:val="tx1"/>
            </w14:solidFill>
          </w14:textFill>
        </w:rPr>
        <w:t>本项目采购上限价为10万元，报价为一次性报价。</w:t>
      </w:r>
    </w:p>
    <w:p w14:paraId="2D3BB43D">
      <w:pPr>
        <w:numPr>
          <w:ilvl w:val="0"/>
          <w:numId w:val="2"/>
        </w:num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履行合同</w:t>
      </w:r>
      <w:r>
        <w:rPr>
          <w:rFonts w:hint="eastAsia" w:ascii="仿宋" w:hAnsi="仿宋" w:eastAsia="仿宋" w:cstheme="minorEastAsia"/>
          <w:b/>
          <w:sz w:val="24"/>
          <w:szCs w:val="24"/>
          <w:lang w:val="en-US" w:eastAsia="zh-CN"/>
        </w:rPr>
        <w:t>的</w:t>
      </w:r>
      <w:r>
        <w:rPr>
          <w:rFonts w:hint="eastAsia" w:ascii="仿宋" w:hAnsi="仿宋" w:eastAsia="仿宋" w:cstheme="minorEastAsia"/>
          <w:b/>
          <w:sz w:val="24"/>
          <w:szCs w:val="24"/>
        </w:rPr>
        <w:t>时间</w:t>
      </w:r>
    </w:p>
    <w:p w14:paraId="03216167">
      <w:pPr>
        <w:spacing w:line="360" w:lineRule="auto"/>
        <w:ind w:firstLine="480" w:firstLineChars="200"/>
        <w:outlineLvl w:val="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rPr>
        <w:t xml:space="preserve"> </w:t>
      </w:r>
      <w:r>
        <w:rPr>
          <w:rFonts w:hint="eastAsia" w:ascii="仿宋" w:hAnsi="仿宋" w:eastAsia="仿宋" w:cs="仿宋"/>
          <w:color w:val="333333"/>
          <w:kern w:val="0"/>
          <w:sz w:val="24"/>
          <w:szCs w:val="24"/>
          <w:lang w:val="en-US" w:eastAsia="zh-CN" w:bidi="ar-SA"/>
        </w:rPr>
        <w:t>服务时间：合同内注明开始日起自然年一年。</w:t>
      </w:r>
    </w:p>
    <w:p w14:paraId="1C73CC58">
      <w:pPr>
        <w:numPr>
          <w:ilvl w:val="0"/>
          <w:numId w:val="2"/>
        </w:num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color w:val="000000" w:themeColor="text1"/>
          <w:sz w:val="24"/>
          <w:szCs w:val="24"/>
          <w14:textFill>
            <w14:solidFill>
              <w14:schemeClr w14:val="tx1"/>
            </w14:solidFill>
          </w14:textFill>
        </w:rPr>
        <w:t>付款方式</w:t>
      </w:r>
    </w:p>
    <w:p w14:paraId="3F1E86D3">
      <w:pPr>
        <w:spacing w:line="360" w:lineRule="auto"/>
        <w:ind w:firstLine="480" w:firstLineChars="200"/>
        <w:outlineLvl w:val="0"/>
        <w:rPr>
          <w:rFonts w:hint="eastAsia" w:ascii="仿宋" w:hAnsi="仿宋" w:eastAsia="仿宋" w:cs="仿宋"/>
          <w:color w:val="000000" w:themeColor="text1"/>
          <w:kern w:val="0"/>
          <w:sz w:val="24"/>
          <w:szCs w:val="24"/>
          <w:lang w:val="en-US" w:eastAsia="zh-CN" w:bidi="ar-SA"/>
          <w14:textFill>
            <w14:solidFill>
              <w14:schemeClr w14:val="tx1"/>
            </w14:solidFill>
          </w14:textFill>
        </w:rPr>
      </w:pPr>
      <w:r>
        <w:rPr>
          <w:rFonts w:hint="eastAsia" w:ascii="仿宋" w:hAnsi="仿宋" w:eastAsia="仿宋" w:cs="仿宋"/>
          <w:color w:val="333333"/>
          <w:kern w:val="0"/>
          <w:sz w:val="24"/>
          <w:szCs w:val="24"/>
        </w:rPr>
        <w:t xml:space="preserve"> </w:t>
      </w:r>
      <w:r>
        <w:rPr>
          <w:rFonts w:hint="eastAsia" w:ascii="仿宋" w:hAnsi="仿宋" w:eastAsia="仿宋" w:cs="仿宋"/>
          <w:color w:val="333333"/>
          <w:kern w:val="0"/>
          <w:sz w:val="24"/>
          <w:szCs w:val="24"/>
          <w:lang w:val="en-US" w:eastAsia="zh-CN"/>
        </w:rPr>
        <w:t>供应商</w:t>
      </w:r>
      <w:r>
        <w:rPr>
          <w:rFonts w:hint="eastAsia" w:ascii="仿宋" w:hAnsi="仿宋" w:eastAsia="仿宋" w:cs="仿宋"/>
          <w:color w:val="000000" w:themeColor="text1"/>
          <w:kern w:val="0"/>
          <w:sz w:val="24"/>
          <w:szCs w:val="24"/>
          <w:lang w:val="en-US" w:eastAsia="zh-CN" w:bidi="ar-SA"/>
          <w14:textFill>
            <w14:solidFill>
              <w14:schemeClr w14:val="tx1"/>
            </w14:solidFill>
          </w14:textFill>
        </w:rPr>
        <w:t>按要求完成</w:t>
      </w:r>
      <w:r>
        <w:rPr>
          <w:rFonts w:hint="eastAsia" w:ascii="仿宋" w:hAnsi="仿宋" w:eastAsia="仿宋" w:cs="仿宋"/>
          <w:color w:val="333333"/>
          <w:kern w:val="0"/>
          <w:sz w:val="24"/>
          <w:szCs w:val="24"/>
          <w:lang w:val="en-US" w:eastAsia="zh-CN" w:bidi="ar-SA"/>
        </w:rPr>
        <w:t>服务后，</w:t>
      </w:r>
      <w:r>
        <w:rPr>
          <w:rFonts w:hint="eastAsia" w:ascii="仿宋" w:hAnsi="仿宋" w:eastAsia="仿宋" w:cs="仿宋"/>
          <w:color w:val="000000" w:themeColor="text1"/>
          <w:kern w:val="0"/>
          <w:sz w:val="24"/>
          <w:szCs w:val="24"/>
          <w:lang w:val="en-US" w:eastAsia="zh-CN" w:bidi="ar-SA"/>
          <w14:textFill>
            <w14:solidFill>
              <w14:schemeClr w14:val="tx1"/>
            </w14:solidFill>
          </w14:textFill>
        </w:rPr>
        <w:t>开具有效正规税务发票给甲方，甲方通过转账方式向供应商支付全部合同价款。</w:t>
      </w:r>
    </w:p>
    <w:p w14:paraId="0BA2DB9E">
      <w:pPr>
        <w:numPr>
          <w:ilvl w:val="0"/>
          <w:numId w:val="2"/>
        </w:num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color w:val="000000" w:themeColor="text1"/>
          <w:sz w:val="24"/>
          <w:szCs w:val="24"/>
          <w:lang w:val="en-US" w:eastAsia="zh-CN"/>
          <w14:textFill>
            <w14:solidFill>
              <w14:schemeClr w14:val="tx1"/>
            </w14:solidFill>
          </w14:textFill>
        </w:rPr>
        <w:t>其他说明</w:t>
      </w:r>
    </w:p>
    <w:p w14:paraId="66F025DA">
      <w:pPr>
        <w:numPr>
          <w:ilvl w:val="0"/>
          <w:numId w:val="0"/>
        </w:numPr>
        <w:snapToGrid w:val="0"/>
        <w:spacing w:line="360" w:lineRule="auto"/>
        <w:ind w:left="600" w:leftChars="0"/>
        <w:jc w:val="left"/>
        <w:rPr>
          <w:rFonts w:hint="eastAsia" w:ascii="仿宋" w:hAnsi="仿宋" w:eastAsia="仿宋" w:cstheme="minorEastAsia"/>
          <w:b/>
          <w:sz w:val="24"/>
          <w:szCs w:val="24"/>
        </w:rPr>
      </w:pPr>
      <w:r>
        <w:rPr>
          <w:rFonts w:hint="eastAsia" w:ascii="仿宋" w:hAnsi="仿宋" w:eastAsia="仿宋" w:cstheme="minorEastAsia"/>
          <w:b/>
          <w:sz w:val="24"/>
          <w:szCs w:val="24"/>
          <w:lang w:val="en-US" w:eastAsia="zh-CN"/>
        </w:rPr>
        <w:t>1.</w:t>
      </w:r>
      <w:r>
        <w:rPr>
          <w:rFonts w:hint="eastAsia" w:ascii="仿宋" w:hAnsi="仿宋" w:eastAsia="仿宋" w:cstheme="minorEastAsia"/>
          <w:b/>
          <w:sz w:val="24"/>
          <w:szCs w:val="24"/>
        </w:rPr>
        <w:t>参与投标的单位中标后须是湖南省</w:t>
      </w:r>
      <w:r>
        <w:rPr>
          <w:rFonts w:hint="eastAsia" w:ascii="仿宋" w:hAnsi="仿宋" w:eastAsia="仿宋" w:cstheme="minorEastAsia"/>
          <w:b/>
          <w:sz w:val="24"/>
          <w:szCs w:val="24"/>
          <w:lang w:val="en-US" w:eastAsia="zh-CN"/>
        </w:rPr>
        <w:t>乐采云或京东企业购电商平台</w:t>
      </w:r>
      <w:r>
        <w:rPr>
          <w:rFonts w:hint="eastAsia" w:ascii="仿宋" w:hAnsi="仿宋" w:eastAsia="仿宋" w:cstheme="minorEastAsia"/>
          <w:b/>
          <w:sz w:val="24"/>
          <w:szCs w:val="24"/>
        </w:rPr>
        <w:t>合格供应商。</w:t>
      </w:r>
    </w:p>
    <w:p w14:paraId="4195728A">
      <w:pPr>
        <w:spacing w:line="360" w:lineRule="auto"/>
        <w:ind w:firstLine="480" w:firstLineChars="200"/>
        <w:outlineLvl w:val="0"/>
        <w:rPr>
          <w:rFonts w:hint="eastAsia" w:ascii="仿宋" w:hAnsi="仿宋" w:eastAsia="仿宋" w:cs="仿宋"/>
          <w:color w:val="000000" w:themeColor="text1"/>
          <w:kern w:val="0"/>
          <w:sz w:val="24"/>
          <w:szCs w:val="24"/>
          <w:lang w:val="en-US" w:eastAsia="zh-CN" w:bidi="ar-SA"/>
          <w14:textFill>
            <w14:solidFill>
              <w14:schemeClr w14:val="tx1"/>
            </w14:solidFill>
          </w14:textFill>
        </w:rPr>
      </w:pPr>
    </w:p>
    <w:p w14:paraId="6EA7B7B7">
      <w:pPr>
        <w:spacing w:line="360" w:lineRule="auto"/>
        <w:ind w:firstLine="480" w:firstLineChars="200"/>
        <w:outlineLvl w:val="0"/>
        <w:rPr>
          <w:rFonts w:hint="eastAsia" w:ascii="仿宋" w:hAnsi="仿宋" w:eastAsia="仿宋" w:cs="仿宋"/>
          <w:color w:val="000000" w:themeColor="text1"/>
          <w:kern w:val="0"/>
          <w:sz w:val="24"/>
          <w:szCs w:val="24"/>
          <w:lang w:val="en-US" w:eastAsia="zh-CN" w:bidi="ar-SA"/>
          <w14:textFill>
            <w14:solidFill>
              <w14:schemeClr w14:val="tx1"/>
            </w14:solidFill>
          </w14:textFill>
        </w:rPr>
      </w:pPr>
    </w:p>
    <w:p w14:paraId="223FEA38">
      <w:pPr>
        <w:pStyle w:val="16"/>
        <w:ind w:left="0" w:leftChars="0" w:firstLine="0"/>
        <w:jc w:val="center"/>
        <w:rPr>
          <w:rFonts w:ascii="仿宋" w:hAnsi="仿宋" w:eastAsia="仿宋"/>
          <w:b/>
          <w:sz w:val="36"/>
          <w:szCs w:val="36"/>
        </w:rPr>
      </w:pPr>
      <w:r>
        <w:rPr>
          <w:rFonts w:hint="eastAsia" w:ascii="仿宋" w:hAnsi="仿宋" w:eastAsia="仿宋"/>
          <w:b/>
          <w:sz w:val="36"/>
          <w:szCs w:val="36"/>
        </w:rPr>
        <w:t>二、评审办法及标准</w:t>
      </w:r>
    </w:p>
    <w:p w14:paraId="1D34B143">
      <w:pPr>
        <w:spacing w:line="360" w:lineRule="auto"/>
        <w:ind w:firstLine="482" w:firstLineChars="200"/>
        <w:rPr>
          <w:rFonts w:ascii="仿宋" w:hAnsi="仿宋" w:eastAsia="仿宋"/>
          <w:b/>
          <w:sz w:val="24"/>
          <w:szCs w:val="24"/>
        </w:rPr>
      </w:pPr>
      <w:r>
        <w:rPr>
          <w:rFonts w:hint="eastAsia" w:ascii="仿宋" w:hAnsi="仿宋" w:eastAsia="仿宋"/>
          <w:b/>
          <w:sz w:val="24"/>
          <w:szCs w:val="24"/>
        </w:rPr>
        <w:t>1.询</w:t>
      </w:r>
      <w:r>
        <w:rPr>
          <w:rFonts w:hint="eastAsia" w:ascii="仿宋" w:hAnsi="仿宋" w:eastAsia="仿宋"/>
          <w:b/>
          <w:sz w:val="24"/>
          <w:szCs w:val="24"/>
          <w:lang w:val="en-US" w:eastAsia="zh-CN"/>
        </w:rPr>
        <w:t>比</w:t>
      </w:r>
      <w:r>
        <w:rPr>
          <w:rFonts w:hint="eastAsia" w:ascii="仿宋" w:hAnsi="仿宋" w:eastAsia="仿宋"/>
          <w:b/>
          <w:sz w:val="24"/>
          <w:szCs w:val="24"/>
        </w:rPr>
        <w:t>小组</w:t>
      </w:r>
    </w:p>
    <w:p w14:paraId="2EF6FFB2">
      <w:pPr>
        <w:spacing w:line="360" w:lineRule="auto"/>
        <w:ind w:firstLine="480" w:firstLineChars="200"/>
        <w:rPr>
          <w:rFonts w:ascii="仿宋" w:hAnsi="仿宋" w:eastAsia="仿宋"/>
          <w:sz w:val="24"/>
          <w:szCs w:val="24"/>
        </w:rPr>
      </w:pPr>
      <w:r>
        <w:rPr>
          <w:rFonts w:hint="eastAsia" w:ascii="仿宋" w:hAnsi="仿宋" w:eastAsia="仿宋"/>
          <w:sz w:val="24"/>
          <w:szCs w:val="24"/>
        </w:rPr>
        <w:t>1.1评审由采购人组建评审小组，评审小组一般为三人及以上单数。</w:t>
      </w:r>
    </w:p>
    <w:p w14:paraId="4781B1CD">
      <w:pPr>
        <w:spacing w:line="360" w:lineRule="auto"/>
        <w:ind w:firstLine="482" w:firstLineChars="200"/>
        <w:rPr>
          <w:rFonts w:ascii="仿宋" w:hAnsi="仿宋" w:eastAsia="仿宋"/>
          <w:b/>
          <w:sz w:val="24"/>
          <w:szCs w:val="24"/>
        </w:rPr>
      </w:pPr>
      <w:r>
        <w:rPr>
          <w:rFonts w:hint="eastAsia" w:ascii="仿宋" w:hAnsi="仿宋" w:eastAsia="仿宋"/>
          <w:b/>
          <w:sz w:val="24"/>
          <w:szCs w:val="24"/>
        </w:rPr>
        <w:t>2.评审方法</w:t>
      </w:r>
    </w:p>
    <w:p w14:paraId="1D76FA35">
      <w:pPr>
        <w:spacing w:line="360" w:lineRule="auto"/>
        <w:ind w:firstLine="480" w:firstLineChars="200"/>
        <w:rPr>
          <w:rFonts w:hint="eastAsia" w:ascii="仿宋" w:hAnsi="仿宋" w:eastAsia="仿宋" w:cs="Times New Roman"/>
          <w:sz w:val="24"/>
          <w:szCs w:val="24"/>
        </w:rPr>
      </w:pPr>
      <w:r>
        <w:rPr>
          <w:rFonts w:hint="eastAsia" w:ascii="仿宋" w:hAnsi="仿宋" w:eastAsia="仿宋" w:cs="Times New Roman"/>
          <w:sz w:val="24"/>
          <w:szCs w:val="24"/>
        </w:rPr>
        <w:t>2.1评审方法：综合评分法，即响应文件能够最大限度的满足询比采购文件规定的各项综合评价标准且经评审得分</w:t>
      </w:r>
      <w:r>
        <w:rPr>
          <w:rFonts w:hint="eastAsia" w:ascii="仿宋" w:hAnsi="仿宋" w:eastAsia="仿宋" w:cs="Times New Roman"/>
          <w:sz w:val="24"/>
          <w:szCs w:val="24"/>
          <w:lang w:val="en-US" w:eastAsia="zh-CN"/>
        </w:rPr>
        <w:t>第一名</w:t>
      </w:r>
      <w:r>
        <w:rPr>
          <w:rFonts w:hint="eastAsia" w:ascii="仿宋" w:hAnsi="仿宋" w:eastAsia="仿宋" w:cs="Times New Roman"/>
          <w:sz w:val="24"/>
          <w:szCs w:val="24"/>
        </w:rPr>
        <w:t>的供应商为成交供应商的评标方法。</w:t>
      </w:r>
    </w:p>
    <w:p w14:paraId="25A04307">
      <w:pPr>
        <w:spacing w:line="360" w:lineRule="auto"/>
        <w:ind w:firstLine="480" w:firstLineChars="200"/>
        <w:rPr>
          <w:rFonts w:hint="eastAsia" w:ascii="仿宋" w:hAnsi="仿宋" w:eastAsia="仿宋" w:cs="Times New Roman"/>
          <w:sz w:val="24"/>
          <w:szCs w:val="24"/>
        </w:rPr>
      </w:pPr>
      <w:r>
        <w:rPr>
          <w:rFonts w:hint="eastAsia" w:ascii="仿宋" w:hAnsi="仿宋" w:eastAsia="仿宋" w:cs="Times New Roman"/>
          <w:sz w:val="24"/>
          <w:szCs w:val="24"/>
        </w:rPr>
        <w:t>2.2本采购项目的评审因素和标准见表1</w:t>
      </w:r>
    </w:p>
    <w:p w14:paraId="74E22D22">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3.比较与评价</w:t>
      </w:r>
    </w:p>
    <w:p w14:paraId="62FFDF99">
      <w:pPr>
        <w:spacing w:line="360" w:lineRule="auto"/>
        <w:ind w:firstLine="480" w:firstLineChars="200"/>
        <w:rPr>
          <w:rFonts w:hint="eastAsia" w:ascii="仿宋" w:hAnsi="仿宋" w:eastAsia="仿宋" w:cs="Times New Roman"/>
          <w:sz w:val="24"/>
          <w:szCs w:val="24"/>
        </w:rPr>
      </w:pPr>
      <w:r>
        <w:rPr>
          <w:rFonts w:hint="eastAsia" w:ascii="仿宋" w:hAnsi="仿宋" w:eastAsia="仿宋" w:cs="Times New Roman"/>
          <w:sz w:val="24"/>
          <w:szCs w:val="24"/>
        </w:rPr>
        <w:t>3.1询比小组应按照询比采购文件中规定的评审方法、标准和评标因素，对资格性检查和符合性检查合格的响应文件进行评估，综合比较与评价。</w:t>
      </w:r>
    </w:p>
    <w:p w14:paraId="3F3E0DEE">
      <w:pPr>
        <w:spacing w:line="360" w:lineRule="auto"/>
        <w:ind w:firstLine="480" w:firstLineChars="200"/>
        <w:rPr>
          <w:rFonts w:hint="eastAsia" w:ascii="仿宋" w:hAnsi="仿宋" w:eastAsia="仿宋" w:cs="Times New Roman"/>
          <w:sz w:val="24"/>
          <w:szCs w:val="24"/>
        </w:rPr>
      </w:pPr>
      <w:r>
        <w:rPr>
          <w:rFonts w:hint="eastAsia" w:ascii="仿宋" w:hAnsi="仿宋" w:eastAsia="仿宋" w:cs="Times New Roman"/>
          <w:sz w:val="24"/>
          <w:szCs w:val="24"/>
        </w:rPr>
        <w:t>3.2最终报价评价。询比小组以最终报价为基础。</w:t>
      </w:r>
    </w:p>
    <w:p w14:paraId="26FD6BFF">
      <w:pPr>
        <w:spacing w:line="360" w:lineRule="auto"/>
        <w:ind w:firstLine="480" w:firstLineChars="200"/>
        <w:rPr>
          <w:rFonts w:hint="eastAsia" w:ascii="仿宋" w:hAnsi="仿宋" w:eastAsia="仿宋" w:cs="Times New Roman"/>
          <w:sz w:val="24"/>
          <w:szCs w:val="24"/>
        </w:rPr>
      </w:pPr>
      <w:r>
        <w:rPr>
          <w:rFonts w:hint="eastAsia" w:ascii="仿宋" w:hAnsi="仿宋" w:eastAsia="仿宋" w:cs="Times New Roman"/>
          <w:sz w:val="24"/>
          <w:szCs w:val="24"/>
        </w:rPr>
        <w:t>3.3价格分采用按评审因素和标准表格内评分标准执行。</w:t>
      </w:r>
    </w:p>
    <w:p w14:paraId="2A57729E">
      <w:pPr>
        <w:spacing w:line="360" w:lineRule="auto"/>
        <w:ind w:firstLine="480" w:firstLineChars="200"/>
        <w:rPr>
          <w:rFonts w:hint="eastAsia" w:ascii="仿宋" w:hAnsi="仿宋" w:eastAsia="仿宋" w:cs="Times New Roman"/>
          <w:sz w:val="24"/>
          <w:szCs w:val="24"/>
        </w:rPr>
      </w:pPr>
      <w:r>
        <w:rPr>
          <w:rFonts w:hint="eastAsia" w:ascii="仿宋" w:hAnsi="仿宋" w:eastAsia="仿宋" w:cs="Times New Roman"/>
          <w:sz w:val="24"/>
          <w:szCs w:val="24"/>
        </w:rPr>
        <w:t>3.4评审时，询比小组各成员应当独立对每个供应商的响应文件进行评价、评分，然后汇总每个供应商项评分因素的得分。</w:t>
      </w:r>
    </w:p>
    <w:p w14:paraId="431C9A35">
      <w:pPr>
        <w:spacing w:line="360" w:lineRule="auto"/>
        <w:ind w:firstLine="480" w:firstLineChars="200"/>
        <w:rPr>
          <w:rFonts w:hint="eastAsia" w:ascii="仿宋" w:hAnsi="仿宋" w:eastAsia="仿宋" w:cs="Times New Roman"/>
          <w:sz w:val="24"/>
          <w:szCs w:val="24"/>
        </w:rPr>
      </w:pPr>
    </w:p>
    <w:p w14:paraId="6CB5E27A">
      <w:pPr>
        <w:spacing w:line="360" w:lineRule="auto"/>
        <w:ind w:firstLine="480" w:firstLineChars="200"/>
        <w:rPr>
          <w:rFonts w:hint="eastAsia" w:ascii="仿宋" w:hAnsi="仿宋" w:eastAsia="仿宋" w:cs="Times New Roman"/>
          <w:sz w:val="24"/>
          <w:szCs w:val="24"/>
        </w:rPr>
      </w:pPr>
    </w:p>
    <w:p w14:paraId="4EBC974E">
      <w:pPr>
        <w:spacing w:line="360" w:lineRule="auto"/>
        <w:ind w:firstLine="480" w:firstLineChars="200"/>
        <w:rPr>
          <w:rFonts w:hint="eastAsia" w:ascii="仿宋" w:hAnsi="仿宋" w:eastAsia="仿宋" w:cs="Times New Roman"/>
          <w:sz w:val="24"/>
          <w:szCs w:val="24"/>
        </w:rPr>
      </w:pPr>
    </w:p>
    <w:p w14:paraId="6F2387E6">
      <w:pPr>
        <w:spacing w:line="360" w:lineRule="auto"/>
        <w:ind w:firstLine="480" w:firstLineChars="200"/>
        <w:rPr>
          <w:rFonts w:hint="eastAsia" w:ascii="仿宋" w:hAnsi="仿宋" w:eastAsia="仿宋" w:cs="Times New Roman"/>
          <w:sz w:val="24"/>
          <w:szCs w:val="24"/>
        </w:rPr>
      </w:pPr>
    </w:p>
    <w:p w14:paraId="10929C6A">
      <w:pPr>
        <w:spacing w:line="360" w:lineRule="auto"/>
        <w:ind w:firstLine="480" w:firstLineChars="200"/>
        <w:rPr>
          <w:rFonts w:hint="eastAsia" w:ascii="仿宋" w:hAnsi="仿宋" w:eastAsia="仿宋" w:cs="Times New Roman"/>
          <w:sz w:val="24"/>
          <w:szCs w:val="24"/>
        </w:rPr>
      </w:pPr>
    </w:p>
    <w:p w14:paraId="0A68989F">
      <w:pPr>
        <w:spacing w:line="360" w:lineRule="auto"/>
        <w:ind w:firstLine="480" w:firstLineChars="200"/>
        <w:rPr>
          <w:rFonts w:hint="eastAsia" w:ascii="仿宋" w:hAnsi="仿宋" w:eastAsia="仿宋" w:cs="Times New Roman"/>
          <w:sz w:val="24"/>
          <w:szCs w:val="24"/>
        </w:rPr>
      </w:pPr>
    </w:p>
    <w:p w14:paraId="6F75591D">
      <w:pPr>
        <w:spacing w:line="360" w:lineRule="auto"/>
        <w:ind w:firstLine="480" w:firstLineChars="200"/>
        <w:rPr>
          <w:rFonts w:hint="eastAsia" w:ascii="仿宋" w:hAnsi="仿宋" w:eastAsia="仿宋" w:cs="Times New Roman"/>
          <w:sz w:val="24"/>
          <w:szCs w:val="24"/>
        </w:rPr>
      </w:pPr>
    </w:p>
    <w:p w14:paraId="58849D58">
      <w:pPr>
        <w:spacing w:line="360" w:lineRule="auto"/>
        <w:ind w:firstLine="480" w:firstLineChars="200"/>
        <w:rPr>
          <w:rFonts w:hint="eastAsia" w:ascii="仿宋" w:hAnsi="仿宋" w:eastAsia="仿宋" w:cs="Times New Roman"/>
          <w:sz w:val="24"/>
          <w:szCs w:val="24"/>
        </w:rPr>
      </w:pPr>
    </w:p>
    <w:p w14:paraId="116D4C8E">
      <w:pPr>
        <w:spacing w:line="360" w:lineRule="auto"/>
        <w:rPr>
          <w:rFonts w:hint="eastAsia" w:ascii="仿宋" w:hAnsi="仿宋" w:eastAsia="仿宋" w:cs="Times New Roman"/>
          <w:sz w:val="24"/>
          <w:szCs w:val="24"/>
        </w:rPr>
      </w:pPr>
    </w:p>
    <w:p w14:paraId="7F8945C4">
      <w:pPr>
        <w:spacing w:line="360" w:lineRule="auto"/>
        <w:rPr>
          <w:rFonts w:hint="eastAsia" w:ascii="仿宋" w:hAnsi="仿宋" w:eastAsia="仿宋" w:cs="Times New Roman"/>
          <w:sz w:val="24"/>
          <w:szCs w:val="24"/>
        </w:rPr>
      </w:pPr>
    </w:p>
    <w:p w14:paraId="21BEA4C5">
      <w:pPr>
        <w:spacing w:line="360" w:lineRule="auto"/>
        <w:rPr>
          <w:rFonts w:hint="eastAsia" w:ascii="仿宋" w:hAnsi="仿宋" w:eastAsia="仿宋" w:cs="Times New Roman"/>
          <w:sz w:val="24"/>
          <w:szCs w:val="24"/>
        </w:rPr>
      </w:pPr>
    </w:p>
    <w:p w14:paraId="23FCC7CF">
      <w:pPr>
        <w:spacing w:line="360" w:lineRule="auto"/>
        <w:rPr>
          <w:rFonts w:hint="eastAsia" w:ascii="仿宋" w:hAnsi="仿宋" w:eastAsia="仿宋" w:cs="Times New Roman"/>
          <w:sz w:val="24"/>
          <w:szCs w:val="24"/>
        </w:rPr>
      </w:pPr>
    </w:p>
    <w:p w14:paraId="1F76DA68">
      <w:pPr>
        <w:spacing w:line="360" w:lineRule="auto"/>
        <w:ind w:firstLine="480" w:firstLineChars="200"/>
        <w:rPr>
          <w:rFonts w:hint="eastAsia" w:ascii="仿宋" w:hAnsi="仿宋" w:eastAsia="仿宋" w:cs="Times New Roman"/>
          <w:sz w:val="24"/>
          <w:szCs w:val="24"/>
        </w:rPr>
      </w:pPr>
    </w:p>
    <w:p w14:paraId="2E8034C5">
      <w:pPr>
        <w:spacing w:line="360" w:lineRule="auto"/>
        <w:ind w:firstLine="480" w:firstLineChars="200"/>
        <w:rPr>
          <w:rFonts w:hint="eastAsia" w:ascii="仿宋" w:hAnsi="仿宋" w:eastAsia="仿宋"/>
          <w:sz w:val="24"/>
          <w:szCs w:val="24"/>
        </w:rPr>
      </w:pPr>
    </w:p>
    <w:p w14:paraId="62CB81BB">
      <w:pPr>
        <w:spacing w:line="360" w:lineRule="auto"/>
        <w:ind w:firstLine="562" w:firstLineChars="200"/>
        <w:rPr>
          <w:rFonts w:hint="eastAsia" w:ascii="仿宋" w:hAnsi="仿宋" w:eastAsia="仿宋"/>
          <w:b/>
          <w:sz w:val="28"/>
          <w:szCs w:val="28"/>
        </w:rPr>
      </w:pPr>
      <w:r>
        <w:rPr>
          <w:rFonts w:ascii="仿宋" w:hAnsi="仿宋" w:eastAsia="仿宋"/>
          <w:b/>
          <w:sz w:val="28"/>
          <w:szCs w:val="28"/>
        </w:rPr>
        <w:t>表</w:t>
      </w:r>
      <w:r>
        <w:rPr>
          <w:rFonts w:hint="eastAsia" w:ascii="仿宋" w:hAnsi="仿宋" w:eastAsia="仿宋"/>
          <w:b/>
          <w:sz w:val="28"/>
          <w:szCs w:val="28"/>
        </w:rPr>
        <w:t xml:space="preserve">1 </w:t>
      </w:r>
      <w:r>
        <w:rPr>
          <w:rFonts w:ascii="仿宋" w:hAnsi="仿宋" w:eastAsia="仿宋"/>
          <w:b/>
          <w:sz w:val="28"/>
          <w:szCs w:val="28"/>
        </w:rPr>
        <w:t xml:space="preserve">  </w:t>
      </w:r>
      <w:r>
        <w:rPr>
          <w:rFonts w:hint="eastAsia" w:ascii="仿宋" w:hAnsi="仿宋" w:eastAsia="仿宋"/>
          <w:b/>
          <w:sz w:val="28"/>
          <w:szCs w:val="28"/>
        </w:rPr>
        <w:t>评审因素和标准</w:t>
      </w:r>
    </w:p>
    <w:tbl>
      <w:tblPr>
        <w:tblStyle w:val="18"/>
        <w:tblW w:w="9527" w:type="dxa"/>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28" w:type="dxa"/>
          <w:left w:w="108" w:type="dxa"/>
          <w:bottom w:w="28" w:type="dxa"/>
          <w:right w:w="108" w:type="dxa"/>
        </w:tblCellMar>
      </w:tblPr>
      <w:tblGrid>
        <w:gridCol w:w="456"/>
        <w:gridCol w:w="812"/>
        <w:gridCol w:w="703"/>
        <w:gridCol w:w="703"/>
        <w:gridCol w:w="6853"/>
      </w:tblGrid>
      <w:tr w14:paraId="3325B60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28" w:type="dxa"/>
            <w:left w:w="108" w:type="dxa"/>
            <w:bottom w:w="28" w:type="dxa"/>
            <w:right w:w="108" w:type="dxa"/>
          </w:tblCellMar>
        </w:tblPrEx>
        <w:trPr>
          <w:tblHeader/>
          <w:jc w:val="center"/>
        </w:trPr>
        <w:tc>
          <w:tcPr>
            <w:tcW w:w="456" w:type="dxa"/>
            <w:tcBorders>
              <w:top w:val="single" w:color="auto" w:sz="4" w:space="0"/>
              <w:left w:val="single" w:color="auto" w:sz="4" w:space="0"/>
            </w:tcBorders>
            <w:vAlign w:val="center"/>
          </w:tcPr>
          <w:p w14:paraId="1FCFA024">
            <w:pPr>
              <w:adjustRightInd w:val="0"/>
              <w:snapToGrid w:val="0"/>
              <w:spacing w:line="276" w:lineRule="auto"/>
              <w:jc w:val="center"/>
              <w:rPr>
                <w:rFonts w:hint="eastAsia" w:ascii="黑体" w:hAnsi="黑体" w:eastAsia="黑体"/>
                <w:bCs/>
                <w:kern w:val="0"/>
                <w:sz w:val="24"/>
                <w:szCs w:val="24"/>
              </w:rPr>
            </w:pPr>
            <w:r>
              <w:rPr>
                <w:rFonts w:hint="eastAsia" w:ascii="黑体" w:hAnsi="黑体" w:eastAsia="黑体"/>
                <w:bCs/>
                <w:kern w:val="0"/>
                <w:sz w:val="24"/>
                <w:szCs w:val="24"/>
              </w:rPr>
              <w:t>序号</w:t>
            </w:r>
          </w:p>
        </w:tc>
        <w:tc>
          <w:tcPr>
            <w:tcW w:w="812" w:type="dxa"/>
            <w:tcBorders>
              <w:top w:val="single" w:color="auto" w:sz="4" w:space="0"/>
            </w:tcBorders>
            <w:vAlign w:val="center"/>
          </w:tcPr>
          <w:p w14:paraId="7E6ADE43">
            <w:pPr>
              <w:adjustRightInd w:val="0"/>
              <w:snapToGrid w:val="0"/>
              <w:spacing w:line="276" w:lineRule="auto"/>
              <w:jc w:val="center"/>
              <w:rPr>
                <w:rFonts w:hint="eastAsia" w:ascii="黑体" w:hAnsi="黑体" w:eastAsia="黑体"/>
                <w:bCs/>
                <w:kern w:val="0"/>
                <w:sz w:val="24"/>
                <w:szCs w:val="24"/>
              </w:rPr>
            </w:pPr>
            <w:r>
              <w:rPr>
                <w:rFonts w:hint="eastAsia" w:ascii="黑体" w:hAnsi="黑体" w:eastAsia="黑体"/>
                <w:bCs/>
                <w:kern w:val="0"/>
                <w:sz w:val="24"/>
                <w:szCs w:val="24"/>
              </w:rPr>
              <w:t>评审因素</w:t>
            </w:r>
          </w:p>
        </w:tc>
        <w:tc>
          <w:tcPr>
            <w:tcW w:w="703" w:type="dxa"/>
            <w:tcBorders>
              <w:top w:val="single" w:color="auto" w:sz="4" w:space="0"/>
            </w:tcBorders>
            <w:vAlign w:val="center"/>
          </w:tcPr>
          <w:p w14:paraId="5298ED4B">
            <w:pPr>
              <w:adjustRightInd w:val="0"/>
              <w:snapToGrid w:val="0"/>
              <w:spacing w:line="276" w:lineRule="auto"/>
              <w:jc w:val="center"/>
              <w:rPr>
                <w:rFonts w:hint="eastAsia" w:ascii="黑体" w:hAnsi="黑体" w:eastAsia="黑体"/>
                <w:bCs/>
                <w:kern w:val="0"/>
                <w:sz w:val="24"/>
                <w:szCs w:val="20"/>
              </w:rPr>
            </w:pPr>
            <w:r>
              <w:rPr>
                <w:rFonts w:hint="eastAsia" w:ascii="黑体" w:hAnsi="黑体" w:eastAsia="黑体"/>
                <w:bCs/>
                <w:kern w:val="0"/>
                <w:sz w:val="24"/>
                <w:szCs w:val="20"/>
              </w:rPr>
              <w:t>评分因素</w:t>
            </w:r>
          </w:p>
        </w:tc>
        <w:tc>
          <w:tcPr>
            <w:tcW w:w="703" w:type="dxa"/>
            <w:tcBorders>
              <w:top w:val="single" w:color="auto" w:sz="4" w:space="0"/>
            </w:tcBorders>
            <w:vAlign w:val="center"/>
          </w:tcPr>
          <w:p w14:paraId="46EF6966">
            <w:pPr>
              <w:adjustRightInd w:val="0"/>
              <w:snapToGrid w:val="0"/>
              <w:spacing w:line="276" w:lineRule="auto"/>
              <w:jc w:val="center"/>
              <w:rPr>
                <w:rFonts w:hint="eastAsia" w:ascii="黑体" w:hAnsi="黑体" w:eastAsia="黑体"/>
                <w:bCs/>
                <w:kern w:val="0"/>
                <w:sz w:val="24"/>
                <w:szCs w:val="24"/>
              </w:rPr>
            </w:pPr>
            <w:r>
              <w:rPr>
                <w:rFonts w:hint="eastAsia" w:ascii="黑体" w:hAnsi="黑体" w:eastAsia="黑体"/>
                <w:bCs/>
                <w:kern w:val="0"/>
                <w:sz w:val="24"/>
                <w:szCs w:val="24"/>
              </w:rPr>
              <w:t>分值</w:t>
            </w:r>
          </w:p>
        </w:tc>
        <w:tc>
          <w:tcPr>
            <w:tcW w:w="6853" w:type="dxa"/>
            <w:tcBorders>
              <w:top w:val="single" w:color="auto" w:sz="4" w:space="0"/>
              <w:right w:val="single" w:color="auto" w:sz="4" w:space="0"/>
            </w:tcBorders>
            <w:vAlign w:val="center"/>
          </w:tcPr>
          <w:p w14:paraId="1E319435">
            <w:pPr>
              <w:adjustRightInd w:val="0"/>
              <w:snapToGrid w:val="0"/>
              <w:spacing w:line="276" w:lineRule="auto"/>
              <w:jc w:val="center"/>
              <w:rPr>
                <w:rFonts w:hint="eastAsia" w:ascii="黑体" w:hAnsi="黑体" w:eastAsia="黑体"/>
                <w:bCs/>
                <w:kern w:val="0"/>
                <w:sz w:val="24"/>
                <w:szCs w:val="24"/>
              </w:rPr>
            </w:pPr>
            <w:r>
              <w:rPr>
                <w:rFonts w:hint="eastAsia" w:ascii="黑体" w:hAnsi="黑体" w:eastAsia="黑体"/>
                <w:bCs/>
                <w:kern w:val="0"/>
                <w:sz w:val="24"/>
                <w:szCs w:val="24"/>
              </w:rPr>
              <w:t>评分标准</w:t>
            </w:r>
          </w:p>
        </w:tc>
      </w:tr>
      <w:tr w14:paraId="51F08F5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28" w:type="dxa"/>
            <w:left w:w="108" w:type="dxa"/>
            <w:bottom w:w="28" w:type="dxa"/>
            <w:right w:w="108" w:type="dxa"/>
          </w:tblCellMar>
        </w:tblPrEx>
        <w:trPr>
          <w:jc w:val="center"/>
        </w:trPr>
        <w:tc>
          <w:tcPr>
            <w:tcW w:w="456" w:type="dxa"/>
            <w:tcBorders>
              <w:left w:val="single" w:color="auto" w:sz="4" w:space="0"/>
            </w:tcBorders>
            <w:vAlign w:val="center"/>
          </w:tcPr>
          <w:p w14:paraId="38E8E3A2">
            <w:pPr>
              <w:adjustRightInd w:val="0"/>
              <w:snapToGrid w:val="0"/>
              <w:spacing w:line="276" w:lineRule="auto"/>
              <w:jc w:val="center"/>
              <w:rPr>
                <w:rFonts w:hint="eastAsia" w:ascii="宋体" w:hAnsi="宋体"/>
                <w:b/>
                <w:kern w:val="0"/>
                <w:sz w:val="24"/>
                <w:szCs w:val="24"/>
              </w:rPr>
            </w:pPr>
            <w:r>
              <w:rPr>
                <w:rFonts w:hint="eastAsia" w:ascii="宋体" w:hAnsi="宋体"/>
                <w:kern w:val="0"/>
                <w:sz w:val="24"/>
                <w:szCs w:val="24"/>
              </w:rPr>
              <w:t>1</w:t>
            </w:r>
          </w:p>
        </w:tc>
        <w:tc>
          <w:tcPr>
            <w:tcW w:w="812" w:type="dxa"/>
            <w:vAlign w:val="center"/>
          </w:tcPr>
          <w:p w14:paraId="709D2890">
            <w:pPr>
              <w:adjustRightInd w:val="0"/>
              <w:snapToGrid w:val="0"/>
              <w:spacing w:line="276" w:lineRule="auto"/>
              <w:jc w:val="center"/>
              <w:rPr>
                <w:rFonts w:hint="eastAsia" w:ascii="宋体" w:hAnsi="宋体"/>
                <w:kern w:val="0"/>
                <w:sz w:val="24"/>
                <w:szCs w:val="24"/>
              </w:rPr>
            </w:pPr>
            <w:r>
              <w:rPr>
                <w:rFonts w:hint="eastAsia" w:ascii="宋体" w:hAnsi="宋体"/>
                <w:kern w:val="0"/>
                <w:sz w:val="24"/>
                <w:szCs w:val="24"/>
              </w:rPr>
              <w:t>报价</w:t>
            </w:r>
          </w:p>
          <w:p w14:paraId="1F936117">
            <w:pPr>
              <w:adjustRightInd w:val="0"/>
              <w:snapToGrid w:val="0"/>
              <w:spacing w:line="276" w:lineRule="auto"/>
              <w:jc w:val="center"/>
              <w:rPr>
                <w:rFonts w:hint="eastAsia" w:ascii="宋体" w:hAnsi="宋体"/>
                <w:b/>
                <w:kern w:val="0"/>
                <w:sz w:val="24"/>
                <w:szCs w:val="24"/>
              </w:rPr>
            </w:pPr>
            <w:r>
              <w:rPr>
                <w:rFonts w:hint="eastAsia" w:ascii="宋体" w:hAnsi="宋体"/>
                <w:kern w:val="0"/>
                <w:sz w:val="24"/>
                <w:szCs w:val="24"/>
              </w:rPr>
              <w:t>30分</w:t>
            </w:r>
          </w:p>
        </w:tc>
        <w:tc>
          <w:tcPr>
            <w:tcW w:w="703" w:type="dxa"/>
            <w:vAlign w:val="center"/>
          </w:tcPr>
          <w:p w14:paraId="48B6F2BF">
            <w:pPr>
              <w:adjustRightInd w:val="0"/>
              <w:snapToGrid w:val="0"/>
              <w:spacing w:line="276" w:lineRule="auto"/>
              <w:jc w:val="center"/>
              <w:rPr>
                <w:rFonts w:hint="eastAsia" w:ascii="宋体" w:hAnsi="宋体"/>
                <w:kern w:val="0"/>
                <w:sz w:val="24"/>
                <w:szCs w:val="20"/>
              </w:rPr>
            </w:pPr>
            <w:r>
              <w:rPr>
                <w:rFonts w:hint="eastAsia" w:ascii="宋体" w:hAnsi="宋体"/>
                <w:kern w:val="0"/>
                <w:sz w:val="24"/>
                <w:szCs w:val="20"/>
              </w:rPr>
              <w:t>报价</w:t>
            </w:r>
          </w:p>
        </w:tc>
        <w:tc>
          <w:tcPr>
            <w:tcW w:w="703" w:type="dxa"/>
            <w:vAlign w:val="center"/>
          </w:tcPr>
          <w:p w14:paraId="5FA7C840">
            <w:pPr>
              <w:adjustRightInd w:val="0"/>
              <w:snapToGrid w:val="0"/>
              <w:spacing w:line="276" w:lineRule="auto"/>
              <w:jc w:val="center"/>
              <w:rPr>
                <w:rFonts w:hint="eastAsia" w:ascii="宋体" w:hAnsi="宋体"/>
                <w:kern w:val="0"/>
                <w:sz w:val="24"/>
                <w:szCs w:val="24"/>
              </w:rPr>
            </w:pPr>
            <w:r>
              <w:rPr>
                <w:rFonts w:hint="eastAsia" w:ascii="宋体" w:hAnsi="宋体"/>
                <w:kern w:val="0"/>
                <w:sz w:val="24"/>
                <w:szCs w:val="24"/>
              </w:rPr>
              <w:t>30</w:t>
            </w:r>
          </w:p>
        </w:tc>
        <w:tc>
          <w:tcPr>
            <w:tcW w:w="6853" w:type="dxa"/>
            <w:tcBorders>
              <w:right w:val="single" w:color="auto" w:sz="4" w:space="0"/>
            </w:tcBorders>
            <w:vAlign w:val="center"/>
          </w:tcPr>
          <w:p w14:paraId="35D80887">
            <w:pPr>
              <w:adjustRightInd w:val="0"/>
              <w:snapToGrid w:val="0"/>
              <w:spacing w:line="276" w:lineRule="auto"/>
              <w:rPr>
                <w:rFonts w:hint="eastAsia" w:ascii="宋体" w:hAnsi="宋体"/>
                <w:b/>
                <w:kern w:val="0"/>
                <w:sz w:val="24"/>
                <w:szCs w:val="24"/>
              </w:rPr>
            </w:pPr>
            <w:r>
              <w:rPr>
                <w:rFonts w:hint="eastAsia" w:ascii="宋体" w:hAnsi="宋体" w:cs="宋体"/>
                <w:kern w:val="0"/>
                <w:sz w:val="24"/>
                <w:szCs w:val="24"/>
              </w:rPr>
              <w:t>以经评委会一致认定满足询比文件要求且投标综合费率最低的投标报价为评标基准价，但低于成本价的投标报价除外，其价格得分计30分。其他投标人的价格得分统一按公式计算：报价得分=（评标基准价/投标报价）×价格权重。</w:t>
            </w:r>
          </w:p>
        </w:tc>
      </w:tr>
      <w:tr w14:paraId="625BC3C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28" w:type="dxa"/>
            <w:left w:w="108" w:type="dxa"/>
            <w:bottom w:w="28" w:type="dxa"/>
            <w:right w:w="108" w:type="dxa"/>
          </w:tblCellMar>
        </w:tblPrEx>
        <w:trPr>
          <w:jc w:val="center"/>
        </w:trPr>
        <w:tc>
          <w:tcPr>
            <w:tcW w:w="456" w:type="dxa"/>
            <w:vMerge w:val="restart"/>
            <w:tcBorders>
              <w:left w:val="single" w:color="auto" w:sz="4" w:space="0"/>
            </w:tcBorders>
            <w:vAlign w:val="center"/>
          </w:tcPr>
          <w:p w14:paraId="64886AEB">
            <w:pPr>
              <w:adjustRightInd w:val="0"/>
              <w:snapToGrid w:val="0"/>
              <w:spacing w:line="276" w:lineRule="auto"/>
              <w:jc w:val="center"/>
              <w:rPr>
                <w:rFonts w:hint="eastAsia" w:ascii="宋体" w:hAnsi="宋体"/>
                <w:kern w:val="0"/>
                <w:sz w:val="24"/>
                <w:szCs w:val="20"/>
              </w:rPr>
            </w:pPr>
            <w:r>
              <w:rPr>
                <w:rFonts w:hint="eastAsia" w:ascii="宋体" w:hAnsi="宋体"/>
                <w:kern w:val="0"/>
                <w:sz w:val="24"/>
                <w:szCs w:val="20"/>
              </w:rPr>
              <w:t>2</w:t>
            </w:r>
          </w:p>
        </w:tc>
        <w:tc>
          <w:tcPr>
            <w:tcW w:w="812" w:type="dxa"/>
            <w:vMerge w:val="restart"/>
            <w:vAlign w:val="center"/>
          </w:tcPr>
          <w:p w14:paraId="6723267E">
            <w:pPr>
              <w:adjustRightInd w:val="0"/>
              <w:snapToGrid w:val="0"/>
              <w:spacing w:line="276" w:lineRule="auto"/>
              <w:jc w:val="center"/>
              <w:rPr>
                <w:rFonts w:hint="eastAsia" w:ascii="宋体" w:hAnsi="宋体"/>
                <w:kern w:val="0"/>
                <w:sz w:val="24"/>
                <w:szCs w:val="20"/>
              </w:rPr>
            </w:pPr>
            <w:r>
              <w:rPr>
                <w:rFonts w:hint="eastAsia" w:ascii="宋体" w:hAnsi="宋体"/>
                <w:kern w:val="0"/>
                <w:sz w:val="24"/>
                <w:szCs w:val="20"/>
              </w:rPr>
              <w:t>技术部分</w:t>
            </w:r>
          </w:p>
          <w:p w14:paraId="4C810D63">
            <w:pPr>
              <w:adjustRightInd w:val="0"/>
              <w:snapToGrid w:val="0"/>
              <w:spacing w:line="276" w:lineRule="auto"/>
              <w:jc w:val="center"/>
              <w:rPr>
                <w:rFonts w:hint="eastAsia" w:ascii="宋体" w:hAnsi="宋体"/>
                <w:kern w:val="0"/>
                <w:sz w:val="24"/>
                <w:szCs w:val="20"/>
              </w:rPr>
            </w:pPr>
            <w:r>
              <w:rPr>
                <w:rFonts w:hint="eastAsia" w:ascii="宋体" w:hAnsi="宋体"/>
                <w:kern w:val="0"/>
                <w:sz w:val="24"/>
                <w:szCs w:val="20"/>
              </w:rPr>
              <w:t>35分</w:t>
            </w:r>
          </w:p>
        </w:tc>
        <w:tc>
          <w:tcPr>
            <w:tcW w:w="703" w:type="dxa"/>
            <w:vAlign w:val="center"/>
          </w:tcPr>
          <w:p w14:paraId="1E7DA140">
            <w:pPr>
              <w:adjustRightInd w:val="0"/>
              <w:snapToGrid w:val="0"/>
              <w:spacing w:line="276" w:lineRule="auto"/>
              <w:jc w:val="center"/>
              <w:rPr>
                <w:rFonts w:hint="eastAsia" w:ascii="宋体" w:hAnsi="宋体"/>
                <w:kern w:val="0"/>
                <w:sz w:val="24"/>
                <w:szCs w:val="20"/>
              </w:rPr>
            </w:pPr>
            <w:r>
              <w:rPr>
                <w:rFonts w:hint="eastAsia" w:ascii="宋体" w:hAnsi="宋体" w:cs="宋体"/>
                <w:kern w:val="0"/>
                <w:sz w:val="24"/>
                <w:szCs w:val="20"/>
              </w:rPr>
              <w:t>服务</w:t>
            </w:r>
            <w:r>
              <w:rPr>
                <w:rFonts w:ascii="宋体" w:hAnsi="宋体" w:cs="宋体"/>
                <w:kern w:val="0"/>
                <w:sz w:val="24"/>
                <w:szCs w:val="20"/>
              </w:rPr>
              <w:t>指标响应情况</w:t>
            </w:r>
          </w:p>
        </w:tc>
        <w:tc>
          <w:tcPr>
            <w:tcW w:w="703" w:type="dxa"/>
            <w:vAlign w:val="center"/>
          </w:tcPr>
          <w:p w14:paraId="4749D3AE">
            <w:pPr>
              <w:adjustRightInd w:val="0"/>
              <w:snapToGrid w:val="0"/>
              <w:spacing w:line="276" w:lineRule="auto"/>
              <w:jc w:val="center"/>
              <w:rPr>
                <w:rFonts w:hint="eastAsia" w:ascii="宋体" w:hAnsi="宋体"/>
                <w:kern w:val="0"/>
                <w:sz w:val="24"/>
                <w:szCs w:val="20"/>
              </w:rPr>
            </w:pPr>
            <w:r>
              <w:rPr>
                <w:rFonts w:hint="eastAsia" w:ascii="宋体" w:hAnsi="宋体"/>
                <w:kern w:val="0"/>
                <w:sz w:val="24"/>
                <w:szCs w:val="20"/>
              </w:rPr>
              <w:t>15</w:t>
            </w:r>
          </w:p>
        </w:tc>
        <w:tc>
          <w:tcPr>
            <w:tcW w:w="6853" w:type="dxa"/>
            <w:tcBorders>
              <w:right w:val="single" w:color="auto" w:sz="4" w:space="0"/>
            </w:tcBorders>
            <w:vAlign w:val="center"/>
          </w:tcPr>
          <w:p w14:paraId="04D254DF">
            <w:pPr>
              <w:adjustRightInd w:val="0"/>
              <w:snapToGrid w:val="0"/>
              <w:spacing w:line="276" w:lineRule="auto"/>
              <w:rPr>
                <w:rFonts w:hint="eastAsia" w:ascii="宋体" w:hAnsi="宋体" w:cs="宋体"/>
                <w:kern w:val="0"/>
                <w:sz w:val="24"/>
                <w:szCs w:val="20"/>
              </w:rPr>
            </w:pPr>
            <w:r>
              <w:rPr>
                <w:rFonts w:hint="eastAsia" w:ascii="宋体" w:hAnsi="宋体" w:cs="宋体"/>
                <w:kern w:val="0"/>
                <w:sz w:val="24"/>
                <w:szCs w:val="20"/>
              </w:rPr>
              <w:t>根据供应商提供的运维服务的技术参数与询比文件要求比较，完全响应询比文件要求（即无偏离）得15分。每有一项技术参数存在负偏离的扣1.5分，扣完为止。</w:t>
            </w:r>
          </w:p>
        </w:tc>
      </w:tr>
      <w:tr w14:paraId="7E28BF7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28" w:type="dxa"/>
            <w:left w:w="108" w:type="dxa"/>
            <w:bottom w:w="28" w:type="dxa"/>
            <w:right w:w="108" w:type="dxa"/>
          </w:tblCellMar>
        </w:tblPrEx>
        <w:trPr>
          <w:jc w:val="center"/>
        </w:trPr>
        <w:tc>
          <w:tcPr>
            <w:tcW w:w="456" w:type="dxa"/>
            <w:vMerge w:val="continue"/>
            <w:tcBorders>
              <w:left w:val="single" w:color="auto" w:sz="4" w:space="0"/>
            </w:tcBorders>
            <w:vAlign w:val="center"/>
          </w:tcPr>
          <w:p w14:paraId="7C9F2ABE">
            <w:pPr>
              <w:adjustRightInd w:val="0"/>
              <w:snapToGrid w:val="0"/>
              <w:spacing w:line="276" w:lineRule="auto"/>
              <w:jc w:val="center"/>
              <w:rPr>
                <w:rFonts w:hint="eastAsia" w:ascii="宋体" w:hAnsi="宋体"/>
                <w:kern w:val="0"/>
                <w:sz w:val="24"/>
                <w:szCs w:val="20"/>
              </w:rPr>
            </w:pPr>
          </w:p>
        </w:tc>
        <w:tc>
          <w:tcPr>
            <w:tcW w:w="812" w:type="dxa"/>
            <w:vMerge w:val="continue"/>
            <w:vAlign w:val="center"/>
          </w:tcPr>
          <w:p w14:paraId="311DD468">
            <w:pPr>
              <w:adjustRightInd w:val="0"/>
              <w:snapToGrid w:val="0"/>
              <w:spacing w:line="276" w:lineRule="auto"/>
              <w:jc w:val="center"/>
              <w:rPr>
                <w:rFonts w:hint="eastAsia" w:ascii="宋体" w:hAnsi="宋体"/>
                <w:kern w:val="0"/>
                <w:sz w:val="24"/>
                <w:szCs w:val="20"/>
              </w:rPr>
            </w:pPr>
          </w:p>
        </w:tc>
        <w:tc>
          <w:tcPr>
            <w:tcW w:w="703" w:type="dxa"/>
            <w:vAlign w:val="center"/>
          </w:tcPr>
          <w:p w14:paraId="7102E52B">
            <w:pPr>
              <w:adjustRightInd w:val="0"/>
              <w:snapToGrid w:val="0"/>
              <w:spacing w:line="276" w:lineRule="auto"/>
              <w:jc w:val="center"/>
              <w:rPr>
                <w:rFonts w:hint="eastAsia" w:ascii="宋体" w:hAnsi="宋体" w:cs="宋体"/>
                <w:kern w:val="0"/>
                <w:sz w:val="24"/>
                <w:szCs w:val="20"/>
              </w:rPr>
            </w:pPr>
            <w:r>
              <w:rPr>
                <w:rFonts w:hint="eastAsia" w:ascii="宋体" w:hAnsi="宋体" w:cs="宋体"/>
                <w:kern w:val="0"/>
                <w:sz w:val="24"/>
                <w:szCs w:val="20"/>
              </w:rPr>
              <w:t>服务方案</w:t>
            </w:r>
          </w:p>
        </w:tc>
        <w:tc>
          <w:tcPr>
            <w:tcW w:w="703" w:type="dxa"/>
            <w:vAlign w:val="center"/>
          </w:tcPr>
          <w:p w14:paraId="59F7199E">
            <w:pPr>
              <w:adjustRightInd w:val="0"/>
              <w:snapToGrid w:val="0"/>
              <w:spacing w:line="276" w:lineRule="auto"/>
              <w:jc w:val="center"/>
              <w:rPr>
                <w:rFonts w:hint="eastAsia" w:ascii="宋体" w:hAnsi="宋体"/>
                <w:kern w:val="0"/>
                <w:sz w:val="24"/>
                <w:szCs w:val="20"/>
              </w:rPr>
            </w:pPr>
            <w:r>
              <w:rPr>
                <w:rFonts w:hint="eastAsia" w:ascii="宋体" w:hAnsi="宋体"/>
                <w:kern w:val="0"/>
                <w:sz w:val="24"/>
                <w:szCs w:val="20"/>
              </w:rPr>
              <w:t>10</w:t>
            </w:r>
          </w:p>
        </w:tc>
        <w:tc>
          <w:tcPr>
            <w:tcW w:w="6853" w:type="dxa"/>
            <w:tcBorders>
              <w:right w:val="single" w:color="auto" w:sz="4" w:space="0"/>
            </w:tcBorders>
            <w:vAlign w:val="center"/>
          </w:tcPr>
          <w:p w14:paraId="2E8FC083">
            <w:pPr>
              <w:adjustRightInd w:val="0"/>
              <w:snapToGrid w:val="0"/>
              <w:spacing w:line="276" w:lineRule="auto"/>
              <w:rPr>
                <w:rFonts w:hint="eastAsia" w:ascii="宋体" w:hAnsi="宋体" w:cs="宋体"/>
                <w:kern w:val="0"/>
                <w:sz w:val="24"/>
                <w:szCs w:val="20"/>
              </w:rPr>
            </w:pPr>
            <w:r>
              <w:rPr>
                <w:rFonts w:hint="eastAsia" w:ascii="宋体" w:hAnsi="宋体" w:cs="宋体"/>
                <w:kern w:val="0"/>
                <w:sz w:val="24"/>
                <w:szCs w:val="20"/>
                <w:lang w:val="zh-CN"/>
              </w:rPr>
              <w:t>供应商</w:t>
            </w:r>
            <w:r>
              <w:rPr>
                <w:rFonts w:hint="eastAsia" w:ascii="宋体" w:hAnsi="宋体" w:cs="宋体"/>
                <w:kern w:val="0"/>
                <w:sz w:val="24"/>
                <w:szCs w:val="20"/>
              </w:rPr>
              <w:t>根据本项目建设情况结合学校的实际需求</w:t>
            </w:r>
            <w:r>
              <w:rPr>
                <w:rFonts w:hint="eastAsia" w:ascii="宋体" w:hAnsi="宋体" w:cs="宋体"/>
                <w:kern w:val="0"/>
                <w:sz w:val="24"/>
                <w:szCs w:val="20"/>
                <w:lang w:val="zh-CN"/>
              </w:rPr>
              <w:t>提供</w:t>
            </w:r>
            <w:r>
              <w:rPr>
                <w:rFonts w:hint="eastAsia" w:ascii="宋体" w:hAnsi="宋体" w:cs="宋体"/>
                <w:kern w:val="0"/>
                <w:sz w:val="24"/>
                <w:szCs w:val="20"/>
              </w:rPr>
              <w:t>项目运维</w:t>
            </w:r>
            <w:r>
              <w:rPr>
                <w:rFonts w:hint="eastAsia" w:ascii="宋体" w:hAnsi="宋体" w:cs="宋体"/>
                <w:kern w:val="0"/>
                <w:sz w:val="24"/>
                <w:szCs w:val="20"/>
                <w:lang w:val="zh-CN"/>
              </w:rPr>
              <w:t>方案（</w:t>
            </w:r>
            <w:r>
              <w:rPr>
                <w:rFonts w:hint="eastAsia" w:ascii="宋体" w:hAnsi="宋体" w:cs="宋体"/>
                <w:kern w:val="0"/>
                <w:sz w:val="24"/>
                <w:szCs w:val="20"/>
              </w:rPr>
              <w:t>包含但不限于：运维管理方案、设施设备的维护方案、运维服务人员配置方案、故障响应方案、突发事件的应急预案</w:t>
            </w:r>
            <w:r>
              <w:rPr>
                <w:rFonts w:hint="eastAsia" w:ascii="宋体" w:hAnsi="宋体" w:cs="宋体"/>
                <w:kern w:val="0"/>
                <w:sz w:val="24"/>
                <w:szCs w:val="20"/>
                <w:lang w:val="zh-CN"/>
              </w:rPr>
              <w:t>），</w:t>
            </w:r>
            <w:r>
              <w:rPr>
                <w:rFonts w:hint="eastAsia" w:ascii="宋体" w:hAnsi="宋体" w:cs="宋体"/>
                <w:kern w:val="0"/>
                <w:sz w:val="24"/>
                <w:szCs w:val="20"/>
              </w:rPr>
              <w:t>评标委员会进行综合评价：以上各项内容完善具体、科学合理、针对性强、可操作性强、合理化建议客观全面、突出重点的计10分；有缺漏项或重大缺陷或不合理之处的每处扣2分，扣完为止；未提供的不计分。</w:t>
            </w:r>
          </w:p>
        </w:tc>
      </w:tr>
      <w:tr w14:paraId="3BC563F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28" w:type="dxa"/>
            <w:left w:w="108" w:type="dxa"/>
            <w:bottom w:w="28" w:type="dxa"/>
            <w:right w:w="108" w:type="dxa"/>
          </w:tblCellMar>
        </w:tblPrEx>
        <w:trPr>
          <w:jc w:val="center"/>
        </w:trPr>
        <w:tc>
          <w:tcPr>
            <w:tcW w:w="456" w:type="dxa"/>
            <w:vMerge w:val="continue"/>
            <w:tcBorders>
              <w:left w:val="single" w:color="auto" w:sz="4" w:space="0"/>
            </w:tcBorders>
            <w:vAlign w:val="center"/>
          </w:tcPr>
          <w:p w14:paraId="73685620">
            <w:pPr>
              <w:adjustRightInd w:val="0"/>
              <w:snapToGrid w:val="0"/>
              <w:spacing w:line="276" w:lineRule="auto"/>
              <w:jc w:val="center"/>
              <w:rPr>
                <w:rFonts w:hint="eastAsia" w:ascii="宋体" w:hAnsi="宋体"/>
                <w:kern w:val="0"/>
                <w:sz w:val="24"/>
                <w:szCs w:val="20"/>
              </w:rPr>
            </w:pPr>
          </w:p>
        </w:tc>
        <w:tc>
          <w:tcPr>
            <w:tcW w:w="812" w:type="dxa"/>
            <w:vMerge w:val="continue"/>
            <w:vAlign w:val="center"/>
          </w:tcPr>
          <w:p w14:paraId="5B23A09D">
            <w:pPr>
              <w:adjustRightInd w:val="0"/>
              <w:snapToGrid w:val="0"/>
              <w:spacing w:line="276" w:lineRule="auto"/>
              <w:jc w:val="center"/>
              <w:rPr>
                <w:rFonts w:hint="eastAsia" w:ascii="宋体" w:hAnsi="宋体"/>
                <w:kern w:val="0"/>
                <w:sz w:val="24"/>
                <w:szCs w:val="20"/>
              </w:rPr>
            </w:pPr>
          </w:p>
        </w:tc>
        <w:tc>
          <w:tcPr>
            <w:tcW w:w="703" w:type="dxa"/>
            <w:vAlign w:val="center"/>
          </w:tcPr>
          <w:p w14:paraId="698EEB24">
            <w:pPr>
              <w:adjustRightInd w:val="0"/>
              <w:snapToGrid w:val="0"/>
              <w:spacing w:line="276" w:lineRule="auto"/>
              <w:jc w:val="center"/>
              <w:rPr>
                <w:rFonts w:hint="eastAsia" w:ascii="宋体" w:hAnsi="宋体" w:cs="宋体"/>
                <w:kern w:val="0"/>
                <w:sz w:val="24"/>
                <w:szCs w:val="20"/>
              </w:rPr>
            </w:pPr>
            <w:r>
              <w:rPr>
                <w:rFonts w:hint="eastAsia" w:ascii="宋体" w:hAnsi="宋体" w:cs="宋体"/>
                <w:kern w:val="0"/>
                <w:sz w:val="24"/>
                <w:szCs w:val="20"/>
              </w:rPr>
              <w:t>资产移交方案</w:t>
            </w:r>
          </w:p>
        </w:tc>
        <w:tc>
          <w:tcPr>
            <w:tcW w:w="703" w:type="dxa"/>
            <w:vAlign w:val="center"/>
          </w:tcPr>
          <w:p w14:paraId="4CAE61FF">
            <w:pPr>
              <w:adjustRightInd w:val="0"/>
              <w:snapToGrid w:val="0"/>
              <w:spacing w:line="276" w:lineRule="auto"/>
              <w:jc w:val="center"/>
              <w:rPr>
                <w:rFonts w:hint="eastAsia" w:ascii="宋体" w:hAnsi="宋体"/>
                <w:kern w:val="0"/>
                <w:sz w:val="24"/>
                <w:szCs w:val="20"/>
              </w:rPr>
            </w:pPr>
            <w:r>
              <w:rPr>
                <w:rFonts w:hint="eastAsia" w:ascii="宋体" w:hAnsi="宋体"/>
                <w:kern w:val="0"/>
                <w:sz w:val="24"/>
                <w:szCs w:val="20"/>
              </w:rPr>
              <w:t>10</w:t>
            </w:r>
          </w:p>
        </w:tc>
        <w:tc>
          <w:tcPr>
            <w:tcW w:w="6853" w:type="dxa"/>
            <w:tcBorders>
              <w:right w:val="single" w:color="auto" w:sz="4" w:space="0"/>
            </w:tcBorders>
            <w:vAlign w:val="center"/>
          </w:tcPr>
          <w:p w14:paraId="6D99E130">
            <w:pPr>
              <w:adjustRightInd w:val="0"/>
              <w:snapToGrid w:val="0"/>
              <w:spacing w:line="276" w:lineRule="auto"/>
              <w:rPr>
                <w:rFonts w:hint="eastAsia" w:ascii="宋体" w:hAnsi="宋体" w:cs="宋体"/>
                <w:kern w:val="0"/>
                <w:sz w:val="24"/>
                <w:szCs w:val="20"/>
                <w:lang w:val="zh-CN"/>
              </w:rPr>
            </w:pPr>
            <w:r>
              <w:rPr>
                <w:rFonts w:hint="eastAsia" w:ascii="宋体" w:hAnsi="宋体" w:cs="宋体"/>
                <w:kern w:val="0"/>
                <w:sz w:val="24"/>
                <w:szCs w:val="20"/>
                <w:lang w:val="zh-CN"/>
              </w:rPr>
              <w:t>供应商根据本项目建设情况结合学校的实际需求提供</w:t>
            </w:r>
            <w:r>
              <w:rPr>
                <w:rFonts w:hint="eastAsia" w:ascii="宋体" w:hAnsi="宋体" w:cs="宋体"/>
                <w:kern w:val="0"/>
                <w:sz w:val="24"/>
                <w:szCs w:val="20"/>
              </w:rPr>
              <w:t>运维服务移交</w:t>
            </w:r>
            <w:r>
              <w:rPr>
                <w:rFonts w:hint="eastAsia" w:ascii="宋体" w:hAnsi="宋体" w:cs="宋体"/>
                <w:kern w:val="0"/>
                <w:sz w:val="24"/>
                <w:szCs w:val="20"/>
                <w:lang w:val="zh-CN"/>
              </w:rPr>
              <w:t>方案（</w:t>
            </w:r>
            <w:r>
              <w:rPr>
                <w:rFonts w:hint="eastAsia" w:ascii="宋体" w:hAnsi="宋体" w:cs="宋体"/>
                <w:kern w:val="0"/>
                <w:sz w:val="24"/>
                <w:szCs w:val="20"/>
              </w:rPr>
              <w:t>包含但不限于</w:t>
            </w:r>
            <w:r>
              <w:rPr>
                <w:rFonts w:hint="eastAsia" w:ascii="宋体" w:hAnsi="宋体" w:cs="宋体"/>
                <w:kern w:val="0"/>
                <w:sz w:val="24"/>
                <w:szCs w:val="20"/>
                <w:lang w:val="zh-CN"/>
              </w:rPr>
              <w:t>：</w:t>
            </w:r>
            <w:r>
              <w:rPr>
                <w:rFonts w:hint="eastAsia" w:ascii="宋体" w:hAnsi="宋体" w:cs="宋体"/>
                <w:kern w:val="0"/>
                <w:sz w:val="24"/>
                <w:szCs w:val="20"/>
              </w:rPr>
              <w:t>项目</w:t>
            </w:r>
            <w:r>
              <w:rPr>
                <w:rFonts w:hint="eastAsia" w:ascii="宋体" w:hAnsi="宋体" w:cs="宋体"/>
                <w:kern w:val="0"/>
                <w:sz w:val="24"/>
                <w:szCs w:val="20"/>
                <w:lang w:val="zh-CN"/>
              </w:rPr>
              <w:t>移交程序、项目正常</w:t>
            </w:r>
            <w:r>
              <w:rPr>
                <w:rFonts w:hint="eastAsia" w:ascii="宋体" w:hAnsi="宋体" w:cs="宋体"/>
                <w:kern w:val="0"/>
                <w:sz w:val="24"/>
                <w:szCs w:val="20"/>
              </w:rPr>
              <w:t>运维</w:t>
            </w:r>
            <w:r>
              <w:rPr>
                <w:rFonts w:hint="eastAsia" w:ascii="宋体" w:hAnsi="宋体" w:cs="宋体"/>
                <w:kern w:val="0"/>
                <w:sz w:val="24"/>
                <w:szCs w:val="20"/>
                <w:lang w:val="zh-CN"/>
              </w:rPr>
              <w:t>保证措施、操作和维修培训、技术</w:t>
            </w:r>
            <w:r>
              <w:rPr>
                <w:rFonts w:hint="eastAsia" w:ascii="宋体" w:hAnsi="宋体" w:cs="宋体"/>
                <w:kern w:val="0"/>
                <w:sz w:val="24"/>
                <w:szCs w:val="20"/>
              </w:rPr>
              <w:t>和运维管理</w:t>
            </w:r>
            <w:r>
              <w:rPr>
                <w:rFonts w:hint="eastAsia" w:ascii="宋体" w:hAnsi="宋体" w:cs="宋体"/>
                <w:kern w:val="0"/>
                <w:sz w:val="24"/>
                <w:szCs w:val="20"/>
                <w:lang w:val="zh-CN"/>
              </w:rPr>
              <w:t>资料的</w:t>
            </w:r>
            <w:r>
              <w:rPr>
                <w:rFonts w:hint="eastAsia" w:ascii="宋体" w:hAnsi="宋体" w:cs="宋体"/>
                <w:kern w:val="0"/>
                <w:sz w:val="24"/>
                <w:szCs w:val="20"/>
              </w:rPr>
              <w:t>移交</w:t>
            </w:r>
            <w:r>
              <w:rPr>
                <w:rFonts w:hint="eastAsia" w:ascii="宋体" w:hAnsi="宋体" w:cs="宋体"/>
                <w:kern w:val="0"/>
                <w:sz w:val="24"/>
                <w:szCs w:val="20"/>
                <w:lang w:val="zh-CN"/>
              </w:rPr>
              <w:t>），</w:t>
            </w:r>
            <w:r>
              <w:rPr>
                <w:rFonts w:hint="eastAsia" w:ascii="宋体" w:hAnsi="宋体" w:cs="宋体"/>
                <w:kern w:val="0"/>
                <w:sz w:val="24"/>
                <w:szCs w:val="20"/>
              </w:rPr>
              <w:t>评标委员会进行综合评价：方案内容完善具体、科学合理、针对性强、可操作性强的计10分；有缺漏项或重大缺陷或不合理之处的每处扣2分，扣完为止；未提供的不计分。</w:t>
            </w:r>
          </w:p>
        </w:tc>
      </w:tr>
      <w:tr w14:paraId="2987B8F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28" w:type="dxa"/>
            <w:left w:w="108" w:type="dxa"/>
            <w:bottom w:w="28" w:type="dxa"/>
            <w:right w:w="108" w:type="dxa"/>
          </w:tblCellMar>
        </w:tblPrEx>
        <w:trPr>
          <w:jc w:val="center"/>
        </w:trPr>
        <w:tc>
          <w:tcPr>
            <w:tcW w:w="456" w:type="dxa"/>
            <w:vMerge w:val="restart"/>
            <w:tcBorders>
              <w:left w:val="single" w:color="auto" w:sz="4" w:space="0"/>
            </w:tcBorders>
            <w:vAlign w:val="center"/>
          </w:tcPr>
          <w:p w14:paraId="6576D738">
            <w:pPr>
              <w:adjustRightInd w:val="0"/>
              <w:snapToGrid w:val="0"/>
              <w:spacing w:line="276" w:lineRule="auto"/>
              <w:jc w:val="center"/>
              <w:rPr>
                <w:rFonts w:hint="eastAsia" w:ascii="宋体" w:hAnsi="宋体" w:eastAsia="宋体"/>
                <w:kern w:val="0"/>
                <w:sz w:val="24"/>
                <w:szCs w:val="20"/>
                <w:lang w:val="en-US" w:eastAsia="zh-CN"/>
              </w:rPr>
            </w:pPr>
            <w:r>
              <w:rPr>
                <w:rFonts w:hint="eastAsia" w:ascii="宋体" w:hAnsi="宋体"/>
                <w:kern w:val="0"/>
                <w:sz w:val="24"/>
                <w:szCs w:val="20"/>
                <w:lang w:val="en-US" w:eastAsia="zh-CN"/>
              </w:rPr>
              <w:t>3</w:t>
            </w:r>
          </w:p>
        </w:tc>
        <w:tc>
          <w:tcPr>
            <w:tcW w:w="812" w:type="dxa"/>
            <w:vMerge w:val="restart"/>
            <w:vAlign w:val="center"/>
          </w:tcPr>
          <w:p w14:paraId="064BAF29">
            <w:pPr>
              <w:adjustRightInd w:val="0"/>
              <w:snapToGrid w:val="0"/>
              <w:spacing w:line="276" w:lineRule="auto"/>
              <w:jc w:val="center"/>
              <w:rPr>
                <w:rFonts w:hint="eastAsia" w:ascii="宋体" w:hAnsi="宋体"/>
                <w:kern w:val="0"/>
                <w:sz w:val="24"/>
                <w:szCs w:val="20"/>
              </w:rPr>
            </w:pPr>
            <w:r>
              <w:rPr>
                <w:rFonts w:hint="eastAsia" w:ascii="宋体" w:hAnsi="宋体"/>
                <w:kern w:val="0"/>
                <w:sz w:val="24"/>
                <w:szCs w:val="20"/>
              </w:rPr>
              <w:t>商务部分</w:t>
            </w:r>
          </w:p>
          <w:p w14:paraId="2BCEAE9E">
            <w:pPr>
              <w:adjustRightInd w:val="0"/>
              <w:snapToGrid w:val="0"/>
              <w:spacing w:line="276" w:lineRule="auto"/>
              <w:jc w:val="center"/>
              <w:rPr>
                <w:rFonts w:hint="eastAsia" w:ascii="宋体" w:hAnsi="宋体"/>
                <w:kern w:val="0"/>
                <w:sz w:val="24"/>
                <w:szCs w:val="20"/>
              </w:rPr>
            </w:pPr>
            <w:r>
              <w:rPr>
                <w:rFonts w:hint="eastAsia" w:ascii="宋体" w:hAnsi="宋体"/>
                <w:kern w:val="0"/>
                <w:sz w:val="24"/>
                <w:szCs w:val="20"/>
              </w:rPr>
              <w:t>35分</w:t>
            </w:r>
          </w:p>
        </w:tc>
        <w:tc>
          <w:tcPr>
            <w:tcW w:w="703" w:type="dxa"/>
            <w:vAlign w:val="center"/>
          </w:tcPr>
          <w:p w14:paraId="575778CD">
            <w:pPr>
              <w:adjustRightInd w:val="0"/>
              <w:snapToGrid w:val="0"/>
              <w:spacing w:line="276" w:lineRule="auto"/>
              <w:rPr>
                <w:rFonts w:hint="eastAsia" w:ascii="宋体" w:hAnsi="宋体" w:cs="宋体"/>
                <w:kern w:val="0"/>
                <w:sz w:val="24"/>
                <w:szCs w:val="20"/>
              </w:rPr>
            </w:pPr>
            <w:r>
              <w:rPr>
                <w:rFonts w:hint="eastAsia" w:ascii="宋体" w:hAnsi="宋体" w:cs="宋体"/>
                <w:kern w:val="0"/>
                <w:sz w:val="24"/>
                <w:szCs w:val="20"/>
              </w:rPr>
              <w:t>人员配备</w:t>
            </w:r>
          </w:p>
        </w:tc>
        <w:tc>
          <w:tcPr>
            <w:tcW w:w="703" w:type="dxa"/>
            <w:vAlign w:val="center"/>
          </w:tcPr>
          <w:p w14:paraId="40EE7FBE">
            <w:pPr>
              <w:adjustRightInd w:val="0"/>
              <w:snapToGrid w:val="0"/>
              <w:spacing w:line="276" w:lineRule="auto"/>
              <w:jc w:val="center"/>
              <w:rPr>
                <w:rFonts w:hint="eastAsia" w:ascii="宋体" w:hAnsi="宋体"/>
                <w:kern w:val="0"/>
                <w:sz w:val="24"/>
                <w:szCs w:val="20"/>
              </w:rPr>
            </w:pPr>
            <w:r>
              <w:rPr>
                <w:rFonts w:hint="eastAsia" w:ascii="宋体" w:hAnsi="宋体"/>
                <w:kern w:val="0"/>
                <w:sz w:val="24"/>
                <w:szCs w:val="20"/>
              </w:rPr>
              <w:t>30</w:t>
            </w:r>
          </w:p>
        </w:tc>
        <w:tc>
          <w:tcPr>
            <w:tcW w:w="6853" w:type="dxa"/>
            <w:tcBorders>
              <w:right w:val="single" w:color="auto" w:sz="4" w:space="0"/>
            </w:tcBorders>
            <w:vAlign w:val="center"/>
          </w:tcPr>
          <w:p w14:paraId="003D342D">
            <w:pPr>
              <w:adjustRightInd w:val="0"/>
              <w:snapToGrid w:val="0"/>
              <w:spacing w:line="276" w:lineRule="auto"/>
              <w:rPr>
                <w:rFonts w:hint="eastAsia" w:ascii="宋体" w:hAnsi="宋体" w:cs="宋体"/>
                <w:kern w:val="0"/>
                <w:sz w:val="24"/>
                <w:szCs w:val="20"/>
              </w:rPr>
            </w:pPr>
            <w:r>
              <w:rPr>
                <w:rFonts w:hint="eastAsia" w:ascii="宋体" w:hAnsi="宋体" w:cs="宋体"/>
                <w:kern w:val="0"/>
                <w:sz w:val="24"/>
                <w:szCs w:val="20"/>
              </w:rPr>
              <w:t>供应商所提供的不低于2名的驻场技术人员，其中一个必须具有中国人力资源专业技术技能评价中心颁发的网络工程师（高级）证书（供应商在询比文件中提供有效的证书复印件及近期3个月社保证明并加盖供应商公章的计15分，未提供不计分）；驻场时间每周6天，每天不低于8小时。（供应商在询比文件中提供承诺函并加盖供应商公章的计15分，未提供不计分）。</w:t>
            </w:r>
          </w:p>
        </w:tc>
      </w:tr>
      <w:tr w14:paraId="467FA4E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28" w:type="dxa"/>
            <w:left w:w="108" w:type="dxa"/>
            <w:bottom w:w="28" w:type="dxa"/>
            <w:right w:w="108" w:type="dxa"/>
          </w:tblCellMar>
        </w:tblPrEx>
        <w:trPr>
          <w:jc w:val="center"/>
        </w:trPr>
        <w:tc>
          <w:tcPr>
            <w:tcW w:w="456" w:type="dxa"/>
            <w:vMerge w:val="continue"/>
            <w:tcBorders>
              <w:left w:val="single" w:color="auto" w:sz="4" w:space="0"/>
            </w:tcBorders>
            <w:vAlign w:val="center"/>
          </w:tcPr>
          <w:p w14:paraId="7422A86C">
            <w:pPr>
              <w:adjustRightInd w:val="0"/>
              <w:snapToGrid w:val="0"/>
              <w:spacing w:line="276" w:lineRule="auto"/>
              <w:jc w:val="center"/>
              <w:rPr>
                <w:rFonts w:hint="eastAsia" w:ascii="宋体" w:hAnsi="宋体"/>
                <w:kern w:val="0"/>
                <w:sz w:val="24"/>
                <w:szCs w:val="20"/>
              </w:rPr>
            </w:pPr>
          </w:p>
        </w:tc>
        <w:tc>
          <w:tcPr>
            <w:tcW w:w="812" w:type="dxa"/>
            <w:vMerge w:val="continue"/>
            <w:vAlign w:val="center"/>
          </w:tcPr>
          <w:p w14:paraId="66E6F6F3">
            <w:pPr>
              <w:adjustRightInd w:val="0"/>
              <w:snapToGrid w:val="0"/>
              <w:spacing w:line="276" w:lineRule="auto"/>
              <w:jc w:val="center"/>
              <w:rPr>
                <w:rFonts w:hint="eastAsia" w:ascii="宋体" w:hAnsi="宋体"/>
                <w:kern w:val="0"/>
                <w:sz w:val="24"/>
                <w:szCs w:val="20"/>
              </w:rPr>
            </w:pPr>
          </w:p>
        </w:tc>
        <w:tc>
          <w:tcPr>
            <w:tcW w:w="703" w:type="dxa"/>
            <w:vAlign w:val="center"/>
          </w:tcPr>
          <w:p w14:paraId="06E25AAD">
            <w:pPr>
              <w:adjustRightInd w:val="0"/>
              <w:snapToGrid w:val="0"/>
              <w:spacing w:line="276" w:lineRule="auto"/>
              <w:jc w:val="center"/>
              <w:rPr>
                <w:rFonts w:hint="eastAsia" w:ascii="宋体" w:hAnsi="宋体" w:cs="宋体"/>
                <w:kern w:val="0"/>
                <w:sz w:val="24"/>
                <w:szCs w:val="20"/>
              </w:rPr>
            </w:pPr>
            <w:r>
              <w:rPr>
                <w:rFonts w:hint="eastAsia" w:ascii="宋体" w:hAnsi="宋体" w:cs="宋体"/>
                <w:kern w:val="0"/>
                <w:sz w:val="24"/>
                <w:szCs w:val="20"/>
              </w:rPr>
              <w:t>类似业绩</w:t>
            </w:r>
          </w:p>
        </w:tc>
        <w:tc>
          <w:tcPr>
            <w:tcW w:w="703" w:type="dxa"/>
            <w:vAlign w:val="center"/>
          </w:tcPr>
          <w:p w14:paraId="34433A4B">
            <w:pPr>
              <w:adjustRightInd w:val="0"/>
              <w:snapToGrid w:val="0"/>
              <w:spacing w:line="276" w:lineRule="auto"/>
              <w:jc w:val="center"/>
              <w:rPr>
                <w:rFonts w:hint="eastAsia" w:ascii="宋体" w:hAnsi="宋体"/>
                <w:kern w:val="0"/>
                <w:sz w:val="24"/>
                <w:szCs w:val="20"/>
              </w:rPr>
            </w:pPr>
            <w:r>
              <w:rPr>
                <w:rFonts w:hint="eastAsia" w:ascii="宋体" w:hAnsi="宋体"/>
                <w:kern w:val="0"/>
                <w:sz w:val="24"/>
                <w:szCs w:val="20"/>
              </w:rPr>
              <w:t>5</w:t>
            </w:r>
          </w:p>
        </w:tc>
        <w:tc>
          <w:tcPr>
            <w:tcW w:w="6853" w:type="dxa"/>
            <w:tcBorders>
              <w:right w:val="single" w:color="auto" w:sz="4" w:space="0"/>
            </w:tcBorders>
            <w:vAlign w:val="center"/>
          </w:tcPr>
          <w:p w14:paraId="788A0F99">
            <w:pPr>
              <w:adjustRightInd w:val="0"/>
              <w:snapToGrid w:val="0"/>
              <w:spacing w:line="276" w:lineRule="auto"/>
              <w:rPr>
                <w:rFonts w:hint="eastAsia" w:ascii="宋体" w:hAnsi="宋体" w:cs="宋体"/>
                <w:kern w:val="0"/>
                <w:sz w:val="24"/>
                <w:szCs w:val="20"/>
              </w:rPr>
            </w:pPr>
            <w:r>
              <w:rPr>
                <w:rFonts w:hint="eastAsia" w:ascii="宋体" w:hAnsi="宋体" w:cs="宋体"/>
                <w:kern w:val="0"/>
                <w:sz w:val="24"/>
                <w:szCs w:val="20"/>
              </w:rPr>
              <w:t>供应商提供自2023年9月至本项目询比文件递交截止时间（以合同签订日期为准承担过类似的项目业绩的记5分。</w:t>
            </w:r>
          </w:p>
          <w:p w14:paraId="6AC62E0A">
            <w:pPr>
              <w:adjustRightInd w:val="0"/>
              <w:snapToGrid w:val="0"/>
              <w:spacing w:line="276" w:lineRule="auto"/>
              <w:rPr>
                <w:rFonts w:hint="eastAsia" w:ascii="宋体" w:hAnsi="宋体" w:cs="宋体"/>
                <w:kern w:val="0"/>
                <w:sz w:val="24"/>
                <w:szCs w:val="20"/>
              </w:rPr>
            </w:pPr>
            <w:r>
              <w:rPr>
                <w:rFonts w:hint="eastAsia" w:ascii="宋体" w:hAnsi="宋体" w:cs="宋体"/>
                <w:kern w:val="0"/>
                <w:sz w:val="24"/>
                <w:szCs w:val="20"/>
              </w:rPr>
              <w:t>注：提供合同复印件及报告主页，以上资料均须加盖供应商公章，否则不计分。</w:t>
            </w:r>
          </w:p>
        </w:tc>
      </w:tr>
    </w:tbl>
    <w:p w14:paraId="4B36B80C">
      <w:pPr>
        <w:pStyle w:val="16"/>
        <w:ind w:left="0" w:leftChars="0" w:firstLine="0"/>
        <w:jc w:val="center"/>
        <w:rPr>
          <w:rFonts w:hint="eastAsia" w:ascii="宋体" w:hAnsi="宋体" w:eastAsia="仿宋" w:cs="宋体"/>
          <w:b/>
          <w:color w:val="333333"/>
          <w:kern w:val="0"/>
          <w:sz w:val="36"/>
          <w:szCs w:val="36"/>
        </w:rPr>
      </w:pPr>
    </w:p>
    <w:p w14:paraId="5077E8EB">
      <w:pPr>
        <w:pStyle w:val="16"/>
        <w:ind w:left="0" w:leftChars="0" w:firstLine="0"/>
        <w:jc w:val="center"/>
        <w:rPr>
          <w:rFonts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14:paraId="29379492">
      <w:pPr>
        <w:adjustRightInd w:val="0"/>
        <w:snapToGrid w:val="0"/>
        <w:spacing w:line="360" w:lineRule="auto"/>
        <w:ind w:firstLine="482" w:firstLineChars="200"/>
        <w:jc w:val="left"/>
        <w:outlineLvl w:val="0"/>
        <w:rPr>
          <w:rFonts w:ascii="仿宋" w:hAnsi="仿宋" w:eastAsia="仿宋"/>
          <w:sz w:val="24"/>
          <w:szCs w:val="24"/>
        </w:rPr>
      </w:pPr>
      <w:r>
        <w:rPr>
          <w:rFonts w:hint="eastAsia" w:ascii="仿宋" w:hAnsi="仿宋" w:eastAsia="仿宋"/>
          <w:b/>
          <w:sz w:val="24"/>
          <w:szCs w:val="24"/>
        </w:rPr>
        <w:t>一、</w:t>
      </w:r>
      <w:r>
        <w:rPr>
          <w:rFonts w:hint="eastAsia" w:ascii="仿宋" w:hAnsi="仿宋" w:eastAsia="仿宋"/>
          <w:b/>
          <w:sz w:val="24"/>
          <w:szCs w:val="24"/>
          <w:lang w:eastAsia="zh-CN"/>
        </w:rPr>
        <w:t>询比</w:t>
      </w:r>
      <w:r>
        <w:rPr>
          <w:rFonts w:hint="eastAsia" w:ascii="仿宋" w:hAnsi="仿宋" w:eastAsia="仿宋"/>
          <w:b/>
          <w:sz w:val="24"/>
          <w:szCs w:val="24"/>
        </w:rPr>
        <w:t>响应声明：</w:t>
      </w:r>
      <w:r>
        <w:rPr>
          <w:rFonts w:hint="eastAsia" w:ascii="仿宋" w:hAnsi="仿宋" w:eastAsia="仿宋"/>
          <w:sz w:val="24"/>
          <w:szCs w:val="24"/>
        </w:rPr>
        <w:t>见附件1</w:t>
      </w:r>
    </w:p>
    <w:p w14:paraId="2E83347C">
      <w:pPr>
        <w:adjustRightInd w:val="0"/>
        <w:snapToGrid w:val="0"/>
        <w:spacing w:line="360" w:lineRule="auto"/>
        <w:ind w:firstLine="482" w:firstLineChars="200"/>
        <w:jc w:val="left"/>
        <w:outlineLvl w:val="0"/>
        <w:rPr>
          <w:rFonts w:ascii="仿宋" w:hAnsi="仿宋" w:eastAsia="仿宋"/>
          <w:b/>
          <w:sz w:val="24"/>
          <w:szCs w:val="24"/>
        </w:rPr>
      </w:pPr>
      <w:r>
        <w:rPr>
          <w:rFonts w:hint="eastAsia" w:ascii="仿宋" w:hAnsi="仿宋" w:eastAsia="仿宋"/>
          <w:b/>
          <w:sz w:val="24"/>
          <w:szCs w:val="24"/>
        </w:rPr>
        <w:t>二、供应商认为需要提供的资料</w:t>
      </w:r>
    </w:p>
    <w:p w14:paraId="18F19F73">
      <w:pPr>
        <w:pStyle w:val="16"/>
        <w:spacing w:before="0" w:beforeAutospacing="0" w:after="0" w:line="360" w:lineRule="auto"/>
        <w:ind w:left="0" w:leftChars="0" w:firstLine="482" w:firstLineChars="200"/>
        <w:jc w:val="left"/>
        <w:rPr>
          <w:rFonts w:ascii="仿宋" w:hAnsi="仿宋" w:eastAsia="仿宋"/>
          <w:sz w:val="24"/>
          <w:szCs w:val="24"/>
        </w:rPr>
      </w:pPr>
      <w:r>
        <w:rPr>
          <w:rFonts w:ascii="仿宋" w:hAnsi="仿宋" w:eastAsia="仿宋"/>
          <w:b/>
          <w:sz w:val="24"/>
          <w:szCs w:val="24"/>
        </w:rPr>
        <w:t>三</w:t>
      </w:r>
      <w:r>
        <w:rPr>
          <w:rFonts w:hint="eastAsia" w:ascii="仿宋" w:hAnsi="仿宋" w:eastAsia="仿宋"/>
          <w:b/>
          <w:sz w:val="24"/>
          <w:szCs w:val="24"/>
        </w:rPr>
        <w:t>、</w:t>
      </w:r>
      <w:r>
        <w:rPr>
          <w:rFonts w:ascii="仿宋" w:hAnsi="仿宋" w:eastAsia="仿宋"/>
          <w:b/>
          <w:sz w:val="24"/>
          <w:szCs w:val="24"/>
        </w:rPr>
        <w:t>报价</w:t>
      </w:r>
      <w:r>
        <w:rPr>
          <w:rFonts w:hint="eastAsia" w:ascii="仿宋" w:hAnsi="仿宋" w:eastAsia="仿宋"/>
          <w:b/>
          <w:sz w:val="24"/>
          <w:szCs w:val="24"/>
        </w:rPr>
        <w:t>函：</w:t>
      </w:r>
      <w:r>
        <w:rPr>
          <w:rFonts w:hint="eastAsia" w:ascii="仿宋" w:hAnsi="仿宋" w:eastAsia="仿宋"/>
          <w:sz w:val="24"/>
          <w:szCs w:val="24"/>
        </w:rPr>
        <w:t>见附件</w:t>
      </w:r>
      <w:r>
        <w:rPr>
          <w:rFonts w:ascii="仿宋" w:hAnsi="仿宋" w:eastAsia="仿宋"/>
          <w:sz w:val="24"/>
          <w:szCs w:val="24"/>
        </w:rPr>
        <w:t>2</w:t>
      </w:r>
    </w:p>
    <w:p w14:paraId="083C3535"/>
    <w:p w14:paraId="76FA2809"/>
    <w:p w14:paraId="26A326CD">
      <w:pPr>
        <w:pStyle w:val="16"/>
        <w:ind w:left="0" w:leftChars="0" w:firstLine="0"/>
      </w:pPr>
    </w:p>
    <w:p w14:paraId="77055329"/>
    <w:p w14:paraId="4DFEE8F5">
      <w:pPr>
        <w:pStyle w:val="16"/>
        <w:ind w:left="0" w:leftChars="0" w:firstLine="0"/>
        <w:jc w:val="center"/>
        <w:rPr>
          <w:rFonts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15CD718D">
      <w:pPr>
        <w:pStyle w:val="33"/>
        <w:shd w:val="clear" w:color="auto" w:fill="FFFFFF"/>
        <w:spacing w:before="0" w:beforeAutospacing="0" w:after="0" w:afterAutospacing="0" w:line="360" w:lineRule="auto"/>
        <w:ind w:firstLine="480" w:firstLineChars="200"/>
        <w:rPr>
          <w:rFonts w:ascii="仿宋" w:hAnsi="仿宋" w:eastAsia="仿宋" w:cs="Times New Roman"/>
          <w:kern w:val="2"/>
        </w:rPr>
      </w:pPr>
      <w:r>
        <w:rPr>
          <w:rFonts w:hint="eastAsia" w:ascii="仿宋" w:hAnsi="仿宋" w:eastAsia="仿宋" w:cs="Times New Roman"/>
          <w:kern w:val="2"/>
        </w:rPr>
        <w:t>1、响应文件应密封包装，加贴封条；</w:t>
      </w:r>
    </w:p>
    <w:p w14:paraId="57EF916D">
      <w:pPr>
        <w:pStyle w:val="33"/>
        <w:shd w:val="clear" w:color="auto" w:fill="FFFFFF"/>
        <w:spacing w:before="0" w:beforeAutospacing="0" w:after="0" w:afterAutospacing="0" w:line="360" w:lineRule="auto"/>
        <w:ind w:firstLine="480" w:firstLineChars="200"/>
        <w:rPr>
          <w:rFonts w:ascii="仿宋" w:hAnsi="仿宋" w:eastAsia="仿宋" w:cs="Times New Roman"/>
          <w:kern w:val="2"/>
        </w:rPr>
      </w:pPr>
      <w:r>
        <w:rPr>
          <w:rFonts w:hint="eastAsia" w:ascii="仿宋" w:hAnsi="仿宋" w:eastAsia="仿宋" w:cs="Times New Roman"/>
          <w:kern w:val="2"/>
        </w:rPr>
        <w:t>2、响应文件正本壹份、副本贰份，并装订；</w:t>
      </w:r>
    </w:p>
    <w:p w14:paraId="078107D2">
      <w:pPr>
        <w:pStyle w:val="33"/>
        <w:shd w:val="clear" w:color="auto" w:fill="FFFFFF"/>
        <w:spacing w:before="0" w:beforeAutospacing="0" w:after="0" w:afterAutospacing="0" w:line="360" w:lineRule="auto"/>
        <w:ind w:firstLine="480" w:firstLineChars="200"/>
        <w:rPr>
          <w:rFonts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14:paraId="5C02B142">
      <w:pPr>
        <w:pStyle w:val="33"/>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4、报价不得超过采购预算价格，否则为无效投标。</w:t>
      </w:r>
    </w:p>
    <w:p w14:paraId="0679AE10">
      <w:pPr>
        <w:pStyle w:val="33"/>
        <w:shd w:val="clear" w:color="auto" w:fill="FFFFFF"/>
        <w:spacing w:before="0" w:beforeAutospacing="0" w:after="0" w:afterAutospacing="0" w:line="360" w:lineRule="auto"/>
        <w:ind w:firstLine="480" w:firstLineChars="200"/>
        <w:rPr>
          <w:rFonts w:hint="eastAsia" w:ascii="仿宋" w:hAnsi="仿宋" w:eastAsia="仿宋" w:cs="Times New Roman"/>
          <w:kern w:val="2"/>
        </w:rPr>
      </w:pPr>
    </w:p>
    <w:p w14:paraId="11430F62">
      <w:pPr>
        <w:pStyle w:val="33"/>
        <w:shd w:val="clear" w:color="auto" w:fill="FFFFFF"/>
        <w:spacing w:before="0" w:beforeAutospacing="0" w:after="0" w:afterAutospacing="0" w:line="360" w:lineRule="auto"/>
        <w:ind w:firstLine="480" w:firstLineChars="200"/>
        <w:rPr>
          <w:rFonts w:hint="eastAsia" w:ascii="仿宋" w:hAnsi="仿宋" w:eastAsia="仿宋" w:cs="Times New Roman"/>
          <w:kern w:val="2"/>
        </w:rPr>
      </w:pPr>
    </w:p>
    <w:p w14:paraId="2481E6A5">
      <w:pPr>
        <w:pStyle w:val="33"/>
        <w:shd w:val="clear" w:color="auto" w:fill="FFFFFF"/>
        <w:spacing w:before="0" w:beforeAutospacing="0" w:after="0" w:afterAutospacing="0" w:line="360" w:lineRule="auto"/>
        <w:ind w:firstLine="480" w:firstLineChars="200"/>
        <w:rPr>
          <w:rFonts w:hint="eastAsia" w:ascii="仿宋" w:hAnsi="仿宋" w:eastAsia="仿宋" w:cs="Times New Roman"/>
          <w:kern w:val="2"/>
        </w:rPr>
      </w:pPr>
    </w:p>
    <w:p w14:paraId="1AA21E8D">
      <w:pPr>
        <w:pStyle w:val="33"/>
        <w:shd w:val="clear" w:color="auto" w:fill="FFFFFF"/>
        <w:spacing w:before="0" w:beforeAutospacing="0" w:after="0" w:afterAutospacing="0" w:line="360" w:lineRule="auto"/>
        <w:ind w:firstLine="480" w:firstLineChars="200"/>
        <w:rPr>
          <w:rFonts w:hint="eastAsia" w:ascii="仿宋" w:hAnsi="仿宋" w:eastAsia="仿宋" w:cs="Times New Roman"/>
          <w:kern w:val="2"/>
        </w:rPr>
      </w:pPr>
    </w:p>
    <w:p w14:paraId="4D308594">
      <w:pPr>
        <w:pStyle w:val="33"/>
        <w:shd w:val="clear" w:color="auto" w:fill="FFFFFF"/>
        <w:spacing w:before="0" w:beforeAutospacing="0" w:after="0" w:afterAutospacing="0" w:line="360" w:lineRule="auto"/>
        <w:ind w:firstLine="480" w:firstLineChars="200"/>
        <w:rPr>
          <w:rFonts w:hint="eastAsia" w:ascii="仿宋" w:hAnsi="仿宋" w:eastAsia="仿宋" w:cs="Times New Roman"/>
          <w:kern w:val="2"/>
        </w:rPr>
      </w:pPr>
    </w:p>
    <w:p w14:paraId="135ACE1F">
      <w:pPr>
        <w:pStyle w:val="33"/>
        <w:shd w:val="clear" w:color="auto" w:fill="FFFFFF"/>
        <w:spacing w:before="0" w:beforeAutospacing="0" w:after="0" w:afterAutospacing="0" w:line="360" w:lineRule="auto"/>
        <w:ind w:firstLine="480" w:firstLineChars="200"/>
        <w:rPr>
          <w:rFonts w:hint="eastAsia" w:ascii="仿宋" w:hAnsi="仿宋" w:eastAsia="仿宋" w:cs="Times New Roman"/>
          <w:kern w:val="2"/>
        </w:rPr>
      </w:pPr>
    </w:p>
    <w:p w14:paraId="60A58A8D">
      <w:pPr>
        <w:pStyle w:val="33"/>
        <w:shd w:val="clear" w:color="auto" w:fill="FFFFFF"/>
        <w:spacing w:before="0" w:beforeAutospacing="0" w:after="0" w:afterAutospacing="0" w:line="360" w:lineRule="auto"/>
        <w:ind w:firstLine="480" w:firstLineChars="200"/>
        <w:rPr>
          <w:rFonts w:hint="eastAsia" w:ascii="仿宋" w:hAnsi="仿宋" w:eastAsia="仿宋" w:cs="Times New Roman"/>
          <w:kern w:val="2"/>
        </w:rPr>
      </w:pPr>
    </w:p>
    <w:p w14:paraId="789B93F6">
      <w:pPr>
        <w:pStyle w:val="33"/>
        <w:shd w:val="clear" w:color="auto" w:fill="FFFFFF"/>
        <w:spacing w:before="0" w:beforeAutospacing="0" w:after="0" w:afterAutospacing="0" w:line="360" w:lineRule="auto"/>
        <w:ind w:firstLine="480" w:firstLineChars="200"/>
        <w:rPr>
          <w:rFonts w:hint="eastAsia" w:ascii="仿宋" w:hAnsi="仿宋" w:eastAsia="仿宋" w:cs="Times New Roman"/>
          <w:kern w:val="2"/>
        </w:rPr>
      </w:pPr>
    </w:p>
    <w:p w14:paraId="58CCAC53">
      <w:pPr>
        <w:pStyle w:val="33"/>
        <w:shd w:val="clear" w:color="auto" w:fill="FFFFFF"/>
        <w:spacing w:before="0" w:beforeAutospacing="0" w:after="0" w:afterAutospacing="0" w:line="360" w:lineRule="auto"/>
        <w:ind w:firstLine="480" w:firstLineChars="200"/>
        <w:rPr>
          <w:rFonts w:hint="eastAsia" w:ascii="仿宋" w:hAnsi="仿宋" w:eastAsia="仿宋" w:cs="Times New Roman"/>
          <w:kern w:val="2"/>
        </w:rPr>
      </w:pPr>
    </w:p>
    <w:p w14:paraId="5380D6F3">
      <w:pPr>
        <w:pStyle w:val="33"/>
        <w:shd w:val="clear" w:color="auto" w:fill="FFFFFF"/>
        <w:spacing w:before="0" w:beforeAutospacing="0" w:after="0" w:afterAutospacing="0" w:line="360" w:lineRule="auto"/>
        <w:ind w:firstLine="480" w:firstLineChars="200"/>
        <w:rPr>
          <w:rFonts w:hint="eastAsia" w:ascii="仿宋" w:hAnsi="仿宋" w:eastAsia="仿宋" w:cs="Times New Roman"/>
          <w:kern w:val="2"/>
        </w:rPr>
      </w:pPr>
    </w:p>
    <w:p w14:paraId="7157A879">
      <w:pPr>
        <w:pStyle w:val="33"/>
        <w:shd w:val="clear" w:color="auto" w:fill="FFFFFF"/>
        <w:spacing w:before="0" w:beforeAutospacing="0" w:after="0" w:afterAutospacing="0" w:line="360" w:lineRule="auto"/>
        <w:ind w:firstLine="480" w:firstLineChars="200"/>
        <w:rPr>
          <w:rFonts w:hint="eastAsia" w:ascii="仿宋" w:hAnsi="仿宋" w:eastAsia="仿宋" w:cs="Times New Roman"/>
          <w:kern w:val="2"/>
        </w:rPr>
      </w:pPr>
    </w:p>
    <w:p w14:paraId="3F160F12">
      <w:pPr>
        <w:pStyle w:val="33"/>
        <w:shd w:val="clear" w:color="auto" w:fill="FFFFFF"/>
        <w:spacing w:before="0" w:beforeAutospacing="0" w:after="0" w:afterAutospacing="0" w:line="360" w:lineRule="auto"/>
        <w:ind w:firstLine="480" w:firstLineChars="200"/>
        <w:rPr>
          <w:rFonts w:hint="eastAsia" w:ascii="仿宋" w:hAnsi="仿宋" w:eastAsia="仿宋" w:cs="Times New Roman"/>
          <w:kern w:val="2"/>
        </w:rPr>
      </w:pPr>
    </w:p>
    <w:p w14:paraId="64A231A4">
      <w:pPr>
        <w:pStyle w:val="33"/>
        <w:shd w:val="clear" w:color="auto" w:fill="FFFFFF"/>
        <w:spacing w:before="0" w:beforeAutospacing="0" w:after="0" w:afterAutospacing="0" w:line="360" w:lineRule="auto"/>
        <w:ind w:firstLine="480" w:firstLineChars="200"/>
        <w:rPr>
          <w:rFonts w:hint="eastAsia" w:ascii="仿宋" w:hAnsi="仿宋" w:eastAsia="仿宋" w:cs="Times New Roman"/>
          <w:kern w:val="2"/>
        </w:rPr>
      </w:pPr>
    </w:p>
    <w:p w14:paraId="2CCC1DC8">
      <w:pPr>
        <w:pStyle w:val="10"/>
        <w:adjustRightInd w:val="0"/>
        <w:snapToGrid w:val="0"/>
        <w:spacing w:line="360" w:lineRule="auto"/>
        <w:rPr>
          <w:rFonts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14:paraId="717A77DB">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lang w:eastAsia="zh-CN"/>
        </w:rPr>
        <w:t>询比</w:t>
      </w:r>
      <w:r>
        <w:rPr>
          <w:rFonts w:hint="eastAsia" w:ascii="仿宋_GB2312" w:hAnsi="宋体" w:eastAsia="仿宋_GB2312"/>
          <w:b/>
          <w:sz w:val="32"/>
          <w:szCs w:val="32"/>
        </w:rPr>
        <w:t>响应声明</w:t>
      </w:r>
    </w:p>
    <w:p w14:paraId="563661CD">
      <w:pPr>
        <w:adjustRightInd w:val="0"/>
        <w:snapToGrid w:val="0"/>
        <w:spacing w:line="360" w:lineRule="auto"/>
        <w:rPr>
          <w:rFonts w:ascii="仿宋_GB2312" w:hAnsi="宋体" w:eastAsia="仿宋_GB2312"/>
          <w:sz w:val="24"/>
          <w:szCs w:val="24"/>
        </w:rPr>
      </w:pPr>
    </w:p>
    <w:p w14:paraId="3B40E189">
      <w:pPr>
        <w:adjustRightInd w:val="0"/>
        <w:snapToGrid w:val="0"/>
        <w:spacing w:line="360" w:lineRule="auto"/>
        <w:rPr>
          <w:rFonts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14:paraId="67A3DD73">
      <w:pPr>
        <w:adjustRightInd w:val="0"/>
        <w:snapToGrid w:val="0"/>
        <w:spacing w:line="360" w:lineRule="auto"/>
        <w:ind w:firstLine="480" w:firstLineChars="200"/>
        <w:rPr>
          <w:rFonts w:ascii="仿宋" w:hAnsi="仿宋" w:eastAsia="仿宋"/>
          <w:sz w:val="24"/>
          <w:szCs w:val="24"/>
        </w:rPr>
      </w:pPr>
      <w:r>
        <w:rPr>
          <w:rFonts w:hint="eastAsia" w:ascii="仿宋" w:hAnsi="仿宋" w:eastAsia="仿宋"/>
          <w:sz w:val="24"/>
          <w:szCs w:val="24"/>
        </w:rPr>
        <w:t>我方已仔细研究了</w:t>
      </w:r>
      <w:r>
        <w:rPr>
          <w:rFonts w:hint="eastAsia" w:ascii="仿宋" w:hAnsi="仿宋" w:eastAsia="仿宋"/>
          <w:sz w:val="24"/>
          <w:szCs w:val="24"/>
          <w:u w:val="single"/>
        </w:rPr>
        <w:t xml:space="preserve">               项目(</w:t>
      </w:r>
      <w:r>
        <w:rPr>
          <w:rFonts w:hint="eastAsia" w:ascii="仿宋" w:hAnsi="仿宋" w:eastAsia="仿宋"/>
          <w:sz w:val="24"/>
          <w:szCs w:val="24"/>
        </w:rPr>
        <w:t>项目名称)的</w:t>
      </w:r>
      <w:r>
        <w:rPr>
          <w:rFonts w:hint="eastAsia" w:ascii="仿宋" w:hAnsi="仿宋" w:eastAsia="仿宋"/>
          <w:sz w:val="24"/>
          <w:szCs w:val="24"/>
          <w:lang w:eastAsia="zh-CN"/>
        </w:rPr>
        <w:t>询比</w:t>
      </w:r>
      <w:r>
        <w:rPr>
          <w:rFonts w:hint="eastAsia" w:ascii="仿宋" w:hAnsi="仿宋" w:eastAsia="仿宋"/>
          <w:sz w:val="24"/>
          <w:szCs w:val="24"/>
        </w:rPr>
        <w:t>采购文件的全部内容，知悉参加</w:t>
      </w:r>
      <w:r>
        <w:rPr>
          <w:rFonts w:hint="eastAsia" w:ascii="仿宋" w:hAnsi="仿宋" w:eastAsia="仿宋"/>
          <w:sz w:val="24"/>
          <w:szCs w:val="24"/>
          <w:lang w:eastAsia="zh-CN"/>
        </w:rPr>
        <w:t>询比</w:t>
      </w:r>
      <w:r>
        <w:rPr>
          <w:rFonts w:hint="eastAsia" w:ascii="仿宋" w:hAnsi="仿宋" w:eastAsia="仿宋"/>
          <w:sz w:val="24"/>
          <w:szCs w:val="24"/>
        </w:rPr>
        <w:t>的风险，我方承诺接受</w:t>
      </w:r>
      <w:r>
        <w:rPr>
          <w:rFonts w:hint="eastAsia" w:ascii="仿宋" w:hAnsi="仿宋" w:eastAsia="仿宋"/>
          <w:sz w:val="24"/>
          <w:szCs w:val="24"/>
          <w:lang w:eastAsia="zh-CN"/>
        </w:rPr>
        <w:t>询比</w:t>
      </w:r>
      <w:r>
        <w:rPr>
          <w:rFonts w:hint="eastAsia" w:ascii="仿宋" w:hAnsi="仿宋" w:eastAsia="仿宋"/>
          <w:sz w:val="24"/>
          <w:szCs w:val="24"/>
        </w:rPr>
        <w:t>采购文件的全部条款且无任何异议。</w:t>
      </w:r>
    </w:p>
    <w:p w14:paraId="6FC4EBF3">
      <w:pPr>
        <w:pStyle w:val="10"/>
        <w:adjustRightInd w:val="0"/>
        <w:snapToGrid w:val="0"/>
        <w:spacing w:line="360" w:lineRule="auto"/>
        <w:ind w:firstLine="480" w:firstLineChars="200"/>
        <w:rPr>
          <w:rFonts w:ascii="仿宋" w:hAnsi="仿宋" w:eastAsia="仿宋"/>
          <w:sz w:val="24"/>
          <w:szCs w:val="24"/>
        </w:rPr>
      </w:pPr>
      <w:r>
        <w:rPr>
          <w:rFonts w:hint="eastAsia" w:ascii="仿宋" w:hAnsi="仿宋" w:eastAsia="仿宋"/>
          <w:sz w:val="24"/>
          <w:szCs w:val="24"/>
        </w:rPr>
        <w:t>一、我方同意在</w:t>
      </w:r>
      <w:r>
        <w:rPr>
          <w:rFonts w:hint="eastAsia" w:ascii="仿宋" w:hAnsi="仿宋" w:eastAsia="仿宋"/>
          <w:sz w:val="24"/>
          <w:szCs w:val="24"/>
          <w:lang w:eastAsia="zh-CN"/>
        </w:rPr>
        <w:t>询比</w:t>
      </w:r>
      <w:r>
        <w:rPr>
          <w:rFonts w:hint="eastAsia" w:ascii="仿宋" w:hAnsi="仿宋" w:eastAsia="仿宋"/>
          <w:sz w:val="24"/>
          <w:szCs w:val="24"/>
        </w:rPr>
        <w:t>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14:paraId="7F4328C6">
      <w:pPr>
        <w:pStyle w:val="10"/>
        <w:adjustRightInd w:val="0"/>
        <w:snapToGrid w:val="0"/>
        <w:spacing w:line="360" w:lineRule="auto"/>
        <w:ind w:firstLine="480" w:firstLineChars="200"/>
        <w:rPr>
          <w:rFonts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14:paraId="1A8E2649">
      <w:pPr>
        <w:pStyle w:val="10"/>
        <w:adjustRightInd w:val="0"/>
        <w:snapToGrid w:val="0"/>
        <w:spacing w:line="360" w:lineRule="auto"/>
        <w:ind w:firstLine="480" w:firstLineChars="200"/>
        <w:rPr>
          <w:rFonts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14:paraId="6DF9F351">
      <w:pPr>
        <w:pStyle w:val="10"/>
        <w:adjustRightInd w:val="0"/>
        <w:snapToGrid w:val="0"/>
        <w:spacing w:line="360" w:lineRule="auto"/>
        <w:ind w:firstLine="480" w:firstLineChars="200"/>
        <w:rPr>
          <w:rFonts w:ascii="仿宋" w:hAnsi="仿宋" w:eastAsia="仿宋"/>
          <w:sz w:val="24"/>
          <w:szCs w:val="24"/>
        </w:rPr>
      </w:pPr>
      <w:r>
        <w:rPr>
          <w:rFonts w:hint="eastAsia" w:ascii="仿宋" w:hAnsi="仿宋" w:eastAsia="仿宋"/>
          <w:sz w:val="24"/>
          <w:szCs w:val="24"/>
        </w:rPr>
        <w:t>四、我方愿意按</w:t>
      </w:r>
      <w:r>
        <w:rPr>
          <w:rFonts w:hint="eastAsia" w:ascii="仿宋" w:hAnsi="仿宋" w:eastAsia="仿宋"/>
          <w:sz w:val="24"/>
          <w:szCs w:val="24"/>
          <w:lang w:eastAsia="zh-CN"/>
        </w:rPr>
        <w:t>询比</w:t>
      </w:r>
      <w:r>
        <w:rPr>
          <w:rFonts w:hint="eastAsia" w:ascii="仿宋" w:hAnsi="仿宋" w:eastAsia="仿宋"/>
          <w:sz w:val="24"/>
          <w:szCs w:val="24"/>
        </w:rPr>
        <w:t>采购文件规定的文件及更具企业自身报价，详见报价表。</w:t>
      </w:r>
    </w:p>
    <w:p w14:paraId="2E26A803">
      <w:pPr>
        <w:pStyle w:val="10"/>
        <w:adjustRightInd w:val="0"/>
        <w:snapToGrid w:val="0"/>
        <w:spacing w:line="360" w:lineRule="auto"/>
        <w:ind w:firstLine="480" w:firstLineChars="200"/>
        <w:rPr>
          <w:rFonts w:ascii="仿宋" w:hAnsi="仿宋" w:eastAsia="仿宋"/>
          <w:sz w:val="24"/>
          <w:szCs w:val="24"/>
        </w:rPr>
      </w:pPr>
      <w:r>
        <w:rPr>
          <w:rFonts w:hint="eastAsia" w:ascii="仿宋" w:hAnsi="仿宋" w:eastAsia="仿宋"/>
          <w:sz w:val="24"/>
          <w:szCs w:val="24"/>
        </w:rPr>
        <w:t>五、我方承诺遵守相关法律的规定，保证在获得成交资格后，按照</w:t>
      </w:r>
      <w:r>
        <w:rPr>
          <w:rFonts w:hint="eastAsia" w:ascii="仿宋" w:hAnsi="仿宋" w:eastAsia="仿宋"/>
          <w:sz w:val="24"/>
          <w:szCs w:val="24"/>
          <w:lang w:eastAsia="zh-CN"/>
        </w:rPr>
        <w:t>询比</w:t>
      </w:r>
      <w:r>
        <w:rPr>
          <w:rFonts w:hint="eastAsia" w:ascii="仿宋" w:hAnsi="仿宋" w:eastAsia="仿宋"/>
          <w:sz w:val="24"/>
          <w:szCs w:val="24"/>
        </w:rPr>
        <w:t>采购文件确定的事项签订采购合同，履行双方所签订的合同，并承担合同规定的责任和义务。</w:t>
      </w:r>
    </w:p>
    <w:p w14:paraId="1C248E1D">
      <w:pPr>
        <w:adjustRightInd w:val="0"/>
        <w:snapToGrid w:val="0"/>
        <w:spacing w:line="360" w:lineRule="auto"/>
        <w:ind w:right="24"/>
        <w:rPr>
          <w:rFonts w:ascii="仿宋" w:hAnsi="仿宋" w:eastAsia="仿宋"/>
          <w:bCs/>
          <w:sz w:val="24"/>
          <w:szCs w:val="24"/>
        </w:rPr>
      </w:pPr>
    </w:p>
    <w:p w14:paraId="124491FF">
      <w:pPr>
        <w:adjustRightInd w:val="0"/>
        <w:snapToGrid w:val="0"/>
        <w:spacing w:line="360" w:lineRule="auto"/>
        <w:ind w:right="24"/>
        <w:rPr>
          <w:rFonts w:ascii="仿宋" w:hAnsi="仿宋" w:eastAsia="仿宋"/>
          <w:bCs/>
          <w:sz w:val="24"/>
          <w:szCs w:val="24"/>
        </w:rPr>
      </w:pPr>
    </w:p>
    <w:p w14:paraId="4FF266DC">
      <w:pPr>
        <w:adjustRightInd w:val="0"/>
        <w:snapToGrid w:val="0"/>
        <w:spacing w:line="360" w:lineRule="auto"/>
        <w:ind w:right="24"/>
        <w:rPr>
          <w:rFonts w:ascii="仿宋" w:hAnsi="仿宋" w:eastAsia="仿宋"/>
          <w:bCs/>
          <w:sz w:val="24"/>
          <w:szCs w:val="24"/>
        </w:rPr>
      </w:pPr>
    </w:p>
    <w:p w14:paraId="5DB1CD06">
      <w:pPr>
        <w:adjustRightInd w:val="0"/>
        <w:snapToGrid w:val="0"/>
        <w:spacing w:line="360" w:lineRule="auto"/>
        <w:ind w:right="24"/>
        <w:rPr>
          <w:rFonts w:ascii="仿宋" w:hAnsi="仿宋" w:eastAsia="仿宋"/>
          <w:sz w:val="24"/>
          <w:szCs w:val="24"/>
        </w:rPr>
      </w:pPr>
      <w:r>
        <w:rPr>
          <w:rFonts w:hint="eastAsia" w:ascii="仿宋" w:hAnsi="仿宋" w:eastAsia="仿宋"/>
          <w:bCs/>
          <w:sz w:val="24"/>
          <w:szCs w:val="24"/>
        </w:rPr>
        <w:t>附1：</w:t>
      </w:r>
      <w:r>
        <w:rPr>
          <w:rFonts w:hint="eastAsia" w:ascii="仿宋" w:hAnsi="仿宋" w:eastAsia="仿宋"/>
          <w:sz w:val="24"/>
          <w:szCs w:val="24"/>
        </w:rPr>
        <w:t>法定代表人身份证明(法定代表人参加</w:t>
      </w:r>
      <w:r>
        <w:rPr>
          <w:rFonts w:hint="eastAsia" w:ascii="仿宋" w:hAnsi="仿宋" w:eastAsia="仿宋"/>
          <w:sz w:val="24"/>
          <w:szCs w:val="24"/>
          <w:lang w:eastAsia="zh-CN"/>
        </w:rPr>
        <w:t>询比</w:t>
      </w:r>
      <w:r>
        <w:rPr>
          <w:rFonts w:hint="eastAsia" w:ascii="仿宋" w:hAnsi="仿宋" w:eastAsia="仿宋"/>
          <w:sz w:val="24"/>
          <w:szCs w:val="24"/>
        </w:rPr>
        <w:t>)</w:t>
      </w:r>
    </w:p>
    <w:p w14:paraId="0D2C89B2">
      <w:pPr>
        <w:adjustRightInd w:val="0"/>
        <w:snapToGrid w:val="0"/>
        <w:spacing w:line="360" w:lineRule="auto"/>
        <w:ind w:right="24"/>
        <w:rPr>
          <w:rFonts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：法定代表人授权书(委托代理人参加</w:t>
      </w:r>
      <w:r>
        <w:rPr>
          <w:rFonts w:hint="eastAsia" w:ascii="仿宋" w:hAnsi="仿宋" w:eastAsia="仿宋"/>
          <w:sz w:val="24"/>
          <w:szCs w:val="24"/>
          <w:lang w:eastAsia="zh-CN"/>
        </w:rPr>
        <w:t>询比</w:t>
      </w:r>
      <w:r>
        <w:rPr>
          <w:rFonts w:hint="eastAsia" w:ascii="仿宋" w:hAnsi="仿宋" w:eastAsia="仿宋"/>
          <w:sz w:val="24"/>
          <w:szCs w:val="24"/>
        </w:rPr>
        <w:t>)</w:t>
      </w:r>
    </w:p>
    <w:p w14:paraId="6B7C009A">
      <w:pPr>
        <w:pStyle w:val="10"/>
        <w:adjustRightInd w:val="0"/>
        <w:snapToGrid w:val="0"/>
        <w:spacing w:line="360" w:lineRule="auto"/>
        <w:rPr>
          <w:rFonts w:ascii="仿宋" w:hAnsi="仿宋" w:eastAsia="仿宋"/>
          <w:sz w:val="24"/>
          <w:szCs w:val="24"/>
        </w:rPr>
      </w:pPr>
    </w:p>
    <w:p w14:paraId="5B8CF27D">
      <w:pPr>
        <w:pStyle w:val="10"/>
        <w:adjustRightInd w:val="0"/>
        <w:snapToGrid w:val="0"/>
        <w:spacing w:line="360" w:lineRule="auto"/>
        <w:rPr>
          <w:rFonts w:ascii="仿宋" w:hAnsi="仿宋" w:eastAsia="仿宋"/>
          <w:sz w:val="24"/>
          <w:szCs w:val="24"/>
        </w:rPr>
      </w:pPr>
    </w:p>
    <w:p w14:paraId="0E155071">
      <w:pPr>
        <w:pStyle w:val="10"/>
        <w:adjustRightInd w:val="0"/>
        <w:snapToGrid w:val="0"/>
        <w:spacing w:line="360" w:lineRule="auto"/>
        <w:rPr>
          <w:rFonts w:ascii="仿宋" w:hAnsi="仿宋" w:eastAsia="仿宋"/>
          <w:sz w:val="24"/>
          <w:szCs w:val="24"/>
        </w:rPr>
      </w:pPr>
      <w:r>
        <w:rPr>
          <w:rFonts w:hint="eastAsia" w:ascii="仿宋" w:hAnsi="仿宋" w:eastAsia="仿宋"/>
          <w:sz w:val="24"/>
          <w:szCs w:val="24"/>
        </w:rPr>
        <w:t>供应商名称(盖单位章)：</w:t>
      </w:r>
    </w:p>
    <w:p w14:paraId="39CF0242">
      <w:pPr>
        <w:adjustRightInd w:val="0"/>
        <w:snapToGrid w:val="0"/>
        <w:spacing w:line="360" w:lineRule="auto"/>
        <w:rPr>
          <w:rFonts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14:paraId="09125FAE">
      <w:pPr>
        <w:adjustRightInd w:val="0"/>
        <w:snapToGrid w:val="0"/>
        <w:spacing w:line="360" w:lineRule="auto"/>
        <w:rPr>
          <w:rFonts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106A9744">
      <w:pPr>
        <w:adjustRightInd w:val="0"/>
        <w:snapToGrid w:val="0"/>
        <w:spacing w:line="360" w:lineRule="auto"/>
        <w:ind w:right="24"/>
        <w:rPr>
          <w:rFonts w:ascii="仿宋" w:hAnsi="仿宋" w:eastAsia="仿宋"/>
          <w:bCs/>
          <w:sz w:val="24"/>
        </w:rPr>
      </w:pPr>
    </w:p>
    <w:p w14:paraId="36AF8E5A">
      <w:pPr>
        <w:adjustRightInd w:val="0"/>
        <w:snapToGrid w:val="0"/>
        <w:spacing w:line="360" w:lineRule="auto"/>
        <w:ind w:right="24"/>
        <w:rPr>
          <w:rFonts w:ascii="仿宋" w:hAnsi="仿宋" w:eastAsia="仿宋"/>
          <w:bCs/>
          <w:sz w:val="24"/>
          <w:szCs w:val="24"/>
        </w:rPr>
      </w:pPr>
      <w:r>
        <w:rPr>
          <w:rFonts w:hint="eastAsia" w:ascii="仿宋" w:hAnsi="仿宋" w:eastAsia="仿宋"/>
          <w:bCs/>
          <w:sz w:val="24"/>
          <w:szCs w:val="24"/>
        </w:rPr>
        <w:t>附1：</w:t>
      </w:r>
    </w:p>
    <w:p w14:paraId="0B167DF4">
      <w:pPr>
        <w:adjustRightInd w:val="0"/>
        <w:snapToGrid w:val="0"/>
        <w:spacing w:line="360" w:lineRule="auto"/>
        <w:ind w:right="24"/>
        <w:jc w:val="center"/>
        <w:rPr>
          <w:rFonts w:ascii="仿宋" w:hAnsi="仿宋" w:eastAsia="仿宋"/>
          <w:b/>
          <w:sz w:val="24"/>
          <w:szCs w:val="24"/>
        </w:rPr>
      </w:pPr>
      <w:r>
        <w:rPr>
          <w:rFonts w:hint="eastAsia" w:ascii="仿宋" w:hAnsi="仿宋" w:eastAsia="仿宋"/>
          <w:b/>
          <w:sz w:val="24"/>
          <w:szCs w:val="24"/>
        </w:rPr>
        <w:t>法定代表人身份证明(法定代表人参加</w:t>
      </w:r>
      <w:r>
        <w:rPr>
          <w:rFonts w:hint="eastAsia" w:ascii="仿宋" w:hAnsi="仿宋" w:eastAsia="仿宋"/>
          <w:b/>
          <w:sz w:val="24"/>
          <w:szCs w:val="24"/>
          <w:lang w:eastAsia="zh-CN"/>
        </w:rPr>
        <w:t>询比</w:t>
      </w:r>
      <w:r>
        <w:rPr>
          <w:rFonts w:hint="eastAsia" w:ascii="仿宋" w:hAnsi="仿宋" w:eastAsia="仿宋"/>
          <w:b/>
          <w:sz w:val="24"/>
          <w:szCs w:val="24"/>
        </w:rPr>
        <w:t>)</w:t>
      </w:r>
    </w:p>
    <w:p w14:paraId="704A8298">
      <w:pPr>
        <w:snapToGrid w:val="0"/>
        <w:spacing w:line="480" w:lineRule="auto"/>
        <w:rPr>
          <w:rFonts w:ascii="仿宋" w:hAnsi="仿宋" w:eastAsia="仿宋"/>
          <w:sz w:val="24"/>
          <w:szCs w:val="24"/>
        </w:rPr>
      </w:pPr>
    </w:p>
    <w:p w14:paraId="225D67E6">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74759AFF">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14:paraId="6EC0356E">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14:paraId="35B690B1">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14:paraId="55F0D022">
      <w:pPr>
        <w:autoSpaceDE w:val="0"/>
        <w:autoSpaceDN w:val="0"/>
        <w:adjustRightInd w:val="0"/>
        <w:snapToGrid w:val="0"/>
        <w:spacing w:before="156" w:beforeLines="50" w:line="360" w:lineRule="auto"/>
        <w:jc w:val="left"/>
        <w:rPr>
          <w:rFonts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14:paraId="4F15BA91">
      <w:pPr>
        <w:autoSpaceDE w:val="0"/>
        <w:autoSpaceDN w:val="0"/>
        <w:adjustRightInd w:val="0"/>
        <w:snapToGrid w:val="0"/>
        <w:spacing w:before="156" w:beforeLines="50" w:line="360" w:lineRule="auto"/>
        <w:jc w:val="left"/>
        <w:rPr>
          <w:rFonts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14:paraId="6B99D640">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14:paraId="24F1FD76">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cs="宋体"/>
          <w:kern w:val="0"/>
          <w:sz w:val="24"/>
          <w:szCs w:val="24"/>
        </w:rPr>
        <w:t>特此证明。</w:t>
      </w:r>
    </w:p>
    <w:p w14:paraId="201E5130">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sz w:val="24"/>
          <w:szCs w:val="24"/>
        </w:rPr>
        <w:t>附：法定代表人身份证复印件</w:t>
      </w:r>
    </w:p>
    <w:p w14:paraId="26FEDB98">
      <w:pPr>
        <w:snapToGrid w:val="0"/>
        <w:spacing w:line="480" w:lineRule="auto"/>
        <w:rPr>
          <w:rFonts w:ascii="仿宋" w:hAnsi="仿宋" w:eastAsia="仿宋"/>
          <w:sz w:val="24"/>
          <w:szCs w:val="24"/>
        </w:rPr>
      </w:pPr>
    </w:p>
    <w:p w14:paraId="4EAB8206">
      <w:pPr>
        <w:snapToGrid w:val="0"/>
        <w:rPr>
          <w:rFonts w:ascii="仿宋" w:hAnsi="仿宋" w:eastAsia="仿宋"/>
          <w:sz w:val="24"/>
          <w:szCs w:val="24"/>
        </w:rPr>
      </w:pPr>
    </w:p>
    <w:p w14:paraId="67C67ED1">
      <w:pPr>
        <w:snapToGrid w:val="0"/>
        <w:rPr>
          <w:rFonts w:ascii="仿宋" w:hAnsi="仿宋" w:eastAsia="仿宋"/>
          <w:sz w:val="24"/>
          <w:szCs w:val="24"/>
        </w:rPr>
      </w:pPr>
    </w:p>
    <w:p w14:paraId="172E056E">
      <w:pPr>
        <w:snapToGrid w:val="0"/>
        <w:rPr>
          <w:rFonts w:ascii="仿宋" w:hAnsi="仿宋" w:eastAsia="仿宋"/>
          <w:sz w:val="24"/>
          <w:szCs w:val="24"/>
        </w:rPr>
      </w:pPr>
    </w:p>
    <w:p w14:paraId="336B8B31">
      <w:pPr>
        <w:snapToGrid w:val="0"/>
        <w:rPr>
          <w:rFonts w:ascii="仿宋" w:hAnsi="仿宋" w:eastAsia="仿宋"/>
          <w:sz w:val="24"/>
          <w:szCs w:val="24"/>
        </w:rPr>
      </w:pPr>
    </w:p>
    <w:p w14:paraId="7FB434E6">
      <w:pPr>
        <w:adjustRightInd w:val="0"/>
        <w:snapToGrid w:val="0"/>
        <w:spacing w:line="360" w:lineRule="auto"/>
        <w:rPr>
          <w:rFonts w:ascii="仿宋" w:hAnsi="仿宋" w:eastAsia="仿宋"/>
          <w:sz w:val="24"/>
          <w:szCs w:val="24"/>
        </w:rPr>
      </w:pPr>
    </w:p>
    <w:p w14:paraId="244CD4E8">
      <w:pPr>
        <w:adjustRightInd w:val="0"/>
        <w:snapToGrid w:val="0"/>
        <w:spacing w:line="360" w:lineRule="auto"/>
        <w:ind w:right="420"/>
        <w:rPr>
          <w:rFonts w:ascii="仿宋" w:hAnsi="仿宋" w:eastAsia="仿宋"/>
          <w:sz w:val="24"/>
          <w:szCs w:val="24"/>
        </w:rPr>
      </w:pPr>
      <w:r>
        <w:rPr>
          <w:rFonts w:hint="eastAsia" w:ascii="仿宋" w:hAnsi="仿宋" w:eastAsia="仿宋"/>
          <w:sz w:val="24"/>
          <w:szCs w:val="24"/>
        </w:rPr>
        <w:t>供应商名称（盖单位章）：</w:t>
      </w:r>
    </w:p>
    <w:p w14:paraId="6D5A421B">
      <w:pPr>
        <w:adjustRightInd w:val="0"/>
        <w:snapToGrid w:val="0"/>
        <w:spacing w:line="360" w:lineRule="auto"/>
        <w:ind w:right="420"/>
        <w:rPr>
          <w:rFonts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14:paraId="2544BD96">
      <w:pPr>
        <w:adjustRightInd w:val="0"/>
        <w:snapToGrid w:val="0"/>
        <w:spacing w:before="156" w:beforeLines="50" w:line="360" w:lineRule="auto"/>
        <w:rPr>
          <w:rFonts w:ascii="仿宋_GB2312" w:hAnsi="宋体" w:eastAsia="仿宋_GB2312"/>
          <w:sz w:val="24"/>
          <w:szCs w:val="24"/>
        </w:rPr>
      </w:pPr>
    </w:p>
    <w:p w14:paraId="325667BA">
      <w:pPr>
        <w:adjustRightInd w:val="0"/>
        <w:snapToGrid w:val="0"/>
        <w:spacing w:before="156" w:beforeLines="50" w:line="360" w:lineRule="auto"/>
        <w:rPr>
          <w:rFonts w:ascii="仿宋_GB2312" w:hAnsi="宋体" w:eastAsia="仿宋_GB2312"/>
          <w:sz w:val="24"/>
          <w:szCs w:val="24"/>
        </w:rPr>
      </w:pPr>
    </w:p>
    <w:p w14:paraId="6BDE129F">
      <w:pPr>
        <w:adjustRightInd w:val="0"/>
        <w:snapToGrid w:val="0"/>
        <w:spacing w:before="156" w:beforeLines="50" w:line="360" w:lineRule="auto"/>
        <w:rPr>
          <w:rFonts w:ascii="仿宋_GB2312" w:hAnsi="宋体" w:eastAsia="仿宋_GB2312"/>
          <w:sz w:val="24"/>
          <w:szCs w:val="24"/>
        </w:rPr>
      </w:pPr>
      <w:r>
        <w:rPr>
          <w:rFonts w:hint="eastAsia" w:ascii="仿宋_GB2312" w:hAnsi="宋体" w:eastAsia="仿宋_GB2312"/>
          <w:sz w:val="24"/>
          <w:szCs w:val="24"/>
        </w:rPr>
        <w:br w:type="page"/>
      </w:r>
    </w:p>
    <w:p w14:paraId="75B8A198">
      <w:pPr>
        <w:adjustRightInd w:val="0"/>
        <w:snapToGrid w:val="0"/>
        <w:spacing w:line="360" w:lineRule="auto"/>
        <w:ind w:right="24"/>
        <w:rPr>
          <w:rFonts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w:t>
      </w:r>
    </w:p>
    <w:p w14:paraId="656A6B8E">
      <w:pPr>
        <w:adjustRightInd w:val="0"/>
        <w:snapToGrid w:val="0"/>
        <w:spacing w:line="360" w:lineRule="auto"/>
        <w:ind w:right="24"/>
        <w:jc w:val="center"/>
        <w:rPr>
          <w:rFonts w:ascii="仿宋" w:hAnsi="仿宋" w:eastAsia="仿宋"/>
          <w:b/>
          <w:sz w:val="24"/>
          <w:szCs w:val="24"/>
        </w:rPr>
      </w:pPr>
      <w:r>
        <w:rPr>
          <w:rFonts w:hint="eastAsia" w:ascii="仿宋" w:hAnsi="仿宋" w:eastAsia="仿宋"/>
          <w:b/>
          <w:sz w:val="24"/>
          <w:szCs w:val="24"/>
        </w:rPr>
        <w:t>法定代表人授权书(委托代理人参加</w:t>
      </w:r>
      <w:r>
        <w:rPr>
          <w:rFonts w:hint="eastAsia" w:ascii="仿宋" w:hAnsi="仿宋" w:eastAsia="仿宋"/>
          <w:b/>
          <w:sz w:val="24"/>
          <w:szCs w:val="24"/>
          <w:lang w:eastAsia="zh-CN"/>
        </w:rPr>
        <w:t>询比</w:t>
      </w:r>
      <w:r>
        <w:rPr>
          <w:rFonts w:hint="eastAsia" w:ascii="仿宋" w:hAnsi="仿宋" w:eastAsia="仿宋"/>
          <w:b/>
          <w:sz w:val="24"/>
          <w:szCs w:val="24"/>
        </w:rPr>
        <w:t>)</w:t>
      </w:r>
    </w:p>
    <w:p w14:paraId="1F74DEA9">
      <w:pPr>
        <w:adjustRightInd w:val="0"/>
        <w:snapToGrid w:val="0"/>
        <w:spacing w:line="360" w:lineRule="auto"/>
        <w:jc w:val="center"/>
        <w:rPr>
          <w:rFonts w:ascii="仿宋" w:hAnsi="仿宋" w:eastAsia="仿宋"/>
          <w:b/>
          <w:sz w:val="24"/>
          <w:szCs w:val="24"/>
        </w:rPr>
      </w:pPr>
    </w:p>
    <w:p w14:paraId="4DD7021A">
      <w:pPr>
        <w:autoSpaceDE w:val="0"/>
        <w:autoSpaceDN w:val="0"/>
        <w:adjustRightInd w:val="0"/>
        <w:snapToGrid w:val="0"/>
        <w:spacing w:before="156" w:beforeLines="50"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w:t>
      </w:r>
      <w:r>
        <w:rPr>
          <w:rFonts w:hint="eastAsia" w:ascii="仿宋" w:hAnsi="仿宋" w:eastAsia="仿宋" w:cs="宋体"/>
          <w:kern w:val="0"/>
          <w:sz w:val="24"/>
          <w:szCs w:val="24"/>
          <w:lang w:eastAsia="zh-CN"/>
        </w:rPr>
        <w:t>询比</w:t>
      </w:r>
      <w:r>
        <w:rPr>
          <w:rFonts w:hint="eastAsia" w:ascii="仿宋" w:hAnsi="仿宋" w:eastAsia="仿宋" w:cs="宋体"/>
          <w:kern w:val="0"/>
          <w:sz w:val="24"/>
          <w:szCs w:val="24"/>
        </w:rPr>
        <w:t>；(4)签订合同和处理有关事宜，其法律后果由我方承担。</w:t>
      </w:r>
    </w:p>
    <w:p w14:paraId="2D3D3D22">
      <w:pPr>
        <w:autoSpaceDE w:val="0"/>
        <w:autoSpaceDN w:val="0"/>
        <w:adjustRightInd w:val="0"/>
        <w:snapToGrid w:val="0"/>
        <w:spacing w:before="156" w:beforeLines="50"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5F2DA45B">
      <w:pPr>
        <w:spacing w:line="360" w:lineRule="auto"/>
        <w:ind w:firstLine="435"/>
        <w:rPr>
          <w:rFonts w:ascii="仿宋" w:hAnsi="仿宋" w:eastAsia="仿宋" w:cs="宋体"/>
          <w:kern w:val="0"/>
          <w:sz w:val="24"/>
          <w:szCs w:val="24"/>
        </w:rPr>
      </w:pPr>
      <w:r>
        <w:rPr>
          <w:rFonts w:hint="eastAsia" w:ascii="仿宋" w:hAnsi="仿宋" w:eastAsia="仿宋" w:cs="宋体"/>
          <w:kern w:val="0"/>
          <w:sz w:val="24"/>
          <w:szCs w:val="24"/>
        </w:rPr>
        <w:t>代理人无转委托权。</w:t>
      </w:r>
    </w:p>
    <w:p w14:paraId="2B2CBEC3">
      <w:pPr>
        <w:spacing w:line="360" w:lineRule="auto"/>
        <w:ind w:firstLine="435"/>
        <w:rPr>
          <w:rFonts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14:paraId="5ADED0C6">
      <w:pPr>
        <w:adjustRightInd w:val="0"/>
        <w:snapToGrid w:val="0"/>
        <w:spacing w:before="156" w:beforeLines="50" w:line="360" w:lineRule="auto"/>
        <w:ind w:firstLine="480" w:firstLineChars="200"/>
        <w:rPr>
          <w:rFonts w:ascii="仿宋" w:hAnsi="仿宋" w:eastAsia="仿宋"/>
          <w:sz w:val="24"/>
          <w:szCs w:val="24"/>
        </w:rPr>
      </w:pPr>
      <w:r>
        <w:rPr>
          <w:rFonts w:hint="eastAsia" w:ascii="仿宋" w:hAnsi="仿宋" w:eastAsia="仿宋"/>
          <w:sz w:val="24"/>
          <w:szCs w:val="24"/>
        </w:rPr>
        <w:t>附：委托代理人身份证复印件及法定代表人身份证明(附件1，原件)</w:t>
      </w:r>
    </w:p>
    <w:p w14:paraId="63DEA85B">
      <w:pPr>
        <w:adjustRightInd w:val="0"/>
        <w:snapToGrid w:val="0"/>
        <w:spacing w:line="360" w:lineRule="auto"/>
        <w:ind w:right="420"/>
        <w:rPr>
          <w:rFonts w:ascii="仿宋_GB2312" w:eastAsia="仿宋_GB2312"/>
          <w:sz w:val="24"/>
          <w:szCs w:val="24"/>
        </w:rPr>
      </w:pPr>
    </w:p>
    <w:p w14:paraId="1F7D4EA2">
      <w:pPr>
        <w:adjustRightInd w:val="0"/>
        <w:snapToGrid w:val="0"/>
        <w:spacing w:line="360" w:lineRule="auto"/>
        <w:ind w:right="420"/>
        <w:rPr>
          <w:rFonts w:ascii="仿宋_GB2312" w:eastAsia="仿宋_GB2312"/>
          <w:sz w:val="24"/>
          <w:szCs w:val="24"/>
        </w:rPr>
      </w:pPr>
    </w:p>
    <w:p w14:paraId="5412F61A">
      <w:pPr>
        <w:adjustRightInd w:val="0"/>
        <w:snapToGrid w:val="0"/>
        <w:spacing w:line="360" w:lineRule="auto"/>
        <w:ind w:right="420"/>
        <w:rPr>
          <w:rFonts w:ascii="仿宋_GB2312" w:eastAsia="仿宋_GB2312"/>
          <w:sz w:val="24"/>
          <w:szCs w:val="24"/>
        </w:rPr>
      </w:pPr>
    </w:p>
    <w:p w14:paraId="38E93315">
      <w:pPr>
        <w:adjustRightInd w:val="0"/>
        <w:snapToGrid w:val="0"/>
        <w:spacing w:line="360" w:lineRule="auto"/>
        <w:ind w:right="420"/>
        <w:rPr>
          <w:rFonts w:ascii="仿宋_GB2312" w:eastAsia="仿宋_GB2312"/>
          <w:sz w:val="24"/>
          <w:szCs w:val="24"/>
        </w:rPr>
      </w:pPr>
    </w:p>
    <w:p w14:paraId="70621C30">
      <w:pPr>
        <w:adjustRightInd w:val="0"/>
        <w:snapToGrid w:val="0"/>
        <w:spacing w:line="360" w:lineRule="auto"/>
        <w:ind w:right="420"/>
        <w:rPr>
          <w:rFonts w:ascii="仿宋_GB2312" w:eastAsia="仿宋_GB2312"/>
          <w:sz w:val="24"/>
          <w:szCs w:val="24"/>
        </w:rPr>
      </w:pPr>
    </w:p>
    <w:p w14:paraId="64505749">
      <w:pPr>
        <w:adjustRightInd w:val="0"/>
        <w:snapToGrid w:val="0"/>
        <w:spacing w:line="360" w:lineRule="auto"/>
        <w:ind w:right="420"/>
        <w:rPr>
          <w:rFonts w:ascii="仿宋_GB2312" w:eastAsia="仿宋_GB2312"/>
          <w:sz w:val="24"/>
          <w:szCs w:val="24"/>
        </w:rPr>
      </w:pPr>
    </w:p>
    <w:p w14:paraId="63427933">
      <w:pPr>
        <w:adjustRightInd w:val="0"/>
        <w:snapToGrid w:val="0"/>
        <w:spacing w:line="360" w:lineRule="auto"/>
        <w:ind w:right="420"/>
        <w:rPr>
          <w:rFonts w:ascii="仿宋_GB2312" w:eastAsia="仿宋_GB2312"/>
          <w:sz w:val="24"/>
          <w:szCs w:val="24"/>
        </w:rPr>
      </w:pPr>
    </w:p>
    <w:p w14:paraId="24BDBAFA">
      <w:pPr>
        <w:adjustRightInd w:val="0"/>
        <w:snapToGrid w:val="0"/>
        <w:spacing w:line="360" w:lineRule="auto"/>
        <w:ind w:right="420"/>
        <w:rPr>
          <w:rFonts w:ascii="仿宋_GB2312" w:eastAsia="仿宋_GB2312"/>
          <w:sz w:val="24"/>
          <w:szCs w:val="24"/>
        </w:rPr>
      </w:pPr>
    </w:p>
    <w:p w14:paraId="47B4054C">
      <w:pPr>
        <w:adjustRightInd w:val="0"/>
        <w:snapToGrid w:val="0"/>
        <w:spacing w:line="360" w:lineRule="auto"/>
        <w:ind w:right="420"/>
        <w:rPr>
          <w:rFonts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14:paraId="048C2DDA">
      <w:pPr>
        <w:adjustRightInd w:val="0"/>
        <w:snapToGrid w:val="0"/>
        <w:spacing w:line="360" w:lineRule="auto"/>
        <w:ind w:right="420"/>
        <w:rPr>
          <w:rFonts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14:paraId="3FC1AB2B">
      <w:pPr>
        <w:adjustRightInd w:val="0"/>
        <w:snapToGrid w:val="0"/>
        <w:spacing w:line="360" w:lineRule="auto"/>
        <w:ind w:right="420"/>
        <w:rPr>
          <w:rFonts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14:paraId="7694157B">
      <w:pPr>
        <w:adjustRightInd w:val="0"/>
        <w:snapToGrid w:val="0"/>
        <w:spacing w:line="360" w:lineRule="auto"/>
        <w:ind w:right="24"/>
        <w:rPr>
          <w:rFonts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09A04634">
      <w:pPr>
        <w:spacing w:line="360" w:lineRule="exact"/>
        <w:rPr>
          <w:rFonts w:ascii="仿宋_GB2312" w:eastAsia="仿宋_GB2312"/>
          <w:b/>
          <w:sz w:val="24"/>
          <w:szCs w:val="24"/>
        </w:rPr>
      </w:pPr>
    </w:p>
    <w:p w14:paraId="6A6004FF">
      <w:pPr>
        <w:spacing w:line="360" w:lineRule="exact"/>
        <w:rPr>
          <w:rFonts w:ascii="仿宋_GB2312" w:eastAsia="仿宋_GB2312"/>
          <w:b/>
          <w:sz w:val="24"/>
          <w:szCs w:val="24"/>
        </w:rPr>
      </w:pPr>
    </w:p>
    <w:p w14:paraId="200B769C">
      <w:pPr>
        <w:pStyle w:val="16"/>
      </w:pPr>
    </w:p>
    <w:p w14:paraId="10CB8852"/>
    <w:p w14:paraId="7F870902"/>
    <w:p w14:paraId="78DBABB8">
      <w:pPr>
        <w:pStyle w:val="16"/>
        <w:ind w:left="0" w:leftChars="0" w:firstLine="0"/>
        <w:rPr>
          <w:rFonts w:ascii="仿宋" w:hAnsi="仿宋" w:eastAsia="仿宋"/>
          <w:b/>
        </w:rPr>
      </w:pPr>
      <w:r>
        <w:rPr>
          <w:rFonts w:ascii="仿宋" w:hAnsi="仿宋" w:eastAsia="仿宋"/>
          <w:b/>
        </w:rPr>
        <w:t>附件2</w:t>
      </w:r>
      <w:r>
        <w:rPr>
          <w:rFonts w:hint="eastAsia" w:ascii="仿宋" w:hAnsi="仿宋" w:eastAsia="仿宋"/>
          <w:b/>
        </w:rPr>
        <w:t>：</w:t>
      </w:r>
    </w:p>
    <w:p w14:paraId="033553B5">
      <w:pPr>
        <w:jc w:val="center"/>
        <w:rPr>
          <w:rFonts w:ascii="仿宋" w:hAnsi="仿宋" w:eastAsia="仿宋"/>
          <w:b/>
          <w:sz w:val="32"/>
          <w:szCs w:val="32"/>
        </w:rPr>
      </w:pPr>
      <w:r>
        <w:rPr>
          <w:rFonts w:ascii="仿宋" w:hAnsi="仿宋" w:eastAsia="仿宋"/>
          <w:b/>
          <w:sz w:val="32"/>
          <w:szCs w:val="32"/>
        </w:rPr>
        <w:t>报价函</w:t>
      </w:r>
    </w:p>
    <w:p w14:paraId="090965E8">
      <w:pPr>
        <w:rPr>
          <w:rFonts w:ascii="仿宋" w:hAnsi="仿宋" w:eastAsia="仿宋"/>
          <w:sz w:val="24"/>
          <w:szCs w:val="24"/>
        </w:rPr>
      </w:pPr>
      <w:r>
        <w:rPr>
          <w:rFonts w:hint="eastAsia" w:ascii="仿宋" w:hAnsi="仿宋" w:eastAsia="仿宋"/>
          <w:sz w:val="24"/>
          <w:szCs w:val="24"/>
        </w:rPr>
        <w:t xml:space="preserve">                               </w:t>
      </w:r>
    </w:p>
    <w:p w14:paraId="00D06C2C">
      <w:pPr>
        <w:spacing w:line="480" w:lineRule="auto"/>
        <w:jc w:val="left"/>
        <w:rPr>
          <w:rFonts w:ascii="仿宋" w:hAnsi="仿宋" w:eastAsia="仿宋" w:cs="宋体"/>
          <w:sz w:val="24"/>
          <w:szCs w:val="24"/>
        </w:rPr>
      </w:pPr>
      <w:r>
        <w:rPr>
          <w:rFonts w:hint="eastAsia" w:ascii="仿宋" w:hAnsi="仿宋" w:eastAsia="仿宋" w:cs="宋体"/>
          <w:sz w:val="24"/>
          <w:szCs w:val="24"/>
        </w:rPr>
        <w:t>湖南铁道职业技术学校：</w:t>
      </w:r>
    </w:p>
    <w:p w14:paraId="3D2D870F">
      <w:pPr>
        <w:spacing w:line="480" w:lineRule="auto"/>
        <w:ind w:firstLine="640"/>
        <w:jc w:val="left"/>
        <w:rPr>
          <w:rFonts w:ascii="仿宋" w:hAnsi="仿宋" w:eastAsia="仿宋"/>
          <w:sz w:val="24"/>
          <w:szCs w:val="24"/>
        </w:rPr>
      </w:pPr>
      <w:r>
        <w:rPr>
          <w:rFonts w:hint="eastAsia" w:ascii="仿宋" w:hAnsi="仿宋" w:eastAsia="仿宋"/>
          <w:sz w:val="24"/>
          <w:szCs w:val="24"/>
        </w:rPr>
        <w:t>我公司仔细阅读了</w:t>
      </w:r>
      <w:r>
        <w:rPr>
          <w:rFonts w:hint="eastAsia" w:ascii="仿宋" w:hAnsi="仿宋" w:eastAsia="仿宋"/>
          <w:sz w:val="24"/>
          <w:szCs w:val="24"/>
          <w:u w:val="single"/>
        </w:rPr>
        <w:t xml:space="preserve">               项目</w:t>
      </w:r>
      <w:r>
        <w:rPr>
          <w:rFonts w:hint="eastAsia" w:ascii="仿宋" w:hAnsi="仿宋" w:eastAsia="仿宋"/>
          <w:sz w:val="24"/>
          <w:szCs w:val="24"/>
          <w:lang w:eastAsia="zh-CN"/>
        </w:rPr>
        <w:t>询比</w:t>
      </w:r>
      <w:r>
        <w:rPr>
          <w:rFonts w:hint="eastAsia" w:ascii="仿宋" w:hAnsi="仿宋" w:eastAsia="仿宋"/>
          <w:sz w:val="24"/>
          <w:szCs w:val="24"/>
        </w:rPr>
        <w:t>文件，清楚文件中关于本项目的相关采购需求。</w:t>
      </w:r>
    </w:p>
    <w:p w14:paraId="18CF9AF0">
      <w:pPr>
        <w:spacing w:line="480" w:lineRule="auto"/>
        <w:ind w:firstLine="482" w:firstLineChars="200"/>
        <w:jc w:val="left"/>
        <w:rPr>
          <w:rFonts w:ascii="仿宋" w:hAnsi="仿宋" w:eastAsia="仿宋" w:cs="宋体"/>
          <w:b/>
          <w:bCs/>
          <w:sz w:val="24"/>
          <w:szCs w:val="24"/>
        </w:rPr>
      </w:pPr>
      <w:r>
        <w:rPr>
          <w:rFonts w:hint="eastAsia" w:ascii="仿宋" w:hAnsi="仿宋" w:eastAsia="仿宋" w:cs="宋体"/>
          <w:b/>
          <w:bCs/>
          <w:sz w:val="24"/>
          <w:szCs w:val="24"/>
        </w:rPr>
        <w:t>报价：</w:t>
      </w:r>
    </w:p>
    <w:p w14:paraId="52D52477">
      <w:pPr>
        <w:spacing w:line="480" w:lineRule="auto"/>
        <w:ind w:firstLine="480" w:firstLineChars="200"/>
        <w:jc w:val="left"/>
        <w:rPr>
          <w:rFonts w:ascii="仿宋" w:hAnsi="仿宋" w:eastAsia="仿宋" w:cs="宋体"/>
          <w:sz w:val="24"/>
          <w:szCs w:val="24"/>
        </w:rPr>
      </w:pPr>
      <w:r>
        <w:rPr>
          <w:rFonts w:hint="eastAsia" w:ascii="仿宋" w:hAnsi="仿宋" w:eastAsia="仿宋" w:cs="宋体"/>
          <w:sz w:val="24"/>
          <w:szCs w:val="24"/>
        </w:rPr>
        <w:t>我司最终报价：小写：</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 xml:space="preserve"> 元，大写：</w:t>
      </w:r>
      <w:r>
        <w:rPr>
          <w:rFonts w:hint="eastAsia" w:ascii="仿宋" w:hAnsi="仿宋" w:eastAsia="仿宋" w:cs="宋体"/>
          <w:sz w:val="24"/>
          <w:szCs w:val="24"/>
          <w:u w:val="single"/>
        </w:rPr>
        <w:t xml:space="preserve">人民币     </w:t>
      </w:r>
      <w:r>
        <w:rPr>
          <w:rFonts w:ascii="仿宋" w:hAnsi="仿宋" w:eastAsia="仿宋" w:cs="宋体"/>
          <w:sz w:val="24"/>
          <w:szCs w:val="24"/>
          <w:u w:val="single"/>
        </w:rPr>
        <w:t xml:space="preserve">     </w:t>
      </w:r>
      <w:r>
        <w:rPr>
          <w:rFonts w:hint="eastAsia" w:ascii="仿宋" w:hAnsi="仿宋" w:eastAsia="仿宋" w:cs="宋体"/>
          <w:sz w:val="24"/>
          <w:szCs w:val="24"/>
        </w:rPr>
        <w:t>元整。</w:t>
      </w:r>
    </w:p>
    <w:p w14:paraId="428420B7">
      <w:pPr>
        <w:pStyle w:val="16"/>
        <w:rPr>
          <w:rFonts w:ascii="仿宋" w:hAnsi="仿宋" w:eastAsia="仿宋"/>
        </w:rPr>
      </w:pPr>
    </w:p>
    <w:p w14:paraId="5550980C">
      <w:pPr>
        <w:pStyle w:val="16"/>
        <w:ind w:left="0" w:leftChars="0" w:firstLine="0"/>
        <w:rPr>
          <w:rFonts w:ascii="仿宋" w:hAnsi="仿宋" w:eastAsia="仿宋"/>
        </w:rPr>
      </w:pPr>
    </w:p>
    <w:p w14:paraId="638C8DB7">
      <w:pPr>
        <w:spacing w:line="360" w:lineRule="auto"/>
        <w:ind w:firstLine="640"/>
        <w:jc w:val="left"/>
        <w:rPr>
          <w:rFonts w:ascii="仿宋" w:hAnsi="仿宋" w:eastAsia="仿宋"/>
          <w:sz w:val="24"/>
          <w:szCs w:val="24"/>
        </w:rPr>
      </w:pPr>
    </w:p>
    <w:p w14:paraId="6E3AC60B">
      <w:pPr>
        <w:spacing w:line="480" w:lineRule="auto"/>
        <w:ind w:firstLine="3600" w:firstLineChars="1500"/>
        <w:jc w:val="left"/>
        <w:rPr>
          <w:rFonts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14:paraId="7D5946C9">
      <w:pPr>
        <w:spacing w:line="480" w:lineRule="auto"/>
        <w:ind w:firstLine="5520" w:firstLineChars="2300"/>
        <w:jc w:val="left"/>
        <w:rPr>
          <w:rFonts w:ascii="仿宋" w:hAnsi="仿宋" w:eastAsia="仿宋"/>
          <w:sz w:val="24"/>
          <w:szCs w:val="24"/>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小标宋简体">
    <w:altName w:val="黑体"/>
    <w:panose1 w:val="00000000000000000000"/>
    <w:charset w:val="86"/>
    <w:family w:val="script"/>
    <w:pitch w:val="default"/>
    <w:sig w:usb0="00000000" w:usb1="00000000" w:usb2="00000000" w:usb3="00000000" w:csb0="00040000" w:csb1="00000000"/>
  </w:font>
  <w:font w:name="方正仿宋_GB2312">
    <w:altName w:val="仿宋"/>
    <w:panose1 w:val="00000000000000000000"/>
    <w:charset w:val="00"/>
    <w:family w:val="auto"/>
    <w:pitch w:val="default"/>
    <w:sig w:usb0="00000000" w:usb1="00000000" w:usb2="00000000" w:usb3="00000000" w:csb0="0000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2929069"/>
    </w:sdtPr>
    <w:sdtContent>
      <w:p w14:paraId="6F7F53A7">
        <w:pPr>
          <w:pStyle w:val="13"/>
          <w:jc w:val="center"/>
        </w:pPr>
        <w:r>
          <w:fldChar w:fldCharType="begin"/>
        </w:r>
        <w:r>
          <w:instrText xml:space="preserve">PAGE   \* MERGEFORMAT</w:instrText>
        </w:r>
        <w:r>
          <w:fldChar w:fldCharType="separate"/>
        </w:r>
        <w:r>
          <w:rPr>
            <w:lang w:val="zh-CN"/>
          </w:rPr>
          <w:t>10</w:t>
        </w:r>
        <w:r>
          <w:fldChar w:fldCharType="end"/>
        </w:r>
      </w:p>
    </w:sdtContent>
  </w:sdt>
  <w:p w14:paraId="4ACC8206">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44E26">
    <w:pPr>
      <w:pStyle w:val="13"/>
      <w:framePr w:wrap="around" w:vAnchor="text" w:hAnchor="margin" w:xAlign="center" w:y="1"/>
      <w:rPr>
        <w:rStyle w:val="21"/>
      </w:rPr>
    </w:pPr>
    <w:r>
      <w:fldChar w:fldCharType="begin"/>
    </w:r>
    <w:r>
      <w:rPr>
        <w:rStyle w:val="21"/>
      </w:rPr>
      <w:instrText xml:space="preserve">PAGE  </w:instrText>
    </w:r>
    <w:r>
      <w:fldChar w:fldCharType="end"/>
    </w:r>
  </w:p>
  <w:p w14:paraId="7B4CFFC0">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F96AA">
    <w:pPr>
      <w:pStyle w:val="14"/>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E16B2">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E09337D"/>
    <w:multiLevelType w:val="singleLevel"/>
    <w:tmpl w:val="DE09337D"/>
    <w:lvl w:ilvl="0" w:tentative="0">
      <w:start w:val="6"/>
      <w:numFmt w:val="chineseCounting"/>
      <w:suff w:val="nothing"/>
      <w:lvlText w:val="%1、"/>
      <w:lvlJc w:val="left"/>
      <w:rPr>
        <w:rFonts w:hint="eastAsia"/>
      </w:rPr>
    </w:lvl>
  </w:abstractNum>
  <w:abstractNum w:abstractNumId="1">
    <w:nsid w:val="E0792EE6"/>
    <w:multiLevelType w:val="singleLevel"/>
    <w:tmpl w:val="E0792EE6"/>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BEF"/>
    <w:rsid w:val="00010F62"/>
    <w:rsid w:val="00027C15"/>
    <w:rsid w:val="0003124B"/>
    <w:rsid w:val="000327D6"/>
    <w:rsid w:val="00035CE3"/>
    <w:rsid w:val="000406C4"/>
    <w:rsid w:val="0005354A"/>
    <w:rsid w:val="0005402B"/>
    <w:rsid w:val="00060368"/>
    <w:rsid w:val="0006730A"/>
    <w:rsid w:val="00072862"/>
    <w:rsid w:val="000825CA"/>
    <w:rsid w:val="000978ED"/>
    <w:rsid w:val="000A4F21"/>
    <w:rsid w:val="000B3E2A"/>
    <w:rsid w:val="000B589D"/>
    <w:rsid w:val="000B5EB2"/>
    <w:rsid w:val="000F5572"/>
    <w:rsid w:val="000F5E0A"/>
    <w:rsid w:val="00111A43"/>
    <w:rsid w:val="0011786F"/>
    <w:rsid w:val="00121DE8"/>
    <w:rsid w:val="0012412A"/>
    <w:rsid w:val="0012458D"/>
    <w:rsid w:val="0012755C"/>
    <w:rsid w:val="00127DBD"/>
    <w:rsid w:val="00133E6C"/>
    <w:rsid w:val="00142CCC"/>
    <w:rsid w:val="0016025E"/>
    <w:rsid w:val="00175922"/>
    <w:rsid w:val="00175AB6"/>
    <w:rsid w:val="001772C6"/>
    <w:rsid w:val="001A77F2"/>
    <w:rsid w:val="001B3DAB"/>
    <w:rsid w:val="001C232B"/>
    <w:rsid w:val="001D640A"/>
    <w:rsid w:val="001D7FEF"/>
    <w:rsid w:val="001E12CB"/>
    <w:rsid w:val="002058F8"/>
    <w:rsid w:val="00210228"/>
    <w:rsid w:val="002140EE"/>
    <w:rsid w:val="00222144"/>
    <w:rsid w:val="0022600E"/>
    <w:rsid w:val="00231A5D"/>
    <w:rsid w:val="00242CAB"/>
    <w:rsid w:val="00242DFD"/>
    <w:rsid w:val="00247504"/>
    <w:rsid w:val="0025623B"/>
    <w:rsid w:val="00256321"/>
    <w:rsid w:val="00263D1E"/>
    <w:rsid w:val="00274579"/>
    <w:rsid w:val="00276E1B"/>
    <w:rsid w:val="00283E7E"/>
    <w:rsid w:val="00285A19"/>
    <w:rsid w:val="002956E5"/>
    <w:rsid w:val="002B224D"/>
    <w:rsid w:val="002B5B45"/>
    <w:rsid w:val="002B7C35"/>
    <w:rsid w:val="002C11A4"/>
    <w:rsid w:val="002C473B"/>
    <w:rsid w:val="002C7169"/>
    <w:rsid w:val="002D4275"/>
    <w:rsid w:val="002D6B57"/>
    <w:rsid w:val="002D7374"/>
    <w:rsid w:val="002E4315"/>
    <w:rsid w:val="002F4670"/>
    <w:rsid w:val="002F4721"/>
    <w:rsid w:val="003016FC"/>
    <w:rsid w:val="00311258"/>
    <w:rsid w:val="00316C30"/>
    <w:rsid w:val="003238D3"/>
    <w:rsid w:val="00331AEB"/>
    <w:rsid w:val="00340274"/>
    <w:rsid w:val="00343BF0"/>
    <w:rsid w:val="00347B94"/>
    <w:rsid w:val="00357989"/>
    <w:rsid w:val="003603F2"/>
    <w:rsid w:val="00363043"/>
    <w:rsid w:val="00375975"/>
    <w:rsid w:val="003906B4"/>
    <w:rsid w:val="003A53A1"/>
    <w:rsid w:val="003A55E6"/>
    <w:rsid w:val="003A750D"/>
    <w:rsid w:val="003B0DF4"/>
    <w:rsid w:val="003B40C1"/>
    <w:rsid w:val="003B6199"/>
    <w:rsid w:val="003C330C"/>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7384D"/>
    <w:rsid w:val="00482206"/>
    <w:rsid w:val="0048308A"/>
    <w:rsid w:val="00490968"/>
    <w:rsid w:val="00490E28"/>
    <w:rsid w:val="004A59B3"/>
    <w:rsid w:val="004A78C1"/>
    <w:rsid w:val="004D1D88"/>
    <w:rsid w:val="004D4DC1"/>
    <w:rsid w:val="004D5431"/>
    <w:rsid w:val="004F194E"/>
    <w:rsid w:val="004F6837"/>
    <w:rsid w:val="004F7B57"/>
    <w:rsid w:val="005038E5"/>
    <w:rsid w:val="00510C43"/>
    <w:rsid w:val="005213BF"/>
    <w:rsid w:val="00527948"/>
    <w:rsid w:val="00534255"/>
    <w:rsid w:val="005347BC"/>
    <w:rsid w:val="0053775C"/>
    <w:rsid w:val="00544120"/>
    <w:rsid w:val="00547D86"/>
    <w:rsid w:val="005503FB"/>
    <w:rsid w:val="005504CB"/>
    <w:rsid w:val="0055219A"/>
    <w:rsid w:val="00564560"/>
    <w:rsid w:val="00564D32"/>
    <w:rsid w:val="00565A0A"/>
    <w:rsid w:val="00574D7B"/>
    <w:rsid w:val="00575A9B"/>
    <w:rsid w:val="00585E27"/>
    <w:rsid w:val="0059459F"/>
    <w:rsid w:val="005A062C"/>
    <w:rsid w:val="005A10B9"/>
    <w:rsid w:val="005B23DE"/>
    <w:rsid w:val="005C411A"/>
    <w:rsid w:val="005D2992"/>
    <w:rsid w:val="005E3959"/>
    <w:rsid w:val="005E5715"/>
    <w:rsid w:val="005F04FF"/>
    <w:rsid w:val="006033B9"/>
    <w:rsid w:val="00613F43"/>
    <w:rsid w:val="00615EF4"/>
    <w:rsid w:val="006178A7"/>
    <w:rsid w:val="00620B04"/>
    <w:rsid w:val="00625293"/>
    <w:rsid w:val="0062567B"/>
    <w:rsid w:val="006419F0"/>
    <w:rsid w:val="00643BAB"/>
    <w:rsid w:val="00643BDF"/>
    <w:rsid w:val="00643D39"/>
    <w:rsid w:val="00650ABD"/>
    <w:rsid w:val="006532B9"/>
    <w:rsid w:val="00657E80"/>
    <w:rsid w:val="006600AE"/>
    <w:rsid w:val="00662101"/>
    <w:rsid w:val="00665305"/>
    <w:rsid w:val="00667986"/>
    <w:rsid w:val="00676612"/>
    <w:rsid w:val="00691796"/>
    <w:rsid w:val="00697843"/>
    <w:rsid w:val="006A3B94"/>
    <w:rsid w:val="006A6F52"/>
    <w:rsid w:val="006B3AEE"/>
    <w:rsid w:val="006B59C6"/>
    <w:rsid w:val="006C453C"/>
    <w:rsid w:val="006D23A3"/>
    <w:rsid w:val="006E3F8E"/>
    <w:rsid w:val="006E5CD8"/>
    <w:rsid w:val="006F14B5"/>
    <w:rsid w:val="006F504D"/>
    <w:rsid w:val="0070481A"/>
    <w:rsid w:val="00704B82"/>
    <w:rsid w:val="007136E1"/>
    <w:rsid w:val="00716317"/>
    <w:rsid w:val="007201CC"/>
    <w:rsid w:val="0072218D"/>
    <w:rsid w:val="00723967"/>
    <w:rsid w:val="0073488D"/>
    <w:rsid w:val="00751202"/>
    <w:rsid w:val="00751C02"/>
    <w:rsid w:val="00753820"/>
    <w:rsid w:val="00755B07"/>
    <w:rsid w:val="00782076"/>
    <w:rsid w:val="007830BF"/>
    <w:rsid w:val="00785E32"/>
    <w:rsid w:val="00786053"/>
    <w:rsid w:val="00790FFD"/>
    <w:rsid w:val="007A01DD"/>
    <w:rsid w:val="007A32C7"/>
    <w:rsid w:val="007C0B1B"/>
    <w:rsid w:val="007C637D"/>
    <w:rsid w:val="007D281B"/>
    <w:rsid w:val="007D3C2C"/>
    <w:rsid w:val="007E3BB3"/>
    <w:rsid w:val="007E7E12"/>
    <w:rsid w:val="007F4668"/>
    <w:rsid w:val="00814F72"/>
    <w:rsid w:val="008218EF"/>
    <w:rsid w:val="0082339E"/>
    <w:rsid w:val="00830AF1"/>
    <w:rsid w:val="00845BA4"/>
    <w:rsid w:val="00851160"/>
    <w:rsid w:val="0085188B"/>
    <w:rsid w:val="00853102"/>
    <w:rsid w:val="00856396"/>
    <w:rsid w:val="00870EE5"/>
    <w:rsid w:val="00886BCA"/>
    <w:rsid w:val="008A09DF"/>
    <w:rsid w:val="008A0F71"/>
    <w:rsid w:val="008A5442"/>
    <w:rsid w:val="008B7B0E"/>
    <w:rsid w:val="008C1DFE"/>
    <w:rsid w:val="008C3DAB"/>
    <w:rsid w:val="008C5A1E"/>
    <w:rsid w:val="008C6777"/>
    <w:rsid w:val="008C7219"/>
    <w:rsid w:val="008D390D"/>
    <w:rsid w:val="008D6FD3"/>
    <w:rsid w:val="008E42FD"/>
    <w:rsid w:val="008F12AD"/>
    <w:rsid w:val="00901EAC"/>
    <w:rsid w:val="0090367E"/>
    <w:rsid w:val="0091131C"/>
    <w:rsid w:val="0091197F"/>
    <w:rsid w:val="00914B8F"/>
    <w:rsid w:val="00915032"/>
    <w:rsid w:val="00920941"/>
    <w:rsid w:val="00927E02"/>
    <w:rsid w:val="00953FD6"/>
    <w:rsid w:val="009567AA"/>
    <w:rsid w:val="00975662"/>
    <w:rsid w:val="00982BE7"/>
    <w:rsid w:val="00987145"/>
    <w:rsid w:val="00992170"/>
    <w:rsid w:val="009945FA"/>
    <w:rsid w:val="009A07FE"/>
    <w:rsid w:val="009B6342"/>
    <w:rsid w:val="009D6355"/>
    <w:rsid w:val="009E37A4"/>
    <w:rsid w:val="009E6A8E"/>
    <w:rsid w:val="009F7405"/>
    <w:rsid w:val="00A03B59"/>
    <w:rsid w:val="00A10168"/>
    <w:rsid w:val="00A14DD7"/>
    <w:rsid w:val="00A20585"/>
    <w:rsid w:val="00A23F96"/>
    <w:rsid w:val="00A25BA6"/>
    <w:rsid w:val="00A32376"/>
    <w:rsid w:val="00A37C1E"/>
    <w:rsid w:val="00A37EF9"/>
    <w:rsid w:val="00A456C6"/>
    <w:rsid w:val="00A46021"/>
    <w:rsid w:val="00A52380"/>
    <w:rsid w:val="00A67616"/>
    <w:rsid w:val="00A77FC1"/>
    <w:rsid w:val="00A839BA"/>
    <w:rsid w:val="00A914CA"/>
    <w:rsid w:val="00A92BEF"/>
    <w:rsid w:val="00A978E5"/>
    <w:rsid w:val="00AA4614"/>
    <w:rsid w:val="00AB466A"/>
    <w:rsid w:val="00AC07FC"/>
    <w:rsid w:val="00AE7076"/>
    <w:rsid w:val="00AF5819"/>
    <w:rsid w:val="00B17C1E"/>
    <w:rsid w:val="00B3136E"/>
    <w:rsid w:val="00B464FC"/>
    <w:rsid w:val="00B52630"/>
    <w:rsid w:val="00B566C6"/>
    <w:rsid w:val="00B628B0"/>
    <w:rsid w:val="00B7105A"/>
    <w:rsid w:val="00B824B3"/>
    <w:rsid w:val="00B824ED"/>
    <w:rsid w:val="00B8326E"/>
    <w:rsid w:val="00B8562F"/>
    <w:rsid w:val="00B862E8"/>
    <w:rsid w:val="00B93E91"/>
    <w:rsid w:val="00B94B09"/>
    <w:rsid w:val="00BC096B"/>
    <w:rsid w:val="00BC2F3B"/>
    <w:rsid w:val="00BC64B9"/>
    <w:rsid w:val="00BE06E5"/>
    <w:rsid w:val="00BE3075"/>
    <w:rsid w:val="00BF1BBC"/>
    <w:rsid w:val="00C05AFF"/>
    <w:rsid w:val="00C07F36"/>
    <w:rsid w:val="00C13B92"/>
    <w:rsid w:val="00C16EB6"/>
    <w:rsid w:val="00C179F2"/>
    <w:rsid w:val="00C32C45"/>
    <w:rsid w:val="00C33C22"/>
    <w:rsid w:val="00C366B9"/>
    <w:rsid w:val="00C53205"/>
    <w:rsid w:val="00C53D99"/>
    <w:rsid w:val="00C53E55"/>
    <w:rsid w:val="00C54352"/>
    <w:rsid w:val="00C625DA"/>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D16A35"/>
    <w:rsid w:val="00D170F1"/>
    <w:rsid w:val="00D239AE"/>
    <w:rsid w:val="00D2548C"/>
    <w:rsid w:val="00D26C56"/>
    <w:rsid w:val="00D27226"/>
    <w:rsid w:val="00D30238"/>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F07"/>
    <w:rsid w:val="00DF68E8"/>
    <w:rsid w:val="00E05101"/>
    <w:rsid w:val="00E1584F"/>
    <w:rsid w:val="00E15B1B"/>
    <w:rsid w:val="00E24374"/>
    <w:rsid w:val="00E30C9F"/>
    <w:rsid w:val="00E34AAD"/>
    <w:rsid w:val="00E43CDF"/>
    <w:rsid w:val="00E46719"/>
    <w:rsid w:val="00E52CFB"/>
    <w:rsid w:val="00E54410"/>
    <w:rsid w:val="00E65DB9"/>
    <w:rsid w:val="00E73E3E"/>
    <w:rsid w:val="00E952F7"/>
    <w:rsid w:val="00E97D78"/>
    <w:rsid w:val="00EA1FC2"/>
    <w:rsid w:val="00EA7697"/>
    <w:rsid w:val="00ED749F"/>
    <w:rsid w:val="00EE01A3"/>
    <w:rsid w:val="00EE0A2D"/>
    <w:rsid w:val="00EF50F4"/>
    <w:rsid w:val="00EF52ED"/>
    <w:rsid w:val="00F01E31"/>
    <w:rsid w:val="00F054C1"/>
    <w:rsid w:val="00F07FB6"/>
    <w:rsid w:val="00F129A6"/>
    <w:rsid w:val="00F133F3"/>
    <w:rsid w:val="00F15528"/>
    <w:rsid w:val="00F16CDF"/>
    <w:rsid w:val="00F262E9"/>
    <w:rsid w:val="00F26EA9"/>
    <w:rsid w:val="00F53F67"/>
    <w:rsid w:val="00F55AA7"/>
    <w:rsid w:val="00F60A40"/>
    <w:rsid w:val="00F673D3"/>
    <w:rsid w:val="00F71B67"/>
    <w:rsid w:val="00F72BBE"/>
    <w:rsid w:val="00F85E24"/>
    <w:rsid w:val="00F86AB7"/>
    <w:rsid w:val="00FA4BEB"/>
    <w:rsid w:val="00FC011A"/>
    <w:rsid w:val="00FE0327"/>
    <w:rsid w:val="00FE4AAE"/>
    <w:rsid w:val="00FE55F5"/>
    <w:rsid w:val="00FF6106"/>
    <w:rsid w:val="017442FA"/>
    <w:rsid w:val="0215299B"/>
    <w:rsid w:val="03942A31"/>
    <w:rsid w:val="044E0E32"/>
    <w:rsid w:val="05997E8B"/>
    <w:rsid w:val="066D3445"/>
    <w:rsid w:val="08964B56"/>
    <w:rsid w:val="08C83CB5"/>
    <w:rsid w:val="097D7547"/>
    <w:rsid w:val="09902C2B"/>
    <w:rsid w:val="0A9926DB"/>
    <w:rsid w:val="0C3721EC"/>
    <w:rsid w:val="0CEC11E8"/>
    <w:rsid w:val="0CFD51A3"/>
    <w:rsid w:val="0D7A240F"/>
    <w:rsid w:val="0E503093"/>
    <w:rsid w:val="0FB06655"/>
    <w:rsid w:val="10912321"/>
    <w:rsid w:val="10C81F6C"/>
    <w:rsid w:val="11BE5B42"/>
    <w:rsid w:val="13A26E3E"/>
    <w:rsid w:val="13AE369B"/>
    <w:rsid w:val="144F1BCA"/>
    <w:rsid w:val="14E153AA"/>
    <w:rsid w:val="14FD6A90"/>
    <w:rsid w:val="15455939"/>
    <w:rsid w:val="15B12877"/>
    <w:rsid w:val="1602382A"/>
    <w:rsid w:val="16D36F75"/>
    <w:rsid w:val="16FC64CC"/>
    <w:rsid w:val="172E31C9"/>
    <w:rsid w:val="17C3509D"/>
    <w:rsid w:val="188E3F28"/>
    <w:rsid w:val="19E54DD6"/>
    <w:rsid w:val="1A07140F"/>
    <w:rsid w:val="1A7D2861"/>
    <w:rsid w:val="1BB90E2F"/>
    <w:rsid w:val="1CB17D58"/>
    <w:rsid w:val="1CC9206F"/>
    <w:rsid w:val="1D444728"/>
    <w:rsid w:val="1DE46746"/>
    <w:rsid w:val="1E4F7829"/>
    <w:rsid w:val="1F9951FF"/>
    <w:rsid w:val="20063648"/>
    <w:rsid w:val="201D3E7D"/>
    <w:rsid w:val="202D76F6"/>
    <w:rsid w:val="20746BB2"/>
    <w:rsid w:val="21490D82"/>
    <w:rsid w:val="21C916A0"/>
    <w:rsid w:val="21DD05CC"/>
    <w:rsid w:val="21E64000"/>
    <w:rsid w:val="22FB1D2D"/>
    <w:rsid w:val="23E9602A"/>
    <w:rsid w:val="242B03F0"/>
    <w:rsid w:val="24F13006"/>
    <w:rsid w:val="26AA3689"/>
    <w:rsid w:val="26DB7EAB"/>
    <w:rsid w:val="26E533CB"/>
    <w:rsid w:val="28C86F5B"/>
    <w:rsid w:val="295D104C"/>
    <w:rsid w:val="29B665AC"/>
    <w:rsid w:val="29D15596"/>
    <w:rsid w:val="2A7725E1"/>
    <w:rsid w:val="2B473D61"/>
    <w:rsid w:val="2CB01DDA"/>
    <w:rsid w:val="2D460049"/>
    <w:rsid w:val="2E051CB2"/>
    <w:rsid w:val="2FCB74E2"/>
    <w:rsid w:val="2FFC5E6A"/>
    <w:rsid w:val="3163566D"/>
    <w:rsid w:val="31D8203D"/>
    <w:rsid w:val="31FA2FC3"/>
    <w:rsid w:val="32207D4E"/>
    <w:rsid w:val="3248523C"/>
    <w:rsid w:val="353327D7"/>
    <w:rsid w:val="35A3072E"/>
    <w:rsid w:val="35BA60CE"/>
    <w:rsid w:val="38CA49CD"/>
    <w:rsid w:val="39D54C2E"/>
    <w:rsid w:val="3A731769"/>
    <w:rsid w:val="3B135AA1"/>
    <w:rsid w:val="3B156B83"/>
    <w:rsid w:val="3B3140E6"/>
    <w:rsid w:val="3B8763FC"/>
    <w:rsid w:val="3C0E61D6"/>
    <w:rsid w:val="3D912B45"/>
    <w:rsid w:val="3DB91FAA"/>
    <w:rsid w:val="3DC92B7D"/>
    <w:rsid w:val="3E7013C9"/>
    <w:rsid w:val="3F2D1069"/>
    <w:rsid w:val="404D79B1"/>
    <w:rsid w:val="40CF23D7"/>
    <w:rsid w:val="411058C0"/>
    <w:rsid w:val="413277CA"/>
    <w:rsid w:val="41A31919"/>
    <w:rsid w:val="42507548"/>
    <w:rsid w:val="43EA3CD7"/>
    <w:rsid w:val="457F75CA"/>
    <w:rsid w:val="471A6376"/>
    <w:rsid w:val="495E1E55"/>
    <w:rsid w:val="4A3114BC"/>
    <w:rsid w:val="4A6C57DD"/>
    <w:rsid w:val="4A842484"/>
    <w:rsid w:val="4ACE4B79"/>
    <w:rsid w:val="4ADA413D"/>
    <w:rsid w:val="4B2F76F0"/>
    <w:rsid w:val="4C811ECE"/>
    <w:rsid w:val="4C8E75EA"/>
    <w:rsid w:val="4CD64AED"/>
    <w:rsid w:val="4DEA6AA2"/>
    <w:rsid w:val="4DF74D1B"/>
    <w:rsid w:val="4EB0718C"/>
    <w:rsid w:val="4FDA2B47"/>
    <w:rsid w:val="505E5526"/>
    <w:rsid w:val="50B60EBE"/>
    <w:rsid w:val="50C025FA"/>
    <w:rsid w:val="50EC392E"/>
    <w:rsid w:val="51CA3B38"/>
    <w:rsid w:val="53425821"/>
    <w:rsid w:val="543D7D43"/>
    <w:rsid w:val="54413194"/>
    <w:rsid w:val="55236D3E"/>
    <w:rsid w:val="554E608A"/>
    <w:rsid w:val="56D36709"/>
    <w:rsid w:val="56EB5013"/>
    <w:rsid w:val="57A557E8"/>
    <w:rsid w:val="57DD4F82"/>
    <w:rsid w:val="580B5743"/>
    <w:rsid w:val="58A53839"/>
    <w:rsid w:val="59337A15"/>
    <w:rsid w:val="5A865DA5"/>
    <w:rsid w:val="5AFF1B36"/>
    <w:rsid w:val="5B3B1FAA"/>
    <w:rsid w:val="5BEE021E"/>
    <w:rsid w:val="5BF22FC6"/>
    <w:rsid w:val="5C602203"/>
    <w:rsid w:val="5CF8252C"/>
    <w:rsid w:val="5D0631CD"/>
    <w:rsid w:val="5D215911"/>
    <w:rsid w:val="5DBF70F0"/>
    <w:rsid w:val="5DF23B2E"/>
    <w:rsid w:val="5E7C394C"/>
    <w:rsid w:val="5F0C33FB"/>
    <w:rsid w:val="5F4578E7"/>
    <w:rsid w:val="5F4E26F5"/>
    <w:rsid w:val="5F6D7533"/>
    <w:rsid w:val="5F856747"/>
    <w:rsid w:val="60511ABB"/>
    <w:rsid w:val="62173015"/>
    <w:rsid w:val="6228716A"/>
    <w:rsid w:val="62652744"/>
    <w:rsid w:val="63A20CFF"/>
    <w:rsid w:val="63C60FC0"/>
    <w:rsid w:val="63F83144"/>
    <w:rsid w:val="66B07D06"/>
    <w:rsid w:val="66DC6D4D"/>
    <w:rsid w:val="68B735CD"/>
    <w:rsid w:val="6A400653"/>
    <w:rsid w:val="6A7F45BF"/>
    <w:rsid w:val="6B286A04"/>
    <w:rsid w:val="6B297923"/>
    <w:rsid w:val="6B5A68F5"/>
    <w:rsid w:val="6BBF5D79"/>
    <w:rsid w:val="6BC9041D"/>
    <w:rsid w:val="6DAB7F02"/>
    <w:rsid w:val="6FB40A1A"/>
    <w:rsid w:val="70237CAA"/>
    <w:rsid w:val="719E17CE"/>
    <w:rsid w:val="71CD20B4"/>
    <w:rsid w:val="71D5256E"/>
    <w:rsid w:val="72567DE8"/>
    <w:rsid w:val="72C16AF2"/>
    <w:rsid w:val="72FA6ED8"/>
    <w:rsid w:val="73A76E7D"/>
    <w:rsid w:val="745A3F1E"/>
    <w:rsid w:val="74A23383"/>
    <w:rsid w:val="75730384"/>
    <w:rsid w:val="75AD4F5D"/>
    <w:rsid w:val="75CF2BD1"/>
    <w:rsid w:val="760F645A"/>
    <w:rsid w:val="78401AE9"/>
    <w:rsid w:val="78841A12"/>
    <w:rsid w:val="7B4E5EDA"/>
    <w:rsid w:val="7BEB3862"/>
    <w:rsid w:val="7C5B4553"/>
    <w:rsid w:val="7C7B7C1A"/>
    <w:rsid w:val="7D210FAE"/>
    <w:rsid w:val="7DE95B7F"/>
    <w:rsid w:val="7DF64DA9"/>
    <w:rsid w:val="7E151C77"/>
    <w:rsid w:val="7E404C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8"/>
    <w:qFormat/>
    <w:uiPriority w:val="0"/>
    <w:pPr>
      <w:keepNext/>
      <w:keepLines/>
      <w:spacing w:before="480"/>
      <w:jc w:val="center"/>
      <w:outlineLvl w:val="0"/>
    </w:pPr>
    <w:rPr>
      <w:rFonts w:ascii="Cambria" w:hAnsi="Cambria" w:eastAsia="华文中宋"/>
      <w:b/>
      <w:bCs/>
      <w:sz w:val="44"/>
      <w:szCs w:val="28"/>
    </w:rPr>
  </w:style>
  <w:style w:type="paragraph" w:styleId="3">
    <w:name w:val="heading 2"/>
    <w:basedOn w:val="1"/>
    <w:next w:val="1"/>
    <w:link w:val="3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6"/>
    <w:basedOn w:val="1"/>
    <w:next w:val="1"/>
    <w:link w:val="35"/>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7">
    <w:name w:val="Document Map"/>
    <w:basedOn w:val="1"/>
    <w:link w:val="24"/>
    <w:semiHidden/>
    <w:unhideWhenUsed/>
    <w:qFormat/>
    <w:uiPriority w:val="99"/>
    <w:rPr>
      <w:rFonts w:ascii="宋体"/>
      <w:sz w:val="18"/>
      <w:szCs w:val="18"/>
    </w:rPr>
  </w:style>
  <w:style w:type="paragraph" w:styleId="8">
    <w:name w:val="Body Text"/>
    <w:basedOn w:val="1"/>
    <w:next w:val="1"/>
    <w:link w:val="36"/>
    <w:qFormat/>
    <w:uiPriority w:val="0"/>
    <w:pPr>
      <w:spacing w:after="120"/>
    </w:pPr>
    <w:rPr>
      <w:rFonts w:ascii="Times New Roman" w:hAnsi="Times New Roman"/>
      <w:szCs w:val="24"/>
    </w:rPr>
  </w:style>
  <w:style w:type="paragraph" w:styleId="9">
    <w:name w:val="Body Text Indent"/>
    <w:basedOn w:val="1"/>
    <w:unhideWhenUsed/>
    <w:qFormat/>
    <w:uiPriority w:val="99"/>
    <w:pPr>
      <w:spacing w:after="120"/>
      <w:ind w:left="420" w:leftChars="200"/>
    </w:pPr>
  </w:style>
  <w:style w:type="paragraph" w:styleId="10">
    <w:name w:val="Plain Text"/>
    <w:basedOn w:val="1"/>
    <w:link w:val="29"/>
    <w:qFormat/>
    <w:uiPriority w:val="0"/>
    <w:rPr>
      <w:rFonts w:ascii="宋体" w:hAnsi="Courier New"/>
      <w:kern w:val="0"/>
      <w:szCs w:val="20"/>
    </w:rPr>
  </w:style>
  <w:style w:type="paragraph" w:styleId="11">
    <w:name w:val="Date"/>
    <w:basedOn w:val="1"/>
    <w:next w:val="1"/>
    <w:link w:val="26"/>
    <w:semiHidden/>
    <w:unhideWhenUsed/>
    <w:qFormat/>
    <w:uiPriority w:val="99"/>
    <w:pPr>
      <w:ind w:left="100" w:leftChars="2500"/>
    </w:pPr>
  </w:style>
  <w:style w:type="paragraph" w:styleId="12">
    <w:name w:val="Body Text Indent 2"/>
    <w:basedOn w:val="1"/>
    <w:link w:val="40"/>
    <w:qFormat/>
    <w:uiPriority w:val="99"/>
    <w:pPr>
      <w:spacing w:after="120" w:line="480" w:lineRule="auto"/>
      <w:ind w:left="420" w:leftChars="200"/>
    </w:pPr>
    <w:rPr>
      <w:kern w:val="0"/>
      <w:sz w:val="24"/>
    </w:rPr>
  </w:style>
  <w:style w:type="paragraph" w:styleId="13">
    <w:name w:val="footer"/>
    <w:basedOn w:val="1"/>
    <w:link w:val="23"/>
    <w:unhideWhenUsed/>
    <w:qFormat/>
    <w:uiPriority w:val="99"/>
    <w:pPr>
      <w:tabs>
        <w:tab w:val="center" w:pos="4153"/>
        <w:tab w:val="right" w:pos="8306"/>
      </w:tabs>
      <w:snapToGrid w:val="0"/>
      <w:jc w:val="left"/>
    </w:pPr>
    <w:rPr>
      <w:sz w:val="18"/>
      <w:szCs w:val="18"/>
    </w:rPr>
  </w:style>
  <w:style w:type="paragraph" w:styleId="14">
    <w:name w:val="header"/>
    <w:basedOn w:val="1"/>
    <w:link w:val="22"/>
    <w:unhideWhenUsed/>
    <w:qFormat/>
    <w:uiPriority w:val="0"/>
    <w:pPr>
      <w:pBdr>
        <w:bottom w:val="single" w:color="auto" w:sz="6" w:space="1"/>
      </w:pBdr>
      <w:tabs>
        <w:tab w:val="center" w:pos="4153"/>
        <w:tab w:val="right" w:pos="8306"/>
      </w:tabs>
      <w:snapToGrid w:val="0"/>
      <w:jc w:val="center"/>
    </w:pPr>
    <w:rPr>
      <w:sz w:val="18"/>
      <w:szCs w:val="18"/>
    </w:rPr>
  </w:style>
  <w:style w:type="paragraph" w:styleId="15">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6">
    <w:name w:val="Body Text First Indent 2"/>
    <w:basedOn w:val="9"/>
    <w:next w:val="6"/>
    <w:unhideWhenUsed/>
    <w:qFormat/>
    <w:uiPriority w:val="99"/>
    <w:pPr>
      <w:spacing w:before="100" w:beforeAutospacing="1"/>
      <w:ind w:firstLine="420"/>
    </w:pPr>
    <w:rPr>
      <w:szCs w:val="21"/>
    </w:rPr>
  </w:style>
  <w:style w:type="table" w:styleId="18">
    <w:name w:val="Table Grid"/>
    <w:basedOn w:val="17"/>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basedOn w:val="19"/>
    <w:qFormat/>
    <w:uiPriority w:val="22"/>
    <w:rPr>
      <w:b/>
    </w:rPr>
  </w:style>
  <w:style w:type="character" w:styleId="21">
    <w:name w:val="page number"/>
    <w:basedOn w:val="19"/>
    <w:qFormat/>
    <w:uiPriority w:val="0"/>
  </w:style>
  <w:style w:type="character" w:customStyle="1" w:styleId="22">
    <w:name w:val="页眉 Char"/>
    <w:basedOn w:val="19"/>
    <w:link w:val="14"/>
    <w:qFormat/>
    <w:uiPriority w:val="0"/>
    <w:rPr>
      <w:rFonts w:ascii="Calibri" w:hAnsi="Calibri" w:eastAsia="宋体" w:cs="Times New Roman"/>
      <w:sz w:val="18"/>
      <w:szCs w:val="18"/>
    </w:rPr>
  </w:style>
  <w:style w:type="character" w:customStyle="1" w:styleId="23">
    <w:name w:val="页脚 Char"/>
    <w:basedOn w:val="19"/>
    <w:link w:val="13"/>
    <w:qFormat/>
    <w:uiPriority w:val="99"/>
    <w:rPr>
      <w:rFonts w:ascii="Calibri" w:hAnsi="Calibri" w:eastAsia="宋体" w:cs="Times New Roman"/>
      <w:sz w:val="18"/>
      <w:szCs w:val="18"/>
    </w:rPr>
  </w:style>
  <w:style w:type="character" w:customStyle="1" w:styleId="24">
    <w:name w:val="文档结构图 Char"/>
    <w:basedOn w:val="19"/>
    <w:link w:val="7"/>
    <w:semiHidden/>
    <w:qFormat/>
    <w:uiPriority w:val="99"/>
    <w:rPr>
      <w:rFonts w:ascii="宋体" w:hAnsi="Calibri" w:eastAsia="宋体" w:cs="Times New Roman"/>
      <w:sz w:val="18"/>
      <w:szCs w:val="18"/>
    </w:rPr>
  </w:style>
  <w:style w:type="paragraph" w:customStyle="1" w:styleId="25">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6">
    <w:name w:val="日期 Char"/>
    <w:basedOn w:val="19"/>
    <w:link w:val="11"/>
    <w:semiHidden/>
    <w:qFormat/>
    <w:uiPriority w:val="99"/>
    <w:rPr>
      <w:rFonts w:ascii="Calibri" w:hAnsi="Calibri" w:eastAsia="宋体" w:cs="Times New Roman"/>
    </w:rPr>
  </w:style>
  <w:style w:type="paragraph" w:customStyle="1" w:styleId="27">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28">
    <w:name w:val="标题 1 Char"/>
    <w:basedOn w:val="19"/>
    <w:link w:val="2"/>
    <w:qFormat/>
    <w:uiPriority w:val="0"/>
    <w:rPr>
      <w:rFonts w:ascii="Cambria" w:hAnsi="Cambria" w:eastAsia="华文中宋" w:cs="Times New Roman"/>
      <w:b/>
      <w:bCs/>
      <w:sz w:val="44"/>
      <w:szCs w:val="28"/>
    </w:rPr>
  </w:style>
  <w:style w:type="character" w:customStyle="1" w:styleId="29">
    <w:name w:val="纯文本 Char1"/>
    <w:link w:val="10"/>
    <w:qFormat/>
    <w:locked/>
    <w:uiPriority w:val="0"/>
    <w:rPr>
      <w:rFonts w:ascii="宋体" w:hAnsi="Courier New"/>
      <w:sz w:val="21"/>
    </w:rPr>
  </w:style>
  <w:style w:type="character" w:customStyle="1" w:styleId="30">
    <w:name w:val="纯文本 Char"/>
    <w:basedOn w:val="19"/>
    <w:semiHidden/>
    <w:qFormat/>
    <w:uiPriority w:val="99"/>
    <w:rPr>
      <w:rFonts w:ascii="宋体" w:hAnsi="Courier New" w:cs="Courier New"/>
      <w:kern w:val="2"/>
      <w:sz w:val="21"/>
      <w:szCs w:val="21"/>
    </w:rPr>
  </w:style>
  <w:style w:type="character" w:customStyle="1" w:styleId="31">
    <w:name w:val="标题 2 Char"/>
    <w:basedOn w:val="19"/>
    <w:link w:val="3"/>
    <w:semiHidden/>
    <w:qFormat/>
    <w:uiPriority w:val="9"/>
    <w:rPr>
      <w:rFonts w:asciiTheme="majorHAnsi" w:hAnsiTheme="majorHAnsi" w:eastAsiaTheme="majorEastAsia" w:cstheme="majorBidi"/>
      <w:b/>
      <w:bCs/>
      <w:kern w:val="2"/>
      <w:sz w:val="32"/>
      <w:szCs w:val="32"/>
    </w:rPr>
  </w:style>
  <w:style w:type="paragraph" w:customStyle="1" w:styleId="32">
    <w:name w:val="Table Paragraph"/>
    <w:basedOn w:val="1"/>
    <w:qFormat/>
    <w:uiPriority w:val="1"/>
  </w:style>
  <w:style w:type="paragraph" w:customStyle="1" w:styleId="33">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4">
    <w:name w:val="Char1 Char Char Char Char Char Char Char"/>
    <w:basedOn w:val="1"/>
    <w:qFormat/>
    <w:uiPriority w:val="0"/>
    <w:rPr>
      <w:rFonts w:ascii="Tahoma" w:hAnsi="Tahoma"/>
      <w:sz w:val="24"/>
      <w:szCs w:val="20"/>
    </w:rPr>
  </w:style>
  <w:style w:type="character" w:customStyle="1" w:styleId="35">
    <w:name w:val="标题 6 Char"/>
    <w:basedOn w:val="19"/>
    <w:link w:val="5"/>
    <w:qFormat/>
    <w:uiPriority w:val="9"/>
    <w:rPr>
      <w:rFonts w:asciiTheme="majorHAnsi" w:hAnsiTheme="majorHAnsi" w:eastAsiaTheme="majorEastAsia" w:cstheme="majorBidi"/>
      <w:b/>
      <w:bCs/>
      <w:kern w:val="2"/>
      <w:sz w:val="24"/>
      <w:szCs w:val="24"/>
    </w:rPr>
  </w:style>
  <w:style w:type="character" w:customStyle="1" w:styleId="36">
    <w:name w:val="正文文本 Char"/>
    <w:basedOn w:val="19"/>
    <w:link w:val="8"/>
    <w:qFormat/>
    <w:uiPriority w:val="0"/>
    <w:rPr>
      <w:kern w:val="2"/>
      <w:sz w:val="21"/>
      <w:szCs w:val="24"/>
    </w:rPr>
  </w:style>
  <w:style w:type="paragraph" w:styleId="37">
    <w:name w:val="List Paragraph"/>
    <w:basedOn w:val="1"/>
    <w:qFormat/>
    <w:uiPriority w:val="34"/>
    <w:pPr>
      <w:ind w:firstLine="420" w:firstLineChars="200"/>
    </w:pPr>
    <w:rPr>
      <w:rFonts w:ascii="Times New Roman" w:hAnsi="Times New Roman"/>
      <w:szCs w:val="24"/>
    </w:rPr>
  </w:style>
  <w:style w:type="paragraph" w:customStyle="1" w:styleId="38">
    <w:name w:val="样式 宋体1"/>
    <w:basedOn w:val="1"/>
    <w:qFormat/>
    <w:uiPriority w:val="0"/>
    <w:pPr>
      <w:ind w:firstLine="420" w:firstLineChars="200"/>
      <w:jc w:val="left"/>
    </w:pPr>
    <w:rPr>
      <w:rFonts w:ascii="宋体" w:hAnsi="宋体" w:eastAsia="等线" w:cs="宋体"/>
      <w:szCs w:val="20"/>
    </w:rPr>
  </w:style>
  <w:style w:type="paragraph" w:customStyle="1" w:styleId="39">
    <w:name w:val="Normal_1"/>
    <w:qFormat/>
    <w:uiPriority w:val="0"/>
    <w:rPr>
      <w:rFonts w:ascii="Calibri" w:hAnsi="Calibri" w:eastAsia="宋体" w:cs="Times New Roman"/>
      <w:sz w:val="24"/>
      <w:szCs w:val="24"/>
      <w:lang w:val="en-US" w:eastAsia="zh-CN" w:bidi="ar-SA"/>
    </w:rPr>
  </w:style>
  <w:style w:type="character" w:customStyle="1" w:styleId="40">
    <w:name w:val="正文文本缩进 2 Char"/>
    <w:link w:val="12"/>
    <w:qFormat/>
    <w:uiPriority w:val="99"/>
    <w:rPr>
      <w:rFonts w:ascii="Calibri" w:hAnsi="Calibri"/>
      <w:sz w:val="24"/>
      <w:szCs w:val="22"/>
    </w:rPr>
  </w:style>
  <w:style w:type="paragraph" w:customStyle="1" w:styleId="41">
    <w:name w:val="01 文件标题"/>
    <w:basedOn w:val="1"/>
    <w:next w:val="1"/>
    <w:qFormat/>
    <w:uiPriority w:val="0"/>
    <w:pPr>
      <w:spacing w:line="560" w:lineRule="exact"/>
      <w:jc w:val="center"/>
    </w:pPr>
    <w:rPr>
      <w:rFonts w:ascii="方正小标宋简体" w:eastAsia="方正小标宋简体"/>
      <w:sz w:val="44"/>
    </w:rPr>
  </w:style>
  <w:style w:type="paragraph" w:customStyle="1" w:styleId="42">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3">
    <w:name w:val="04 二级标题"/>
    <w:basedOn w:val="3"/>
    <w:qFormat/>
    <w:uiPriority w:val="0"/>
    <w:pPr>
      <w:spacing w:before="0" w:after="0" w:line="560" w:lineRule="exact"/>
      <w:ind w:firstLine="200" w:firstLineChars="200"/>
    </w:pPr>
    <w:rPr>
      <w:rFonts w:ascii="楷体_GB2312" w:hAnsi="Times New Roman" w:eastAsia="楷体_GB2312"/>
      <w:b w:val="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4598</Words>
  <Characters>4748</Characters>
  <Lines>31</Lines>
  <Paragraphs>8</Paragraphs>
  <TotalTime>1</TotalTime>
  <ScaleCrop>false</ScaleCrop>
  <LinksUpToDate>false</LinksUpToDate>
  <CharactersWithSpaces>5373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2025-04-17T07:45:00Z</dcterms:created>
  <dc:creator>china</dc:creator>
  <cp:lastModifiedBy></cp:lastModifiedBy>
  <cp:lastPrinted>2020-08-24T02:17:00Z</cp:lastPrinted>
  <dcterms:modified xsi:type="dcterms:W3CDTF">2025-09-23T08:56:15Z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0CFF00C96D6E4393A038232D7D71E7FC_13</vt:lpwstr>
  </property>
  <property fmtid="{D5CDD505-2E9C-101B-9397-08002B2CF9AE}" pid="4" name="KSOTemplateDocerSaveRecord">
    <vt:lpwstr>eyJoZGlkIjoiNjRiNDcyZGU2YzJhYTkwMjk5MjQwZmFmNjBmNDJhZmYiLCJ1c2VySWQiOiI0OTQ3NjU2MzMifQ==</vt:lpwstr>
  </property>
</Properties>
</file>