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0D1F50">
      <w:pPr>
        <w:adjustRightInd w:val="0"/>
        <w:snapToGrid w:val="0"/>
        <w:spacing w:before="3744" w:beforeLines="1200" w:line="700" w:lineRule="exact"/>
        <w:jc w:val="center"/>
        <w:rPr>
          <w:rFonts w:ascii="方正小标宋简体" w:hAnsi="宋体" w:eastAsia="方正小标宋简体" w:cs="黑体"/>
          <w:bCs/>
          <w:sz w:val="44"/>
          <w:szCs w:val="44"/>
        </w:rPr>
      </w:pPr>
      <w:r>
        <w:rPr>
          <w:rFonts w:hint="eastAsia" w:ascii="方正小标宋简体" w:hAnsi="宋体" w:eastAsia="方正小标宋简体" w:cs="黑体"/>
          <w:bCs/>
          <w:sz w:val="44"/>
          <w:szCs w:val="44"/>
        </w:rPr>
        <w:t>湖南铁道职业技术学院</w:t>
      </w:r>
    </w:p>
    <w:p w14:paraId="02907D8F">
      <w:pPr>
        <w:adjustRightInd w:val="0"/>
        <w:snapToGrid w:val="0"/>
        <w:spacing w:before="156" w:beforeLines="50" w:line="700" w:lineRule="exact"/>
        <w:jc w:val="center"/>
        <w:rPr>
          <w:rFonts w:ascii="方正小标宋简体" w:hAnsi="宋体" w:eastAsia="方正小标宋简体" w:cs="黑体"/>
          <w:bCs/>
          <w:sz w:val="44"/>
          <w:szCs w:val="44"/>
        </w:rPr>
      </w:pPr>
      <w:r>
        <w:rPr>
          <w:rFonts w:hint="eastAsia" w:ascii="方正小标宋简体" w:hAnsi="宋体" w:eastAsia="方正小标宋简体" w:cs="黑体"/>
          <w:bCs/>
          <w:sz w:val="44"/>
          <w:szCs w:val="44"/>
        </w:rPr>
        <w:t>市场调研（询价）咨询服务采购项目</w:t>
      </w:r>
    </w:p>
    <w:p w14:paraId="7901F655">
      <w:pPr>
        <w:adjustRightInd w:val="0"/>
        <w:snapToGrid w:val="0"/>
        <w:spacing w:before="156" w:beforeLines="50" w:line="700" w:lineRule="exact"/>
        <w:jc w:val="center"/>
        <w:rPr>
          <w:rFonts w:ascii="方正小标宋简体" w:hAnsi="宋体" w:eastAsia="方正小标宋简体" w:cs="黑体"/>
          <w:bCs/>
          <w:sz w:val="44"/>
          <w:szCs w:val="44"/>
        </w:rPr>
      </w:pPr>
      <w:r>
        <w:rPr>
          <w:rFonts w:hint="eastAsia" w:ascii="方正小标宋简体" w:hAnsi="宋体" w:eastAsia="方正小标宋简体" w:cs="黑体"/>
          <w:bCs/>
          <w:sz w:val="44"/>
          <w:szCs w:val="44"/>
        </w:rPr>
        <w:t>询比文件</w:t>
      </w:r>
    </w:p>
    <w:p w14:paraId="5B540580">
      <w:pPr>
        <w:pStyle w:val="8"/>
        <w:widowControl/>
        <w:jc w:val="center"/>
        <w:rPr>
          <w:rFonts w:hint="default" w:hAnsi="宋体" w:cs="宋体"/>
          <w:b/>
          <w:sz w:val="30"/>
          <w:szCs w:val="30"/>
        </w:rPr>
      </w:pPr>
    </w:p>
    <w:p w14:paraId="4163EB9F">
      <w:pPr>
        <w:pStyle w:val="8"/>
        <w:widowControl/>
        <w:jc w:val="center"/>
        <w:rPr>
          <w:rFonts w:hint="default" w:hAnsi="宋体" w:cs="宋体"/>
          <w:b/>
          <w:sz w:val="30"/>
          <w:szCs w:val="30"/>
        </w:rPr>
      </w:pPr>
    </w:p>
    <w:p w14:paraId="315310B9">
      <w:pPr>
        <w:pStyle w:val="8"/>
        <w:widowControl/>
        <w:rPr>
          <w:rFonts w:hint="default" w:hAnsi="宋体" w:cs="宋体"/>
          <w:b/>
          <w:sz w:val="30"/>
          <w:szCs w:val="30"/>
        </w:rPr>
      </w:pPr>
    </w:p>
    <w:p w14:paraId="5AB55A81">
      <w:pPr>
        <w:adjustRightInd w:val="0"/>
        <w:snapToGrid w:val="0"/>
        <w:jc w:val="center"/>
        <w:rPr>
          <w:rFonts w:hAnsi="宋体" w:cs="宋体"/>
          <w:b/>
          <w:sz w:val="32"/>
          <w:szCs w:val="32"/>
        </w:rPr>
      </w:pPr>
    </w:p>
    <w:p w14:paraId="7A5DE3C5">
      <w:pPr>
        <w:adjustRightInd w:val="0"/>
        <w:snapToGrid w:val="0"/>
        <w:jc w:val="center"/>
        <w:rPr>
          <w:rFonts w:hAnsi="宋体" w:cs="宋体"/>
          <w:b/>
          <w:sz w:val="32"/>
          <w:szCs w:val="32"/>
        </w:rPr>
      </w:pPr>
    </w:p>
    <w:p w14:paraId="7EF805C2">
      <w:pPr>
        <w:adjustRightInd w:val="0"/>
        <w:snapToGrid w:val="0"/>
        <w:rPr>
          <w:rFonts w:hAnsi="宋体" w:cs="宋体"/>
          <w:b/>
          <w:sz w:val="32"/>
          <w:szCs w:val="32"/>
        </w:rPr>
      </w:pPr>
    </w:p>
    <w:p w14:paraId="0C01D3CC">
      <w:pPr>
        <w:adjustRightInd w:val="0"/>
        <w:snapToGrid w:val="0"/>
        <w:jc w:val="center"/>
        <w:rPr>
          <w:rFonts w:hAnsi="宋体" w:cs="宋体"/>
          <w:b/>
          <w:sz w:val="32"/>
          <w:szCs w:val="32"/>
        </w:rPr>
      </w:pPr>
    </w:p>
    <w:p w14:paraId="3D26F760">
      <w:pPr>
        <w:adjustRightInd w:val="0"/>
        <w:snapToGrid w:val="0"/>
        <w:jc w:val="center"/>
        <w:rPr>
          <w:rFonts w:hAnsi="宋体" w:cs="宋体"/>
          <w:b/>
          <w:sz w:val="32"/>
          <w:szCs w:val="32"/>
        </w:rPr>
      </w:pPr>
    </w:p>
    <w:p w14:paraId="1AECF58B">
      <w:pPr>
        <w:adjustRightInd w:val="0"/>
        <w:snapToGrid w:val="0"/>
        <w:ind w:firstLine="1108" w:firstLineChars="345"/>
        <w:rPr>
          <w:rFonts w:ascii="宋体" w:hAnsi="宋体" w:cs="宋体"/>
          <w:b/>
          <w:sz w:val="32"/>
          <w:szCs w:val="32"/>
        </w:rPr>
      </w:pPr>
    </w:p>
    <w:p w14:paraId="0F949CE8">
      <w:pPr>
        <w:adjustRightInd w:val="0"/>
        <w:snapToGrid w:val="0"/>
        <w:jc w:val="center"/>
        <w:rPr>
          <w:rFonts w:hAnsi="宋体"/>
          <w:b/>
          <w:sz w:val="52"/>
          <w:szCs w:val="52"/>
        </w:rPr>
      </w:pPr>
    </w:p>
    <w:p w14:paraId="535427BA">
      <w:pPr>
        <w:adjustRightInd w:val="0"/>
        <w:snapToGrid w:val="0"/>
        <w:jc w:val="center"/>
        <w:rPr>
          <w:rFonts w:hAnsi="宋体"/>
          <w:b/>
          <w:sz w:val="52"/>
          <w:szCs w:val="52"/>
        </w:rPr>
      </w:pPr>
    </w:p>
    <w:p w14:paraId="5E84F44B">
      <w:pPr>
        <w:pStyle w:val="8"/>
        <w:widowControl/>
        <w:ind w:firstLine="984" w:firstLineChars="350"/>
        <w:rPr>
          <w:rFonts w:hint="default" w:hAnsi="宋体"/>
          <w:b/>
          <w:sz w:val="28"/>
          <w:szCs w:val="18"/>
        </w:rPr>
      </w:pPr>
    </w:p>
    <w:p w14:paraId="287A2B02">
      <w:pPr>
        <w:spacing w:line="360" w:lineRule="auto"/>
        <w:ind w:firstLine="3200" w:firstLineChars="1000"/>
        <w:jc w:val="both"/>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五</w:t>
      </w:r>
      <w:r>
        <w:rPr>
          <w:rFonts w:ascii="黑体" w:hAnsi="黑体" w:eastAsia="黑体"/>
          <w:sz w:val="32"/>
          <w:szCs w:val="32"/>
        </w:rPr>
        <w:t>月</w:t>
      </w:r>
    </w:p>
    <w:p w14:paraId="23712C75">
      <w:pPr>
        <w:spacing w:line="480" w:lineRule="exact"/>
        <w:jc w:val="center"/>
        <w:outlineLvl w:val="0"/>
        <w:rPr>
          <w:rFonts w:hint="eastAsia" w:ascii="黑体" w:hAnsi="黑体" w:eastAsia="黑体" w:cs="宋体"/>
          <w:bCs/>
          <w:sz w:val="30"/>
          <w:szCs w:val="30"/>
        </w:rPr>
      </w:pPr>
    </w:p>
    <w:p w14:paraId="277860EE">
      <w:pPr>
        <w:spacing w:line="480" w:lineRule="exact"/>
        <w:jc w:val="center"/>
        <w:outlineLvl w:val="0"/>
        <w:rPr>
          <w:rFonts w:hint="eastAsia" w:ascii="黑体" w:hAnsi="黑体" w:eastAsia="黑体" w:cs="宋体"/>
          <w:bCs/>
          <w:sz w:val="30"/>
          <w:szCs w:val="30"/>
        </w:rPr>
      </w:pPr>
    </w:p>
    <w:p w14:paraId="4B2B98BD">
      <w:pPr>
        <w:jc w:val="center"/>
        <w:outlineLvl w:val="0"/>
        <w:rPr>
          <w:rFonts w:hint="eastAsia" w:ascii="黑体" w:hAnsi="黑体" w:eastAsia="黑体"/>
          <w:b/>
          <w:spacing w:val="0"/>
          <w:sz w:val="36"/>
          <w:szCs w:val="36"/>
        </w:rPr>
      </w:pPr>
    </w:p>
    <w:p w14:paraId="1912B5D6">
      <w:pPr>
        <w:jc w:val="center"/>
        <w:outlineLvl w:val="0"/>
        <w:rPr>
          <w:rFonts w:hint="eastAsia" w:ascii="黑体" w:hAnsi="黑体" w:eastAsia="黑体"/>
          <w:b/>
          <w:spacing w:val="0"/>
          <w:sz w:val="36"/>
          <w:szCs w:val="36"/>
        </w:rPr>
      </w:pPr>
    </w:p>
    <w:p w14:paraId="7941C048">
      <w:pPr>
        <w:jc w:val="both"/>
        <w:outlineLvl w:val="0"/>
        <w:rPr>
          <w:rFonts w:hint="eastAsia" w:ascii="黑体" w:hAnsi="黑体" w:eastAsia="黑体"/>
          <w:b/>
          <w:spacing w:val="0"/>
          <w:sz w:val="36"/>
          <w:szCs w:val="36"/>
        </w:rPr>
      </w:pPr>
    </w:p>
    <w:p w14:paraId="432EFACF">
      <w:pPr>
        <w:jc w:val="center"/>
        <w:outlineLvl w:val="0"/>
        <w:rPr>
          <w:rFonts w:hint="eastAsia" w:ascii="黑体" w:hAnsi="黑体" w:eastAsia="黑体"/>
          <w:b/>
          <w:spacing w:val="0"/>
          <w:sz w:val="36"/>
          <w:szCs w:val="36"/>
        </w:rPr>
      </w:pPr>
      <w:r>
        <w:rPr>
          <w:rFonts w:hint="eastAsia" w:ascii="黑体" w:hAnsi="黑体" w:eastAsia="黑体"/>
          <w:b/>
          <w:spacing w:val="0"/>
          <w:sz w:val="36"/>
          <w:szCs w:val="36"/>
        </w:rPr>
        <w:t xml:space="preserve"> 湖南铁道职业技术学院市场调研（询价）咨询服务项目</w:t>
      </w:r>
    </w:p>
    <w:p w14:paraId="2421A71E">
      <w:pPr>
        <w:jc w:val="center"/>
        <w:outlineLvl w:val="0"/>
        <w:rPr>
          <w:rFonts w:hint="eastAsia" w:ascii="黑体" w:hAnsi="黑体" w:eastAsia="黑体"/>
          <w:b/>
          <w:spacing w:val="0"/>
          <w:sz w:val="36"/>
          <w:szCs w:val="36"/>
        </w:rPr>
      </w:pPr>
      <w:r>
        <w:rPr>
          <w:rFonts w:hint="eastAsia" w:ascii="黑体" w:hAnsi="黑体" w:eastAsia="黑体"/>
          <w:b/>
          <w:spacing w:val="0"/>
          <w:sz w:val="36"/>
          <w:szCs w:val="36"/>
        </w:rPr>
        <w:t>询比</w:t>
      </w:r>
      <w:r>
        <w:rPr>
          <w:rFonts w:hint="eastAsia" w:ascii="黑体" w:hAnsi="黑体" w:eastAsia="黑体"/>
          <w:b/>
          <w:spacing w:val="0"/>
          <w:sz w:val="36"/>
          <w:szCs w:val="36"/>
          <w:lang w:val="en-US" w:eastAsia="zh-CN"/>
        </w:rPr>
        <w:t>采购</w:t>
      </w:r>
      <w:r>
        <w:rPr>
          <w:rFonts w:hint="eastAsia" w:ascii="黑体" w:hAnsi="黑体" w:eastAsia="黑体"/>
          <w:b/>
          <w:spacing w:val="0"/>
          <w:sz w:val="36"/>
          <w:szCs w:val="36"/>
        </w:rPr>
        <w:t>公告</w:t>
      </w:r>
    </w:p>
    <w:p w14:paraId="7E3F629C">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p>
    <w:p w14:paraId="3A14EE9C">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湖南铁道职业技术学院面向社会公开征集市场调研（询价）咨询服务机构，现采用发布公告方式，邀请符合资格条件的供应商参与采购活动。</w:t>
      </w:r>
    </w:p>
    <w:p w14:paraId="50129FCD">
      <w:pPr>
        <w:pStyle w:val="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一、项目基本情况</w:t>
      </w:r>
    </w:p>
    <w:p w14:paraId="75896019">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1．项目名称：市场调研（询价）咨询服务</w:t>
      </w:r>
    </w:p>
    <w:p w14:paraId="32389D1D">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2．项目内容：</w:t>
      </w:r>
      <w:r>
        <w:rPr>
          <w:rFonts w:hint="eastAsia" w:ascii="仿宋" w:hAnsi="仿宋" w:eastAsia="仿宋"/>
          <w:sz w:val="24"/>
          <w:szCs w:val="24"/>
          <w:lang w:val="en-US" w:eastAsia="zh-CN"/>
        </w:rPr>
        <w:t>为学校全年货物招标采购项目提供全流程市场调研、专业询价、价格核验、参数合规性审查、历史价格对比服务，出具合法合规、真实有效的询价报告，为预算控制与采购实施提供专业价格意见。</w:t>
      </w:r>
    </w:p>
    <w:p w14:paraId="40F02918">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3．服务年限：1年</w:t>
      </w:r>
    </w:p>
    <w:p w14:paraId="5F01E054">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 计费标准：按询价送审金额乘以结算费率计费，结算费率最高限价2‰，超过为无效报价。以上费用均为含税价。本项目按实结算，</w:t>
      </w:r>
      <w:r>
        <w:rPr>
          <w:rFonts w:hint="eastAsia" w:ascii="仿宋" w:hAnsi="仿宋" w:eastAsia="仿宋"/>
          <w:color w:val="auto"/>
          <w:sz w:val="24"/>
          <w:szCs w:val="24"/>
          <w:lang w:val="en-US" w:eastAsia="zh-CN"/>
        </w:rPr>
        <w:t>年结算总金额不超过 8 万</w:t>
      </w:r>
      <w:r>
        <w:rPr>
          <w:rFonts w:hint="eastAsia" w:ascii="仿宋" w:hAnsi="仿宋" w:eastAsia="仿宋"/>
          <w:sz w:val="24"/>
          <w:szCs w:val="24"/>
          <w:lang w:val="en-US" w:eastAsia="zh-CN"/>
        </w:rPr>
        <w:t>。</w:t>
      </w:r>
    </w:p>
    <w:p w14:paraId="4EDED028">
      <w:pPr>
        <w:pStyle w:val="5"/>
        <w:snapToGrid w:val="0"/>
        <w:spacing w:before="0" w:beforeAutospacing="0" w:after="0" w:line="360" w:lineRule="auto"/>
        <w:ind w:left="0" w:leftChars="0" w:firstLine="480" w:firstLineChars="200"/>
        <w:jc w:val="left"/>
        <w:rPr>
          <w:rFonts w:hint="eastAsia"/>
          <w:lang w:val="en-US" w:eastAsia="zh-CN"/>
        </w:rPr>
      </w:pPr>
      <w:r>
        <w:rPr>
          <w:rFonts w:hint="eastAsia" w:ascii="仿宋" w:hAnsi="仿宋" w:eastAsia="仿宋"/>
          <w:sz w:val="24"/>
          <w:szCs w:val="24"/>
          <w:lang w:val="en-US" w:eastAsia="zh-CN"/>
        </w:rPr>
        <w:t>5. 拟选单位数量：3家，建立第三方市场调研询价机构备选库，采购人在库内综合考量、自主选取。</w:t>
      </w:r>
    </w:p>
    <w:p w14:paraId="3FCC1DED">
      <w:pPr>
        <w:pStyle w:val="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38771DD1">
      <w:pPr>
        <w:pStyle w:val="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三、投标文件的提交截止时间、开启时间和地点</w:t>
      </w:r>
    </w:p>
    <w:p w14:paraId="4CBFA8B3">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1．提交截止时间：202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 xml:space="preserve">年 </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 xml:space="preserve"> 月 </w:t>
      </w:r>
      <w:r>
        <w:rPr>
          <w:rFonts w:hint="eastAsia" w:ascii="仿宋" w:hAnsi="仿宋" w:eastAsia="仿宋"/>
          <w:color w:val="auto"/>
          <w:sz w:val="24"/>
          <w:szCs w:val="24"/>
          <w:lang w:val="en-US" w:eastAsia="zh-CN"/>
        </w:rPr>
        <w:t>18</w:t>
      </w:r>
      <w:r>
        <w:rPr>
          <w:rFonts w:hint="eastAsia" w:ascii="仿宋" w:hAnsi="仿宋" w:eastAsia="仿宋"/>
          <w:color w:val="auto"/>
          <w:sz w:val="24"/>
          <w:szCs w:val="24"/>
        </w:rPr>
        <w:t xml:space="preserve"> 日1</w:t>
      </w:r>
      <w:r>
        <w:rPr>
          <w:rFonts w:hint="eastAsia" w:ascii="仿宋" w:hAnsi="仿宋" w:eastAsia="仿宋"/>
          <w:color w:val="auto"/>
          <w:sz w:val="24"/>
          <w:szCs w:val="24"/>
          <w:lang w:val="en-US" w:eastAsia="zh-CN"/>
        </w:rPr>
        <w:t>0</w:t>
      </w:r>
      <w:r>
        <w:rPr>
          <w:rFonts w:hint="eastAsia" w:ascii="仿宋" w:hAnsi="仿宋" w:eastAsia="仿宋"/>
          <w:color w:val="auto"/>
          <w:sz w:val="24"/>
          <w:szCs w:val="24"/>
        </w:rPr>
        <w:t>:00。逾期送达的或者未送达指定地点的投标文件不予受理。</w:t>
      </w:r>
    </w:p>
    <w:p w14:paraId="6FB7C9B2">
      <w:pPr>
        <w:pStyle w:val="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2．开启时间：202</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 xml:space="preserve">年 </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 xml:space="preserve"> 月</w:t>
      </w:r>
      <w:r>
        <w:rPr>
          <w:rFonts w:hint="eastAsia" w:ascii="仿宋" w:hAnsi="仿宋" w:eastAsia="仿宋"/>
          <w:color w:val="auto"/>
          <w:sz w:val="24"/>
          <w:szCs w:val="24"/>
          <w:lang w:val="en-US" w:eastAsia="zh-CN"/>
        </w:rPr>
        <w:t>18</w:t>
      </w:r>
      <w:r>
        <w:rPr>
          <w:rFonts w:hint="eastAsia" w:ascii="仿宋" w:hAnsi="仿宋" w:eastAsia="仿宋"/>
          <w:color w:val="auto"/>
          <w:sz w:val="24"/>
          <w:szCs w:val="24"/>
        </w:rPr>
        <w:t xml:space="preserve"> 日10:00。</w:t>
      </w:r>
    </w:p>
    <w:p w14:paraId="78C1965D">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3．地点：湖南省株洲市</w:t>
      </w:r>
      <w:r>
        <w:rPr>
          <w:rFonts w:hint="eastAsia" w:ascii="仿宋" w:hAnsi="仿宋" w:eastAsia="仿宋"/>
          <w:sz w:val="24"/>
          <w:szCs w:val="24"/>
          <w:lang w:val="en-US" w:eastAsia="zh-CN"/>
        </w:rPr>
        <w:t>云龙示范区职教大学城智慧路1号</w:t>
      </w:r>
      <w:r>
        <w:rPr>
          <w:rFonts w:hint="eastAsia" w:ascii="仿宋" w:hAnsi="仿宋" w:eastAsia="仿宋"/>
          <w:sz w:val="24"/>
          <w:szCs w:val="24"/>
        </w:rPr>
        <w:t xml:space="preserve"> 湖南铁道职业技术学院</w:t>
      </w:r>
      <w:bookmarkStart w:id="0" w:name="OLE_LINK1"/>
      <w:bookmarkStart w:id="1" w:name="OLE_LINK2"/>
      <w:r>
        <w:rPr>
          <w:rFonts w:hint="eastAsia" w:ascii="仿宋" w:hAnsi="仿宋" w:eastAsia="仿宋"/>
          <w:sz w:val="24"/>
          <w:szCs w:val="24"/>
          <w:lang w:val="en-US" w:eastAsia="zh-CN"/>
        </w:rPr>
        <w:t>东</w:t>
      </w:r>
      <w:r>
        <w:rPr>
          <w:rFonts w:hint="eastAsia" w:ascii="仿宋" w:hAnsi="仿宋" w:eastAsia="仿宋"/>
          <w:sz w:val="24"/>
          <w:szCs w:val="24"/>
        </w:rPr>
        <w:t>校区</w:t>
      </w:r>
    </w:p>
    <w:p w14:paraId="35B272C9">
      <w:pPr>
        <w:pStyle w:val="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四、发布公告期限</w:t>
      </w:r>
    </w:p>
    <w:bookmarkEnd w:id="0"/>
    <w:bookmarkEnd w:id="1"/>
    <w:p w14:paraId="19EA4C62">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1．公告发布媒体：湖南铁道职业技术学院官网。</w:t>
      </w:r>
    </w:p>
    <w:p w14:paraId="4C810A64">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2．公告期限从本询比公告发布之日</w:t>
      </w:r>
      <w:r>
        <w:rPr>
          <w:rFonts w:hint="eastAsia" w:ascii="仿宋" w:hAnsi="仿宋" w:eastAsia="仿宋"/>
          <w:b/>
          <w:bCs/>
          <w:color w:val="auto"/>
          <w:sz w:val="24"/>
          <w:szCs w:val="24"/>
          <w:lang w:val="en-US" w:eastAsia="zh-CN"/>
        </w:rPr>
        <w:t>五</w:t>
      </w:r>
      <w:r>
        <w:rPr>
          <w:rFonts w:hint="eastAsia" w:ascii="仿宋" w:hAnsi="仿宋" w:eastAsia="仿宋"/>
          <w:b/>
          <w:bCs/>
          <w:color w:val="auto"/>
          <w:sz w:val="24"/>
          <w:szCs w:val="24"/>
        </w:rPr>
        <w:t>个工作日</w:t>
      </w:r>
      <w:r>
        <w:rPr>
          <w:rFonts w:hint="eastAsia" w:ascii="仿宋" w:hAnsi="仿宋" w:eastAsia="仿宋"/>
          <w:sz w:val="24"/>
          <w:szCs w:val="24"/>
        </w:rPr>
        <w:t>。</w:t>
      </w:r>
    </w:p>
    <w:p w14:paraId="0C946E80">
      <w:pPr>
        <w:pStyle w:val="2"/>
        <w:snapToGrid w:val="0"/>
        <w:spacing w:before="0" w:after="0" w:line="360" w:lineRule="auto"/>
        <w:ind w:firstLine="470" w:firstLineChars="195"/>
        <w:jc w:val="left"/>
        <w:rPr>
          <w:rFonts w:hint="eastAsia" w:ascii="仿宋" w:hAnsi="仿宋" w:eastAsia="仿宋" w:cs="宋体"/>
          <w:bCs w:val="0"/>
          <w:kern w:val="0"/>
          <w:sz w:val="24"/>
          <w:szCs w:val="24"/>
        </w:rPr>
      </w:pPr>
      <w:bookmarkStart w:id="2" w:name="_Toc58335833"/>
      <w:r>
        <w:rPr>
          <w:rFonts w:hint="eastAsia" w:ascii="仿宋" w:hAnsi="仿宋" w:eastAsia="仿宋" w:cs="宋体"/>
          <w:bCs w:val="0"/>
          <w:kern w:val="0"/>
          <w:sz w:val="24"/>
          <w:szCs w:val="24"/>
        </w:rPr>
        <w:t>五、疑问及质疑</w:t>
      </w:r>
      <w:bookmarkEnd w:id="2"/>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569C305A">
      <w:pPr>
        <w:snapToGrid w:val="0"/>
        <w:spacing w:line="360" w:lineRule="auto"/>
        <w:ind w:firstLine="480" w:firstLineChars="200"/>
        <w:jc w:val="left"/>
        <w:rPr>
          <w:rFonts w:hint="eastAsia"/>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0D78806A">
      <w:pPr>
        <w:pStyle w:val="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lang w:val="en-US" w:eastAsia="zh-CN"/>
        </w:rPr>
        <w:t>六</w:t>
      </w:r>
      <w:r>
        <w:rPr>
          <w:rFonts w:hint="eastAsia" w:ascii="仿宋" w:hAnsi="仿宋" w:eastAsia="仿宋"/>
          <w:b/>
          <w:bCs/>
          <w:sz w:val="24"/>
          <w:szCs w:val="24"/>
        </w:rPr>
        <w:t>、联系方式</w:t>
      </w:r>
    </w:p>
    <w:p w14:paraId="62E30D11">
      <w:pPr>
        <w:pStyle w:val="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采购人：湖南铁道职业技术学院</w:t>
      </w:r>
    </w:p>
    <w:p w14:paraId="1963CFC4">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地址：湖南省株洲市</w:t>
      </w:r>
      <w:r>
        <w:rPr>
          <w:rFonts w:hint="eastAsia" w:ascii="仿宋" w:hAnsi="仿宋" w:eastAsia="仿宋"/>
          <w:sz w:val="24"/>
          <w:szCs w:val="24"/>
          <w:lang w:val="en-US" w:eastAsia="zh-CN"/>
        </w:rPr>
        <w:t>云龙示范区职教大学城智慧路1号</w:t>
      </w:r>
    </w:p>
    <w:p w14:paraId="14044165">
      <w:pPr>
        <w:pStyle w:val="5"/>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 xml:space="preserve">联系人：刘老师  </w:t>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ab/>
      </w:r>
      <w:r>
        <w:rPr>
          <w:rFonts w:hint="eastAsia" w:ascii="仿宋" w:hAnsi="仿宋" w:eastAsia="仿宋"/>
          <w:sz w:val="24"/>
          <w:szCs w:val="24"/>
        </w:rPr>
        <w:t>联系电话：</w:t>
      </w:r>
      <w:r>
        <w:rPr>
          <w:rFonts w:hint="eastAsia" w:ascii="仿宋" w:hAnsi="仿宋" w:eastAsia="仿宋"/>
          <w:sz w:val="24"/>
          <w:szCs w:val="24"/>
          <w:lang w:val="en-US" w:eastAsia="zh-CN"/>
        </w:rPr>
        <w:t>13507335467</w:t>
      </w:r>
    </w:p>
    <w:p w14:paraId="737B456F">
      <w:pPr>
        <w:spacing w:line="480" w:lineRule="exact"/>
        <w:jc w:val="center"/>
        <w:outlineLvl w:val="0"/>
        <w:rPr>
          <w:rFonts w:hint="eastAsia" w:ascii="仿宋" w:hAnsi="仿宋" w:eastAsia="仿宋" w:cs="Times New Roman"/>
          <w:kern w:val="2"/>
          <w:sz w:val="24"/>
          <w:szCs w:val="24"/>
          <w:lang w:val="en-US" w:eastAsia="zh-CN" w:bidi="ar-SA"/>
        </w:rPr>
      </w:pPr>
      <w:r>
        <w:rPr>
          <w:rFonts w:ascii="Calibri" w:hAnsi="Calibri"/>
          <w:bCs/>
          <w:sz w:val="24"/>
          <w:szCs w:val="24"/>
        </w:rPr>
        <w:br w:type="page"/>
      </w:r>
      <w:r>
        <w:rPr>
          <w:rFonts w:hint="eastAsia" w:ascii="仿宋" w:hAnsi="仿宋" w:eastAsia="仿宋" w:cs="Times New Roman"/>
          <w:b/>
          <w:bCs/>
          <w:kern w:val="2"/>
          <w:sz w:val="32"/>
          <w:szCs w:val="32"/>
          <w:lang w:val="en-US" w:eastAsia="zh-CN" w:bidi="ar-SA"/>
        </w:rPr>
        <w:t xml:space="preserve"> </w:t>
      </w: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5B239B7A">
      <w:pPr>
        <w:pStyle w:val="5"/>
        <w:snapToGrid w:val="0"/>
        <w:spacing w:before="0" w:beforeAutospacing="0" w:after="0" w:line="360" w:lineRule="auto"/>
        <w:ind w:left="0" w:leftChars="0" w:firstLine="482" w:firstLineChars="200"/>
        <w:jc w:val="left"/>
        <w:rPr>
          <w:rFonts w:hint="eastAsia" w:ascii="仿宋" w:hAnsi="仿宋" w:eastAsia="仿宋"/>
          <w:b/>
          <w:bCs/>
          <w:sz w:val="24"/>
          <w:szCs w:val="24"/>
          <w:lang w:val="en-US" w:eastAsia="zh-CN"/>
        </w:rPr>
      </w:pPr>
      <w:r>
        <w:rPr>
          <w:rFonts w:hint="eastAsia" w:ascii="仿宋" w:hAnsi="仿宋" w:eastAsia="仿宋"/>
          <w:b/>
          <w:bCs/>
          <w:sz w:val="24"/>
          <w:szCs w:val="24"/>
          <w:lang w:val="en-US" w:eastAsia="zh-CN"/>
        </w:rPr>
        <w:t>一、采购项目基本情况</w:t>
      </w:r>
    </w:p>
    <w:p w14:paraId="3F1824B1">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1．项目名称：市场调研（询价）咨询服务</w:t>
      </w:r>
    </w:p>
    <w:p w14:paraId="25055AAD">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2．项目内容：为学校全年货物招标采购项目提供全流程市场调研、专业询价、价格核验、参数合规性审查、历史价格对比服务，出具合法合规、真实有效的询价报告，为预算控制与采购实施提供专业价格意见。</w:t>
      </w:r>
    </w:p>
    <w:p w14:paraId="18028555">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3．服务年限：1年</w:t>
      </w:r>
    </w:p>
    <w:p w14:paraId="43AEA2E0">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 计费标准：按询价送审金额乘以结算费率计费，结算费率最高限价2‰，超过为无效报价。以上费用均为含税价。本项目按实结算，</w:t>
      </w:r>
      <w:r>
        <w:rPr>
          <w:rFonts w:hint="eastAsia" w:ascii="仿宋" w:hAnsi="仿宋" w:eastAsia="仿宋"/>
          <w:color w:val="auto"/>
          <w:sz w:val="24"/>
          <w:szCs w:val="24"/>
          <w:lang w:val="en-US" w:eastAsia="zh-CN"/>
        </w:rPr>
        <w:t>年结算总金额不超过 8 万。</w:t>
      </w:r>
    </w:p>
    <w:p w14:paraId="5344D60E">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5. 拟选单位数量：3家，建立第三方市场调研询价机构备选库，采购人在库内综合考量、自主选取。</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w:t>
      </w:r>
      <w:r>
        <w:rPr>
          <w:rFonts w:hint="eastAsia" w:ascii="仿宋" w:hAnsi="仿宋" w:eastAsia="仿宋" w:cstheme="minorEastAsia"/>
          <w:b/>
          <w:sz w:val="24"/>
          <w:szCs w:val="24"/>
          <w:lang w:val="en-US" w:eastAsia="zh-CN"/>
        </w:rPr>
        <w:t>服务</w:t>
      </w:r>
      <w:r>
        <w:rPr>
          <w:rFonts w:hint="eastAsia" w:ascii="仿宋" w:hAnsi="仿宋" w:eastAsia="仿宋" w:cstheme="minorEastAsia"/>
          <w:b/>
          <w:sz w:val="24"/>
          <w:szCs w:val="24"/>
        </w:rPr>
        <w:t>内容及要求</w:t>
      </w:r>
    </w:p>
    <w:p w14:paraId="31B13CFE">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1.委托市场调研询价</w:t>
      </w:r>
    </w:p>
    <w:p w14:paraId="2FCAD429">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委托开展货物类采购项目询价咨询业务,为服务期内的采购项目提供合理有效的市场调研询价数据。包括通过独立开展市场调研询价，采集甲方提交的货物材料设备的市场价格数据，并对数据进行科学的询价、整理及统计分析，并提供成果报告的电子文件及纸质盖章文件，报告中包含调研人(市场调研、数据分析、报告编撰审核等人员)、调研对象、调研时间、调研方法、调研结论等内容。</w:t>
      </w:r>
    </w:p>
    <w:p w14:paraId="5CB8F0A0">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2.服务内容</w:t>
      </w:r>
    </w:p>
    <w:p w14:paraId="3B986FAA">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按照国家的法律、法规、规章及执业准则的要求进行调研询价，坚持独立、客观、公正的原则出具调研询价报告（电子文件及纸质盖章文件），保证调研询价报告的真实性、合法性。</w:t>
      </w:r>
    </w:p>
    <w:p w14:paraId="15896406">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按照采购人时间要求和质量要求开展调研询价工作，保证委托调研询价工作方案中调研询价内容和调研询价重点全面到位，严格遵循执业准则；调研询价工作中发现的重大问题或线索及时报告。</w:t>
      </w:r>
    </w:p>
    <w:p w14:paraId="64B88BD3">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配合采购人处理前期市场调研及审核各项目规格参数是否完整，并协助进行补充：</w:t>
      </w:r>
    </w:p>
    <w:p w14:paraId="435F13FD">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(1)采购项目是否合理、合法；</w:t>
      </w:r>
    </w:p>
    <w:p w14:paraId="6DD3818B">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(2)采购项目所购置货物的名称、规格、质量要求是否明确；</w:t>
      </w:r>
    </w:p>
    <w:p w14:paraId="5E8B189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(3)采购项目所购置货物的数量、单价是否合理，依据是否真实，计算是否正确。</w:t>
      </w:r>
    </w:p>
    <w:p w14:paraId="29F6F58E">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(4)及时反馈采购项目技术参数是否具有指向性，通过市场调研询价确认是否有不少于三家不同品牌厂家能满足所有技术参数；</w:t>
      </w:r>
    </w:p>
    <w:p w14:paraId="6F7FE488">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供应商提供的有效的成果报告中应包含以下内容：</w:t>
      </w:r>
    </w:p>
    <w:p w14:paraId="70A5B08A">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(1)第三方结论报告函；</w:t>
      </w:r>
    </w:p>
    <w:p w14:paraId="003F8347">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(2)询价服务团队；</w:t>
      </w:r>
    </w:p>
    <w:p w14:paraId="15177B03">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(3)询价时间和方法；</w:t>
      </w:r>
    </w:p>
    <w:p w14:paraId="695F2B0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★(4)三家及以上不同品牌厂家市场报价数据及情况分析；</w:t>
      </w:r>
    </w:p>
    <w:p w14:paraId="281DE02F">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(5)历史成交记录对比分析：含同品牌型号或同类设备历史成交记录三个以上等其他必要材料；</w:t>
      </w:r>
    </w:p>
    <w:p w14:paraId="4BD38F25">
      <w:pPr>
        <w:pStyle w:val="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★(6)项目市场调查分析（表）：通过全面的数据统计整理，体现如何得出综合建议价格结论。</w:t>
      </w:r>
    </w:p>
    <w:p w14:paraId="2EB2F1AD">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三、服务时限要求</w:t>
      </w:r>
    </w:p>
    <w:p w14:paraId="0B967D2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中小批量项目：1–3个工作日提交结果</w:t>
      </w:r>
    </w:p>
    <w:p w14:paraId="34684846">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大批量项目：4–7个工作日提交结果</w:t>
      </w:r>
    </w:p>
    <w:p w14:paraId="3D90DC53">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紧急项目按采购人要求加急完成。</w:t>
      </w:r>
    </w:p>
    <w:p w14:paraId="566222CA">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四、服务要求</w:t>
      </w:r>
    </w:p>
    <w:p w14:paraId="019EFFDD">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独立、客观、公正，不得出具虚假报告，承担相应法律与执业风险。</w:t>
      </w:r>
    </w:p>
    <w:p w14:paraId="6AA7496C">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严格保密，不得泄露采购项目信息、价格数据、联系人信息等商业秘密。</w:t>
      </w:r>
    </w:p>
    <w:p w14:paraId="6E374B6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服务方式：线上为主，必要时免费上门对接。</w:t>
      </w:r>
    </w:p>
    <w:p w14:paraId="4BF9C31F">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服务期满提交：</w:t>
      </w:r>
    </w:p>
    <w:p w14:paraId="3A9344D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（1）全年询价成果纸质汇编2份；</w:t>
      </w:r>
    </w:p>
    <w:p w14:paraId="009766D8">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（2）年度服务分析总结报告2份。</w:t>
      </w:r>
    </w:p>
    <w:p w14:paraId="70BEE479">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五、商务与报价要求</w:t>
      </w:r>
    </w:p>
    <w:p w14:paraId="1A41BD0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最高限价：结算费率2.0‰；费用含税，包干价（含人工、交通、通讯、税费等所有成本）。</w:t>
      </w:r>
    </w:p>
    <w:p w14:paraId="6B43F17B">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结算方式：按实结算，年度结算总额不超过8万元。</w:t>
      </w:r>
    </w:p>
    <w:p w14:paraId="0AA6C62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支付方式：半年结算一次；供应商提交完整成果、明细、发票，经采购方审核后国库集中支付。</w:t>
      </w:r>
    </w:p>
    <w:p w14:paraId="0A264DA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入库统一结算费率规则：</w:t>
      </w:r>
      <w:r>
        <w:rPr>
          <w:rFonts w:hint="eastAsia" w:ascii="仿宋" w:hAnsi="仿宋" w:eastAsia="仿宋" w:cs="仿宋"/>
          <w:color w:val="333333"/>
          <w:kern w:val="0"/>
          <w:sz w:val="24"/>
          <w:szCs w:val="24"/>
        </w:rPr>
        <w:t>经评审得分前</w:t>
      </w:r>
      <w:r>
        <w:rPr>
          <w:rFonts w:hint="eastAsia" w:ascii="仿宋" w:hAnsi="仿宋" w:eastAsia="仿宋" w:cs="仿宋"/>
          <w:color w:val="333333"/>
          <w:kern w:val="0"/>
          <w:sz w:val="24"/>
          <w:szCs w:val="24"/>
          <w:lang w:val="en-US" w:eastAsia="zh-CN"/>
        </w:rPr>
        <w:t>三</w:t>
      </w:r>
      <w:r>
        <w:rPr>
          <w:rFonts w:hint="eastAsia" w:ascii="仿宋" w:hAnsi="仿宋" w:eastAsia="仿宋" w:cs="仿宋"/>
          <w:color w:val="333333"/>
          <w:kern w:val="0"/>
          <w:sz w:val="24"/>
          <w:szCs w:val="24"/>
        </w:rPr>
        <w:t>位的供应商为</w:t>
      </w:r>
      <w:r>
        <w:rPr>
          <w:rFonts w:hint="eastAsia" w:ascii="仿宋" w:hAnsi="仿宋" w:eastAsia="仿宋" w:cs="仿宋"/>
          <w:color w:val="333333"/>
          <w:kern w:val="0"/>
          <w:sz w:val="24"/>
          <w:szCs w:val="24"/>
          <w:lang w:val="en-US" w:eastAsia="zh-CN"/>
        </w:rPr>
        <w:t>成交</w:t>
      </w:r>
      <w:r>
        <w:rPr>
          <w:rFonts w:hint="eastAsia" w:ascii="仿宋" w:hAnsi="仿宋" w:eastAsia="仿宋" w:cs="仿宋"/>
          <w:color w:val="333333"/>
          <w:kern w:val="0"/>
          <w:sz w:val="24"/>
          <w:szCs w:val="24"/>
        </w:rPr>
        <w:t>供应商，签订合同将以</w:t>
      </w:r>
      <w:r>
        <w:rPr>
          <w:rFonts w:hint="eastAsia" w:ascii="仿宋" w:hAnsi="仿宋" w:eastAsia="仿宋" w:cs="仿宋"/>
          <w:color w:val="333333"/>
          <w:kern w:val="0"/>
          <w:sz w:val="24"/>
          <w:szCs w:val="24"/>
          <w:lang w:val="en-US" w:eastAsia="zh-CN"/>
        </w:rPr>
        <w:t>三</w:t>
      </w:r>
      <w:r>
        <w:rPr>
          <w:rFonts w:hint="eastAsia" w:ascii="仿宋" w:hAnsi="仿宋" w:eastAsia="仿宋" w:cs="仿宋"/>
          <w:color w:val="333333"/>
          <w:kern w:val="0"/>
          <w:sz w:val="24"/>
          <w:szCs w:val="24"/>
        </w:rPr>
        <w:t>家</w:t>
      </w:r>
      <w:r>
        <w:rPr>
          <w:rFonts w:hint="eastAsia" w:ascii="仿宋" w:hAnsi="仿宋" w:eastAsia="仿宋" w:cs="仿宋"/>
          <w:color w:val="333333"/>
          <w:kern w:val="0"/>
          <w:sz w:val="24"/>
          <w:szCs w:val="24"/>
          <w:lang w:val="en-US" w:eastAsia="zh-CN"/>
        </w:rPr>
        <w:t>供应商</w:t>
      </w:r>
      <w:r>
        <w:rPr>
          <w:rFonts w:hint="eastAsia" w:ascii="仿宋" w:hAnsi="仿宋" w:eastAsia="仿宋" w:cs="仿宋"/>
          <w:color w:val="333333"/>
          <w:kern w:val="0"/>
          <w:sz w:val="24"/>
          <w:szCs w:val="24"/>
        </w:rPr>
        <w:t>投标费率平均值计取（小数点保留一位）</w:t>
      </w:r>
      <w:r>
        <w:rPr>
          <w:rFonts w:hint="eastAsia" w:ascii="仿宋" w:hAnsi="仿宋" w:eastAsia="仿宋" w:cs="仿宋"/>
          <w:color w:val="333333"/>
          <w:kern w:val="0"/>
          <w:sz w:val="24"/>
          <w:szCs w:val="24"/>
          <w:lang w:eastAsia="zh-CN"/>
        </w:rPr>
        <w:t>，</w:t>
      </w:r>
      <w:r>
        <w:rPr>
          <w:rFonts w:hint="eastAsia" w:ascii="仿宋" w:hAnsi="仿宋" w:eastAsia="仿宋" w:cs="Times New Roman"/>
          <w:kern w:val="2"/>
          <w:sz w:val="24"/>
          <w:szCs w:val="24"/>
          <w:lang w:val="en-US" w:eastAsia="zh-CN" w:bidi="ar-SA"/>
        </w:rPr>
        <w:t>不接受者视为放弃中标，采购人顺延选取。</w:t>
      </w:r>
    </w:p>
    <w:p w14:paraId="3B705171">
      <w:pPr>
        <w:spacing w:line="400" w:lineRule="exact"/>
        <w:ind w:firstLine="482" w:firstLineChars="20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六、考核与终止条款</w:t>
      </w:r>
    </w:p>
    <w:p w14:paraId="2A9BE7F6">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入库供应商有下列情形之一，采购人有权终止协议、清退出库，并追究责任：</w:t>
      </w:r>
    </w:p>
    <w:p w14:paraId="49A3DBC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 无正当理由拒绝委托任务；</w:t>
      </w:r>
    </w:p>
    <w:p w14:paraId="0235A357">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 未按时限、质量提供服务；</w:t>
      </w:r>
    </w:p>
    <w:p w14:paraId="6796EA7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 有效投诉3次及以上并查实；</w:t>
      </w:r>
    </w:p>
    <w:p w14:paraId="2E1126C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 超标准收费；</w:t>
      </w:r>
    </w:p>
    <w:p w14:paraId="17A4952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 转包、分包委托项目；</w:t>
      </w:r>
    </w:p>
    <w:p w14:paraId="10BE20AF">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 串通出具虚假报告；</w:t>
      </w:r>
    </w:p>
    <w:p w14:paraId="7FA113A0">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7. 泄密、违规使用信息；</w:t>
      </w:r>
    </w:p>
    <w:p w14:paraId="11F5BDB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8. 年度考核不合格/排名末位；</w:t>
      </w:r>
    </w:p>
    <w:p w14:paraId="1C72CD5C">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9. 其他违法违规、违反协议行为。</w:t>
      </w:r>
    </w:p>
    <w:p w14:paraId="464B3987">
      <w:pPr>
        <w:spacing w:line="480" w:lineRule="exact"/>
        <w:jc w:val="center"/>
        <w:outlineLvl w:val="0"/>
        <w:rPr>
          <w:rFonts w:hint="eastAsia" w:ascii="仿宋" w:hAnsi="仿宋" w:eastAsia="仿宋" w:cs="Times New Roman"/>
          <w:kern w:val="2"/>
          <w:sz w:val="24"/>
          <w:szCs w:val="24"/>
          <w:lang w:val="en-US" w:eastAsia="zh-CN" w:bidi="ar-SA"/>
        </w:rPr>
      </w:pPr>
    </w:p>
    <w:p w14:paraId="7F1D020D">
      <w:pPr>
        <w:spacing w:line="480" w:lineRule="exact"/>
        <w:jc w:val="center"/>
        <w:outlineLvl w:val="0"/>
        <w:rPr>
          <w:rFonts w:hint="eastAsia" w:ascii="仿宋" w:hAnsi="仿宋" w:eastAsia="仿宋" w:cs="Times New Roman"/>
          <w:b/>
          <w:bCs/>
          <w:kern w:val="2"/>
          <w:sz w:val="36"/>
          <w:szCs w:val="36"/>
          <w:lang w:val="en-US" w:eastAsia="zh-CN" w:bidi="ar-SA"/>
        </w:rPr>
      </w:pPr>
      <w:r>
        <w:rPr>
          <w:rFonts w:hint="eastAsia" w:ascii="仿宋" w:hAnsi="仿宋" w:eastAsia="仿宋" w:cs="Times New Roman"/>
          <w:b/>
          <w:bCs/>
          <w:kern w:val="2"/>
          <w:sz w:val="32"/>
          <w:szCs w:val="32"/>
          <w:lang w:val="en-US" w:eastAsia="zh-CN" w:bidi="ar-SA"/>
        </w:rPr>
        <w:t xml:space="preserve"> </w:t>
      </w:r>
      <w:r>
        <w:rPr>
          <w:rFonts w:hint="eastAsia" w:ascii="仿宋" w:hAnsi="仿宋" w:eastAsia="仿宋" w:cs="Times New Roman"/>
          <w:b/>
          <w:bCs/>
          <w:kern w:val="2"/>
          <w:sz w:val="36"/>
          <w:szCs w:val="36"/>
          <w:lang w:val="en-US" w:eastAsia="zh-CN" w:bidi="ar-SA"/>
        </w:rPr>
        <w:t>二、 评标办法和标准</w:t>
      </w:r>
    </w:p>
    <w:p w14:paraId="16E49D91">
      <w:pPr>
        <w:spacing w:line="400" w:lineRule="exact"/>
        <w:ind w:firstLine="482" w:firstLineChars="200"/>
        <w:outlineLvl w:val="1"/>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一、评标办法</w:t>
      </w:r>
    </w:p>
    <w:p w14:paraId="5B7D8C6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1．询比小组：评审由采购人组建评审小组，评审小组一般为三人及以上单数。</w:t>
      </w:r>
    </w:p>
    <w:p w14:paraId="7A81401C">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2．评审方法：综合评分法，即响应文件能够最大限度的满足询比采购文件规定的各项综合评价标准且经评审得分前三位的投标人为成交投标人的评标方法。本采购项目的评分标准见表1。</w:t>
      </w:r>
    </w:p>
    <w:p w14:paraId="4B855E71">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3．比较与评价</w:t>
      </w:r>
    </w:p>
    <w:p w14:paraId="5685010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3.1  询比小组应按照询比采购文件中规定的评审方法、标准和评标因素，对资格性检查合格的响应文件进行评估，综合比较与评价。</w:t>
      </w:r>
    </w:p>
    <w:p w14:paraId="62F68CDF">
      <w:pPr>
        <w:pStyle w:val="7"/>
        <w:spacing w:before="69" w:line="312" w:lineRule="auto"/>
        <w:ind w:firstLine="425"/>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3.2  评审时，询比小组各成员应当独立对每个投标人的响应文件进行评价、评分，然后汇总每个投标人每项评分因素的得分，每个投标人的最终得分为所有评标小组成员评分的算术平均值。</w:t>
      </w:r>
    </w:p>
    <w:p w14:paraId="03326C4A">
      <w:pPr>
        <w:pStyle w:val="7"/>
        <w:spacing w:before="69" w:line="312" w:lineRule="auto"/>
        <w:ind w:firstLine="425"/>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3.3评标结果按评审后得分由高到低顺序排列。得分相同的，按投标报价由低到高顺序排列。得分且投标报价相同的并列，按商务指标优劣顺序排列，商务指标也相同时，采取随机抽取的方式确定。</w:t>
      </w:r>
    </w:p>
    <w:p w14:paraId="7B225139">
      <w:pPr>
        <w:pStyle w:val="7"/>
        <w:spacing w:before="69" w:line="312" w:lineRule="auto"/>
        <w:ind w:firstLine="425"/>
        <w:rPr>
          <w:rFonts w:hint="eastAsia" w:ascii="仿宋" w:hAnsi="仿宋" w:eastAsia="仿宋" w:cs="Times New Roman"/>
          <w:kern w:val="2"/>
          <w:sz w:val="24"/>
          <w:szCs w:val="24"/>
          <w:lang w:val="en-US" w:eastAsia="zh-CN" w:bidi="ar-SA"/>
        </w:rPr>
      </w:pPr>
    </w:p>
    <w:p w14:paraId="573E8B6E">
      <w:pPr>
        <w:spacing w:line="400" w:lineRule="exact"/>
        <w:ind w:firstLine="480" w:firstLineChars="200"/>
        <w:outlineLvl w:val="1"/>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二、评分标准</w:t>
      </w:r>
    </w:p>
    <w:p w14:paraId="091BD0B3">
      <w:pPr>
        <w:spacing w:line="400" w:lineRule="exact"/>
        <w:jc w:val="center"/>
        <w:rPr>
          <w:rFonts w:hint="eastAsia" w:ascii="仿宋" w:hAnsi="仿宋" w:eastAsia="仿宋" w:cs="Times New Roman"/>
          <w:kern w:val="2"/>
          <w:sz w:val="24"/>
          <w:szCs w:val="24"/>
          <w:lang w:val="en-US" w:eastAsia="zh-CN" w:bidi="ar-SA"/>
        </w:rPr>
      </w:pPr>
      <w:bookmarkStart w:id="3" w:name="_Toc460946140"/>
      <w:r>
        <w:rPr>
          <w:rFonts w:hint="eastAsia" w:ascii="仿宋" w:hAnsi="仿宋" w:eastAsia="仿宋" w:cs="Times New Roman"/>
          <w:kern w:val="2"/>
          <w:sz w:val="24"/>
          <w:szCs w:val="24"/>
          <w:lang w:val="en-US" w:eastAsia="zh-CN" w:bidi="ar-SA"/>
        </w:rPr>
        <w:t>表1  综合评分表</w:t>
      </w:r>
      <w:bookmarkEnd w:id="3"/>
    </w:p>
    <w:tbl>
      <w:tblPr>
        <w:tblStyle w:val="13"/>
        <w:tblW w:w="91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1276"/>
        <w:gridCol w:w="6631"/>
      </w:tblGrid>
      <w:tr w14:paraId="4B0D62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7B475AB2">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评审内容</w:t>
            </w:r>
          </w:p>
        </w:tc>
        <w:tc>
          <w:tcPr>
            <w:tcW w:w="1276" w:type="dxa"/>
            <w:vAlign w:val="center"/>
          </w:tcPr>
          <w:p w14:paraId="541C9D0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评审因素</w:t>
            </w:r>
          </w:p>
        </w:tc>
        <w:tc>
          <w:tcPr>
            <w:tcW w:w="6631" w:type="dxa"/>
            <w:vAlign w:val="center"/>
          </w:tcPr>
          <w:p w14:paraId="3076733A">
            <w:pPr>
              <w:spacing w:line="400" w:lineRule="exact"/>
              <w:ind w:firstLine="480" w:firstLineChars="200"/>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评分标准</w:t>
            </w:r>
          </w:p>
        </w:tc>
      </w:tr>
      <w:tr w14:paraId="50B44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restart"/>
            <w:vAlign w:val="center"/>
          </w:tcPr>
          <w:p w14:paraId="4AC1586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技术部分</w:t>
            </w:r>
          </w:p>
          <w:p w14:paraId="010010A2">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（40分）</w:t>
            </w:r>
          </w:p>
        </w:tc>
        <w:tc>
          <w:tcPr>
            <w:tcW w:w="1276" w:type="dxa"/>
            <w:vAlign w:val="center"/>
          </w:tcPr>
          <w:p w14:paraId="45DEEA2E">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项目服务方案</w:t>
            </w:r>
          </w:p>
          <w:p w14:paraId="7D287B9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w:t>
            </w:r>
          </w:p>
        </w:tc>
        <w:tc>
          <w:tcPr>
            <w:tcW w:w="6631" w:type="dxa"/>
            <w:vAlign w:val="center"/>
          </w:tcPr>
          <w:p w14:paraId="3138F3D6">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根据供应商提供的服务方案进行计分，内容包括但不限于：</w:t>
            </w:r>
          </w:p>
          <w:p w14:paraId="3A80BDF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1、咨询服务的目标；</w:t>
            </w:r>
          </w:p>
          <w:p w14:paraId="6893DBAA">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2、咨询服务的内容；</w:t>
            </w:r>
          </w:p>
          <w:p w14:paraId="1595422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3、咨询服务的程序；</w:t>
            </w:r>
          </w:p>
          <w:p w14:paraId="638D118A">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4、咨询服务的方式方法；</w:t>
            </w:r>
          </w:p>
          <w:p w14:paraId="5F2E263D">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5、咨询服务的实施要点。</w:t>
            </w:r>
          </w:p>
          <w:p w14:paraId="55845BE6">
            <w:pPr>
              <w:spacing w:line="400" w:lineRule="exact"/>
              <w:rPr>
                <w:rFonts w:hint="eastAsia" w:ascii="仿宋" w:hAnsi="仿宋" w:eastAsia="仿宋" w:cs="Times New Roman"/>
                <w:b/>
                <w:bCs/>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对投标人提供的项目服务方案进行评价，满足需求、完整合理、针对性强的每项计2分，不够完善的每项计1分，未提供的不计分，最高得10分。</w:t>
            </w:r>
          </w:p>
          <w:p w14:paraId="3B9BCEE9">
            <w:pPr>
              <w:spacing w:line="400" w:lineRule="exact"/>
              <w:rPr>
                <w:rFonts w:hint="eastAsia" w:ascii="仿宋" w:hAnsi="仿宋" w:eastAsia="仿宋" w:cs="Times New Roman"/>
                <w:b/>
                <w:bCs/>
                <w:kern w:val="2"/>
                <w:sz w:val="24"/>
                <w:szCs w:val="24"/>
                <w:lang w:val="en-US" w:eastAsia="zh-CN" w:bidi="ar-SA"/>
              </w:rPr>
            </w:pPr>
          </w:p>
        </w:tc>
      </w:tr>
      <w:tr w14:paraId="255E7F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49EB418F">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center"/>
          </w:tcPr>
          <w:p w14:paraId="5FE5C8B5">
            <w:pPr>
              <w:spacing w:line="400" w:lineRule="exact"/>
              <w:ind w:left="240" w:hanging="240" w:hangingChars="100"/>
              <w:rPr>
                <w:rFonts w:hint="eastAsia" w:ascii="仿宋" w:hAnsi="仿宋" w:eastAsia="仿宋" w:cs="Times New Roman"/>
                <w:kern w:val="2"/>
                <w:sz w:val="24"/>
                <w:szCs w:val="24"/>
                <w:lang w:val="en-US" w:eastAsia="zh-CN" w:bidi="ar-SA"/>
              </w:rPr>
            </w:pPr>
          </w:p>
          <w:p w14:paraId="22A4A865">
            <w:pPr>
              <w:spacing w:line="400" w:lineRule="exact"/>
              <w:ind w:left="240" w:hanging="240" w:hangingChars="100"/>
              <w:rPr>
                <w:rFonts w:hint="eastAsia" w:ascii="仿宋" w:hAnsi="仿宋" w:eastAsia="仿宋" w:cs="Times New Roman"/>
                <w:kern w:val="2"/>
                <w:sz w:val="24"/>
                <w:szCs w:val="24"/>
                <w:lang w:val="en-US" w:eastAsia="zh-CN" w:bidi="ar-SA"/>
              </w:rPr>
            </w:pPr>
          </w:p>
          <w:p w14:paraId="69319384">
            <w:pPr>
              <w:spacing w:line="400" w:lineRule="exact"/>
              <w:ind w:left="240" w:hanging="240" w:hangingChars="100"/>
              <w:rPr>
                <w:rFonts w:hint="eastAsia" w:ascii="仿宋" w:hAnsi="仿宋" w:eastAsia="仿宋" w:cs="Times New Roman"/>
                <w:kern w:val="2"/>
                <w:sz w:val="24"/>
                <w:szCs w:val="24"/>
                <w:lang w:val="en-US" w:eastAsia="zh-CN" w:bidi="ar-SA"/>
              </w:rPr>
            </w:pPr>
          </w:p>
          <w:p w14:paraId="2042DB88">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成果文件方案</w:t>
            </w:r>
          </w:p>
          <w:p w14:paraId="3DEBE235">
            <w:pPr>
              <w:spacing w:line="400" w:lineRule="exac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（14分）</w:t>
            </w:r>
          </w:p>
        </w:tc>
        <w:tc>
          <w:tcPr>
            <w:tcW w:w="6631" w:type="dxa"/>
            <w:shd w:val="clear" w:color="auto" w:fill="auto"/>
            <w:vAlign w:val="center"/>
          </w:tcPr>
          <w:p w14:paraId="1A1C4688">
            <w:pPr>
              <w:spacing w:line="400" w:lineRule="exact"/>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供应商提供的方案要包含</w:t>
            </w:r>
            <w:r>
              <w:rPr>
                <w:rFonts w:hint="eastAsia" w:ascii="仿宋" w:hAnsi="仿宋" w:eastAsia="仿宋" w:cs="Times New Roman"/>
                <w:kern w:val="2"/>
                <w:sz w:val="24"/>
                <w:szCs w:val="24"/>
                <w:lang w:val="en-US" w:eastAsia="zh-CN" w:bidi="ar-SA"/>
              </w:rPr>
              <w:t>项目市场调查分析表</w:t>
            </w:r>
            <w:r>
              <w:rPr>
                <w:rFonts w:hint="default" w:ascii="仿宋" w:hAnsi="仿宋" w:eastAsia="仿宋" w:cs="Times New Roman"/>
                <w:kern w:val="2"/>
                <w:sz w:val="24"/>
                <w:szCs w:val="24"/>
                <w:lang w:val="en-US" w:eastAsia="zh-CN" w:bidi="ar-SA"/>
              </w:rPr>
              <w:t>、成果报告</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询价过程资料</w:t>
            </w:r>
            <w:r>
              <w:rPr>
                <w:rFonts w:hint="eastAsia" w:ascii="仿宋" w:hAnsi="仿宋" w:eastAsia="仿宋" w:cs="Times New Roman"/>
                <w:kern w:val="2"/>
                <w:sz w:val="24"/>
                <w:szCs w:val="24"/>
                <w:lang w:val="en-US" w:eastAsia="zh-CN" w:bidi="ar-SA"/>
              </w:rPr>
              <w:t>三种</w:t>
            </w:r>
            <w:r>
              <w:rPr>
                <w:rFonts w:hint="default" w:ascii="仿宋" w:hAnsi="仿宋" w:eastAsia="仿宋" w:cs="Times New Roman"/>
                <w:kern w:val="2"/>
                <w:sz w:val="24"/>
                <w:szCs w:val="24"/>
                <w:lang w:val="en-US" w:eastAsia="zh-CN" w:bidi="ar-SA"/>
              </w:rPr>
              <w:t>文件范本。</w:t>
            </w:r>
          </w:p>
          <w:p w14:paraId="1F6E5BC4">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1.项目市场调查分析表</w:t>
            </w:r>
            <w:r>
              <w:rPr>
                <w:rFonts w:hint="default" w:ascii="仿宋" w:hAnsi="仿宋" w:eastAsia="仿宋" w:cs="Times New Roman"/>
                <w:kern w:val="2"/>
                <w:sz w:val="24"/>
                <w:szCs w:val="24"/>
                <w:lang w:val="en-US" w:eastAsia="zh-CN" w:bidi="ar-SA"/>
              </w:rPr>
              <w:t>包含</w:t>
            </w:r>
            <w:r>
              <w:rPr>
                <w:rFonts w:hint="eastAsia" w:ascii="仿宋" w:hAnsi="仿宋" w:eastAsia="仿宋" w:cs="Times New Roman"/>
                <w:kern w:val="2"/>
                <w:sz w:val="24"/>
                <w:szCs w:val="24"/>
                <w:lang w:val="en-US" w:eastAsia="zh-CN" w:bidi="ar-SA"/>
              </w:rPr>
              <w:t>询价建议价格结论</w:t>
            </w:r>
            <w:r>
              <w:rPr>
                <w:rFonts w:hint="default" w:ascii="仿宋" w:hAnsi="仿宋" w:eastAsia="仿宋" w:cs="Times New Roman"/>
                <w:kern w:val="2"/>
                <w:sz w:val="24"/>
                <w:szCs w:val="24"/>
                <w:lang w:val="en-US" w:eastAsia="zh-CN" w:bidi="ar-SA"/>
              </w:rPr>
              <w:t>、市场调查样本数据</w:t>
            </w:r>
            <w:r>
              <w:rPr>
                <w:rFonts w:hint="eastAsia" w:ascii="仿宋" w:hAnsi="仿宋" w:eastAsia="仿宋" w:cs="Times New Roman"/>
                <w:kern w:val="2"/>
                <w:sz w:val="24"/>
                <w:szCs w:val="24"/>
                <w:lang w:val="en-US" w:eastAsia="zh-CN" w:bidi="ar-SA"/>
              </w:rPr>
              <w:t>（必须有三家不同品牌厂家样本）</w:t>
            </w:r>
            <w:r>
              <w:rPr>
                <w:rFonts w:hint="default" w:ascii="仿宋" w:hAnsi="仿宋" w:eastAsia="仿宋" w:cs="Times New Roman"/>
                <w:kern w:val="2"/>
                <w:sz w:val="24"/>
                <w:szCs w:val="24"/>
                <w:lang w:val="en-US" w:eastAsia="zh-CN" w:bidi="ar-SA"/>
              </w:rPr>
              <w:t>、样本</w:t>
            </w:r>
            <w:r>
              <w:rPr>
                <w:rFonts w:hint="eastAsia" w:ascii="仿宋" w:hAnsi="仿宋" w:eastAsia="仿宋" w:cs="Times New Roman"/>
                <w:kern w:val="2"/>
                <w:sz w:val="24"/>
                <w:szCs w:val="24"/>
                <w:lang w:val="en-US" w:eastAsia="zh-CN" w:bidi="ar-SA"/>
              </w:rPr>
              <w:t>厂商信息。</w:t>
            </w:r>
          </w:p>
          <w:p w14:paraId="540464CC">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2.成果报告</w:t>
            </w:r>
            <w:r>
              <w:rPr>
                <w:rFonts w:hint="default" w:ascii="仿宋" w:hAnsi="仿宋" w:eastAsia="仿宋" w:cs="Times New Roman"/>
                <w:kern w:val="2"/>
                <w:sz w:val="24"/>
                <w:szCs w:val="24"/>
                <w:lang w:val="en-US" w:eastAsia="zh-CN" w:bidi="ar-SA"/>
              </w:rPr>
              <w:t>文本除项目询价统计汇总表外还应</w:t>
            </w:r>
            <w:r>
              <w:rPr>
                <w:rFonts w:hint="eastAsia" w:ascii="仿宋" w:hAnsi="仿宋" w:eastAsia="仿宋" w:cs="Times New Roman"/>
                <w:kern w:val="2"/>
                <w:sz w:val="24"/>
                <w:szCs w:val="24"/>
                <w:lang w:val="en-US" w:eastAsia="zh-CN" w:bidi="ar-SA"/>
              </w:rPr>
              <w:t>包含</w:t>
            </w:r>
            <w:r>
              <w:rPr>
                <w:rFonts w:hint="default" w:ascii="仿宋" w:hAnsi="仿宋" w:eastAsia="仿宋" w:cs="Times New Roman"/>
                <w:kern w:val="2"/>
                <w:sz w:val="24"/>
                <w:szCs w:val="24"/>
                <w:lang w:val="en-US" w:eastAsia="zh-CN" w:bidi="ar-SA"/>
              </w:rPr>
              <w:t>询价结论、数据采集的时间地点信息、</w:t>
            </w:r>
            <w:r>
              <w:rPr>
                <w:rFonts w:hint="eastAsia" w:ascii="仿宋" w:hAnsi="仿宋" w:eastAsia="仿宋" w:cs="Times New Roman"/>
                <w:kern w:val="2"/>
                <w:sz w:val="24"/>
                <w:szCs w:val="24"/>
                <w:lang w:val="en-US" w:eastAsia="zh-CN" w:bidi="ar-SA"/>
              </w:rPr>
              <w:t>数据结论的时效性、</w:t>
            </w:r>
            <w:r>
              <w:rPr>
                <w:rFonts w:hint="default" w:ascii="仿宋" w:hAnsi="仿宋" w:eastAsia="仿宋" w:cs="Times New Roman"/>
                <w:kern w:val="2"/>
                <w:sz w:val="24"/>
                <w:szCs w:val="24"/>
                <w:lang w:val="en-US" w:eastAsia="zh-CN" w:bidi="ar-SA"/>
              </w:rPr>
              <w:t>市场调查及统计分析的方法、项目询价调查团队组成等内容。</w:t>
            </w:r>
          </w:p>
          <w:p w14:paraId="24F79F6E">
            <w:pPr>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w:t>
            </w:r>
            <w:r>
              <w:rPr>
                <w:rFonts w:hint="default" w:ascii="仿宋" w:hAnsi="仿宋" w:eastAsia="仿宋" w:cs="Times New Roman"/>
                <w:kern w:val="2"/>
                <w:sz w:val="24"/>
                <w:szCs w:val="24"/>
                <w:lang w:val="en-US" w:eastAsia="zh-CN" w:bidi="ar-SA"/>
              </w:rPr>
              <w:t>询价过程资料要提供但不限于询价项目补充说明反馈函等过程规范互动或内部整理文档</w:t>
            </w:r>
            <w:r>
              <w:rPr>
                <w:rFonts w:hint="eastAsia" w:ascii="仿宋" w:hAnsi="仿宋" w:eastAsia="仿宋" w:cs="Times New Roman"/>
                <w:kern w:val="2"/>
                <w:sz w:val="24"/>
                <w:szCs w:val="24"/>
                <w:lang w:val="en-US" w:eastAsia="zh-CN" w:bidi="ar-SA"/>
              </w:rPr>
              <w:t>。</w:t>
            </w:r>
          </w:p>
          <w:p w14:paraId="67DDD512">
            <w:pPr>
              <w:spacing w:line="400" w:lineRule="exact"/>
              <w:rPr>
                <w:rFonts w:hint="default"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评审依据：提供上述三类成果文件范本内容完整</w:t>
            </w:r>
            <w:r>
              <w:rPr>
                <w:rFonts w:hint="eastAsia" w:ascii="仿宋" w:hAnsi="仿宋" w:eastAsia="仿宋" w:cs="Times New Roman"/>
                <w:b/>
                <w:bCs/>
                <w:kern w:val="2"/>
                <w:sz w:val="24"/>
                <w:szCs w:val="24"/>
                <w:lang w:val="en-US" w:eastAsia="zh-CN" w:bidi="ar-SA"/>
              </w:rPr>
              <w:t>的</w:t>
            </w:r>
            <w:r>
              <w:rPr>
                <w:rFonts w:hint="default" w:ascii="仿宋" w:hAnsi="仿宋" w:eastAsia="仿宋" w:cs="Times New Roman"/>
                <w:b/>
                <w:bCs/>
                <w:kern w:val="2"/>
                <w:sz w:val="24"/>
                <w:szCs w:val="24"/>
                <w:lang w:val="en-US" w:eastAsia="zh-CN" w:bidi="ar-SA"/>
              </w:rPr>
              <w:t>计1</w:t>
            </w:r>
            <w:r>
              <w:rPr>
                <w:rFonts w:hint="eastAsia" w:ascii="仿宋" w:hAnsi="仿宋" w:eastAsia="仿宋" w:cs="Times New Roman"/>
                <w:b/>
                <w:bCs/>
                <w:kern w:val="2"/>
                <w:sz w:val="24"/>
                <w:szCs w:val="24"/>
                <w:lang w:val="en-US" w:eastAsia="zh-CN" w:bidi="ar-SA"/>
              </w:rPr>
              <w:t>4</w:t>
            </w:r>
            <w:r>
              <w:rPr>
                <w:rFonts w:hint="default" w:ascii="仿宋" w:hAnsi="仿宋" w:eastAsia="仿宋" w:cs="Times New Roman"/>
                <w:b/>
                <w:bCs/>
                <w:kern w:val="2"/>
                <w:sz w:val="24"/>
                <w:szCs w:val="24"/>
                <w:lang w:val="en-US" w:eastAsia="zh-CN" w:bidi="ar-SA"/>
              </w:rPr>
              <w:t>分；提供上述三类成果文件范本内容不够完整</w:t>
            </w:r>
            <w:r>
              <w:rPr>
                <w:rFonts w:hint="eastAsia" w:ascii="仿宋" w:hAnsi="仿宋" w:eastAsia="仿宋" w:cs="Times New Roman"/>
                <w:b/>
                <w:bCs/>
                <w:kern w:val="2"/>
                <w:sz w:val="24"/>
                <w:szCs w:val="24"/>
                <w:lang w:val="en-US" w:eastAsia="zh-CN" w:bidi="ar-SA"/>
              </w:rPr>
              <w:t>的</w:t>
            </w:r>
            <w:r>
              <w:rPr>
                <w:rFonts w:hint="default" w:ascii="仿宋" w:hAnsi="仿宋" w:eastAsia="仿宋" w:cs="Times New Roman"/>
                <w:b/>
                <w:bCs/>
                <w:kern w:val="2"/>
                <w:sz w:val="24"/>
                <w:szCs w:val="24"/>
                <w:lang w:val="en-US" w:eastAsia="zh-CN" w:bidi="ar-SA"/>
              </w:rPr>
              <w:t>计8分；</w:t>
            </w:r>
            <w:r>
              <w:rPr>
                <w:rFonts w:hint="default" w:ascii="仿宋" w:hAnsi="仿宋" w:eastAsia="仿宋" w:cs="Times New Roman"/>
                <w:b/>
                <w:bCs/>
                <w:color w:val="auto"/>
                <w:kern w:val="2"/>
                <w:sz w:val="24"/>
                <w:szCs w:val="24"/>
                <w:lang w:val="en-US" w:eastAsia="zh-CN" w:bidi="ar-SA"/>
              </w:rPr>
              <w:t>不</w:t>
            </w:r>
            <w:r>
              <w:rPr>
                <w:rFonts w:hint="default" w:ascii="仿宋" w:hAnsi="仿宋" w:eastAsia="仿宋" w:cs="Times New Roman"/>
                <w:b/>
                <w:bCs/>
                <w:kern w:val="2"/>
                <w:sz w:val="24"/>
                <w:szCs w:val="24"/>
                <w:lang w:val="en-US" w:eastAsia="zh-CN" w:bidi="ar-SA"/>
              </w:rPr>
              <w:t>能提供上述全部三类成果文件范本的不计分</w:t>
            </w:r>
            <w:r>
              <w:rPr>
                <w:rFonts w:hint="eastAsia" w:ascii="仿宋" w:hAnsi="仿宋" w:eastAsia="仿宋" w:cs="Times New Roman"/>
                <w:b/>
                <w:bCs/>
                <w:kern w:val="2"/>
                <w:sz w:val="24"/>
                <w:szCs w:val="24"/>
                <w:lang w:val="en-US" w:eastAsia="zh-CN" w:bidi="ar-SA"/>
              </w:rPr>
              <w:t>。</w:t>
            </w:r>
          </w:p>
        </w:tc>
      </w:tr>
      <w:tr w14:paraId="79CA6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2B76095D">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7D188C11">
            <w:pPr>
              <w:spacing w:line="400" w:lineRule="exact"/>
              <w:ind w:firstLine="480" w:firstLineChars="200"/>
              <w:rPr>
                <w:rFonts w:hint="eastAsia" w:ascii="仿宋" w:hAnsi="仿宋" w:eastAsia="仿宋" w:cs="Times New Roman"/>
                <w:kern w:val="2"/>
                <w:sz w:val="24"/>
                <w:szCs w:val="24"/>
                <w:lang w:val="en-US" w:eastAsia="zh-CN" w:bidi="ar-SA"/>
              </w:rPr>
            </w:pPr>
          </w:p>
          <w:p w14:paraId="62892C50">
            <w:pPr>
              <w:spacing w:line="400" w:lineRule="exact"/>
              <w:ind w:firstLine="480" w:firstLineChars="200"/>
              <w:rPr>
                <w:rFonts w:hint="eastAsia" w:ascii="仿宋" w:hAnsi="仿宋" w:eastAsia="仿宋" w:cs="Times New Roman"/>
                <w:kern w:val="2"/>
                <w:sz w:val="24"/>
                <w:szCs w:val="24"/>
                <w:lang w:val="en-US" w:eastAsia="zh-CN" w:bidi="ar-SA"/>
              </w:rPr>
            </w:pPr>
          </w:p>
          <w:p w14:paraId="004A443E">
            <w:pPr>
              <w:spacing w:line="400" w:lineRule="exact"/>
              <w:ind w:firstLine="480" w:firstLineChars="200"/>
              <w:rPr>
                <w:rFonts w:hint="eastAsia" w:ascii="仿宋" w:hAnsi="仿宋" w:eastAsia="仿宋" w:cs="Times New Roman"/>
                <w:kern w:val="2"/>
                <w:sz w:val="24"/>
                <w:szCs w:val="24"/>
                <w:lang w:val="en-US" w:eastAsia="zh-CN" w:bidi="ar-SA"/>
              </w:rPr>
            </w:pPr>
          </w:p>
          <w:p w14:paraId="4CCAD6D0">
            <w:pPr>
              <w:spacing w:line="400" w:lineRule="exact"/>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询价进度管理措施（6分）</w:t>
            </w:r>
          </w:p>
        </w:tc>
        <w:tc>
          <w:tcPr>
            <w:tcW w:w="6631" w:type="dxa"/>
            <w:vAlign w:val="top"/>
          </w:tcPr>
          <w:p w14:paraId="6BE6E27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根据供应商提供的询价进度管理措施进行计分，内容包括但不限于：</w:t>
            </w:r>
          </w:p>
          <w:p w14:paraId="43C7E19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1、进度管理制度；</w:t>
            </w:r>
          </w:p>
          <w:p w14:paraId="7E6FC53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2、进度流程、进度监控和问题解决措施；</w:t>
            </w:r>
          </w:p>
          <w:p w14:paraId="1F7FB5F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3、报告出具流程；</w:t>
            </w:r>
          </w:p>
          <w:p w14:paraId="024C52C1">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对投标人提供的询价进度管理措施进行评价，满足需求、完整合理、针对性强的每项计2分，不够完善的每项计1分，未提供的不计分，最高得6分。</w:t>
            </w:r>
          </w:p>
        </w:tc>
      </w:tr>
      <w:tr w14:paraId="3C95B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71A285FD">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0431D04E">
            <w:pPr>
              <w:spacing w:line="400" w:lineRule="exact"/>
              <w:ind w:firstLine="480" w:firstLineChars="200"/>
              <w:rPr>
                <w:rFonts w:hint="eastAsia" w:ascii="仿宋" w:hAnsi="仿宋" w:eastAsia="仿宋" w:cs="Times New Roman"/>
                <w:kern w:val="2"/>
                <w:sz w:val="24"/>
                <w:szCs w:val="24"/>
                <w:lang w:val="en-US" w:eastAsia="zh-CN" w:bidi="ar-SA"/>
              </w:rPr>
            </w:pPr>
          </w:p>
          <w:p w14:paraId="0CA017EE">
            <w:pPr>
              <w:spacing w:line="400" w:lineRule="exact"/>
              <w:ind w:firstLine="480" w:firstLineChars="200"/>
              <w:rPr>
                <w:rFonts w:hint="eastAsia" w:ascii="仿宋" w:hAnsi="仿宋" w:eastAsia="仿宋" w:cs="Times New Roman"/>
                <w:kern w:val="2"/>
                <w:sz w:val="24"/>
                <w:szCs w:val="24"/>
                <w:lang w:val="en-US" w:eastAsia="zh-CN" w:bidi="ar-SA"/>
              </w:rPr>
            </w:pPr>
          </w:p>
          <w:p w14:paraId="23EB48CA">
            <w:pPr>
              <w:spacing w:line="400" w:lineRule="exact"/>
              <w:ind w:firstLine="480" w:firstLineChars="200"/>
              <w:rPr>
                <w:rFonts w:hint="eastAsia" w:ascii="仿宋" w:hAnsi="仿宋" w:eastAsia="仿宋" w:cs="Times New Roman"/>
                <w:kern w:val="2"/>
                <w:sz w:val="24"/>
                <w:szCs w:val="24"/>
                <w:lang w:val="en-US" w:eastAsia="zh-CN" w:bidi="ar-SA"/>
              </w:rPr>
            </w:pPr>
          </w:p>
          <w:p w14:paraId="2416F182">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询价质量管理措施（6分）</w:t>
            </w:r>
          </w:p>
        </w:tc>
        <w:tc>
          <w:tcPr>
            <w:tcW w:w="6631" w:type="dxa"/>
            <w:vAlign w:val="top"/>
          </w:tcPr>
          <w:p w14:paraId="7578254B">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根据供应商提供的询价质量管理措施进行计分，内容包括但不限于：</w:t>
            </w:r>
          </w:p>
          <w:p w14:paraId="7148A0D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1、质量管理制度及措施；</w:t>
            </w:r>
          </w:p>
          <w:p w14:paraId="1B895AF1">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2、质量监控和改进措施；</w:t>
            </w:r>
          </w:p>
          <w:p w14:paraId="7BA48B8F">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3、内部审核及复核制度；</w:t>
            </w:r>
          </w:p>
          <w:p w14:paraId="3A8A32D2">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对投标人提供的询价质量管理措施进行评价，满足需求、完整合理、针对性强的每项计2分，不够完善的每项计1分，未提供的不计分，最高得6分。</w:t>
            </w:r>
          </w:p>
        </w:tc>
      </w:tr>
      <w:tr w14:paraId="287EA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58B08696">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top"/>
          </w:tcPr>
          <w:p w14:paraId="36B88BA3">
            <w:pPr>
              <w:spacing w:line="400" w:lineRule="exact"/>
              <w:ind w:firstLine="480" w:firstLineChars="200"/>
              <w:rPr>
                <w:rFonts w:hint="eastAsia" w:ascii="仿宋" w:hAnsi="仿宋" w:eastAsia="仿宋" w:cs="Times New Roman"/>
                <w:kern w:val="2"/>
                <w:sz w:val="24"/>
                <w:szCs w:val="24"/>
                <w:lang w:val="en-US" w:eastAsia="zh-CN" w:bidi="ar-SA"/>
              </w:rPr>
            </w:pPr>
          </w:p>
          <w:p w14:paraId="50CF8043">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咨询工作</w:t>
            </w:r>
          </w:p>
          <w:p w14:paraId="2D28D5C6">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重点、难</w:t>
            </w:r>
          </w:p>
          <w:p w14:paraId="77560E9B">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点分析 （2分）</w:t>
            </w:r>
          </w:p>
        </w:tc>
        <w:tc>
          <w:tcPr>
            <w:tcW w:w="6631" w:type="dxa"/>
            <w:shd w:val="clear" w:color="auto" w:fill="auto"/>
            <w:vAlign w:val="top"/>
          </w:tcPr>
          <w:p w14:paraId="0431074E">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根据供应商提供的咨询工作重点、难点分析进行计分，内容包括但不限于：</w:t>
            </w:r>
          </w:p>
          <w:p w14:paraId="0ABE5D2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1、咨询工作重难点分析；</w:t>
            </w:r>
          </w:p>
          <w:p w14:paraId="4257FF57">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2、解决方案和应对策略；</w:t>
            </w:r>
          </w:p>
          <w:p w14:paraId="6F0AC9DC">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对投标人提供的咨询工作重点、难点分析进行评价，满足需求、完整合理、针对性强的每项计 1 分，不够完善的每项计0.5 分，未提供的不计分，最高得2 分。</w:t>
            </w:r>
          </w:p>
        </w:tc>
      </w:tr>
      <w:tr w14:paraId="62E944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18893428">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top"/>
          </w:tcPr>
          <w:p w14:paraId="0DB80B1B">
            <w:pPr>
              <w:spacing w:line="400" w:lineRule="exact"/>
              <w:ind w:firstLine="480" w:firstLineChars="200"/>
              <w:rPr>
                <w:rFonts w:hint="eastAsia" w:ascii="仿宋" w:hAnsi="仿宋" w:eastAsia="仿宋" w:cs="Times New Roman"/>
                <w:kern w:val="2"/>
                <w:sz w:val="24"/>
                <w:szCs w:val="24"/>
                <w:lang w:val="en-US" w:eastAsia="zh-CN" w:bidi="ar-SA"/>
              </w:rPr>
            </w:pPr>
          </w:p>
          <w:p w14:paraId="180BBF9C">
            <w:pPr>
              <w:spacing w:line="400" w:lineRule="exact"/>
              <w:ind w:firstLine="480" w:firstLineChars="200"/>
              <w:rPr>
                <w:rFonts w:hint="eastAsia" w:ascii="仿宋" w:hAnsi="仿宋" w:eastAsia="仿宋" w:cs="Times New Roman"/>
                <w:kern w:val="2"/>
                <w:sz w:val="24"/>
                <w:szCs w:val="24"/>
                <w:lang w:val="en-US" w:eastAsia="zh-CN" w:bidi="ar-SA"/>
              </w:rPr>
            </w:pPr>
          </w:p>
          <w:p w14:paraId="2A731D0A">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保密措施（2 分）</w:t>
            </w:r>
          </w:p>
        </w:tc>
        <w:tc>
          <w:tcPr>
            <w:tcW w:w="6631" w:type="dxa"/>
            <w:shd w:val="clear" w:color="auto" w:fill="auto"/>
            <w:vAlign w:val="top"/>
          </w:tcPr>
          <w:p w14:paraId="5033F701">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根据供应商提供的保密措施进行计分，内容包括但不限于：</w:t>
            </w:r>
          </w:p>
          <w:p w14:paraId="56C88BC8">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1、企业保密制度及管理措施。</w:t>
            </w:r>
          </w:p>
          <w:p w14:paraId="7F4F8309">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2、从业人员保密管理制度及措施。</w:t>
            </w:r>
          </w:p>
          <w:p w14:paraId="1A05BC19">
            <w:pPr>
              <w:spacing w:line="400" w:lineRule="exact"/>
              <w:rPr>
                <w:rFonts w:hint="eastAsia" w:ascii="仿宋" w:hAnsi="仿宋" w:eastAsia="仿宋" w:cs="Times New Roman"/>
                <w:kern w:val="2"/>
                <w:sz w:val="24"/>
                <w:szCs w:val="24"/>
                <w:lang w:val="en-US" w:eastAsia="zh-CN" w:bidi="ar-SA"/>
              </w:rPr>
            </w:pPr>
            <w:r>
              <w:rPr>
                <w:rFonts w:hint="default" w:ascii="仿宋" w:hAnsi="仿宋" w:eastAsia="仿宋" w:cs="Times New Roman"/>
                <w:b/>
                <w:bCs/>
                <w:kern w:val="2"/>
                <w:sz w:val="24"/>
                <w:szCs w:val="24"/>
                <w:lang w:val="en-US" w:eastAsia="zh-CN" w:bidi="ar-SA"/>
              </w:rPr>
              <w:t>评审依据：</w:t>
            </w:r>
            <w:r>
              <w:rPr>
                <w:rFonts w:hint="eastAsia" w:ascii="仿宋" w:hAnsi="仿宋" w:eastAsia="仿宋" w:cs="Times New Roman"/>
                <w:b/>
                <w:bCs/>
                <w:kern w:val="2"/>
                <w:sz w:val="24"/>
                <w:szCs w:val="24"/>
                <w:lang w:val="en-US" w:eastAsia="zh-CN" w:bidi="ar-SA"/>
              </w:rPr>
              <w:t>对投标人提供的保密措施进行评价，满足需求、完整合理、针对性强的每项计 1 分，不够完善的每项计 0.5 分，未提供的不计分，最高得 2 分。</w:t>
            </w:r>
          </w:p>
        </w:tc>
      </w:tr>
      <w:tr w14:paraId="2825C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97" w:type="dxa"/>
            <w:vMerge w:val="restart"/>
            <w:vAlign w:val="center"/>
          </w:tcPr>
          <w:p w14:paraId="3AD15AC1">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商务部分</w:t>
            </w:r>
          </w:p>
          <w:p w14:paraId="6453F74B">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（40分）</w:t>
            </w:r>
          </w:p>
        </w:tc>
        <w:tc>
          <w:tcPr>
            <w:tcW w:w="1276" w:type="dxa"/>
            <w:vAlign w:val="top"/>
          </w:tcPr>
          <w:p w14:paraId="7366AC9A">
            <w:pPr>
              <w:spacing w:line="400" w:lineRule="exact"/>
              <w:ind w:firstLine="480" w:firstLineChars="200"/>
              <w:rPr>
                <w:rFonts w:hint="eastAsia" w:ascii="仿宋" w:hAnsi="仿宋" w:eastAsia="仿宋" w:cs="Times New Roman"/>
                <w:kern w:val="2"/>
                <w:sz w:val="24"/>
                <w:szCs w:val="24"/>
                <w:lang w:val="en-US" w:eastAsia="zh-CN" w:bidi="ar-SA"/>
              </w:rPr>
            </w:pPr>
          </w:p>
          <w:p w14:paraId="54362C94">
            <w:pPr>
              <w:spacing w:line="400" w:lineRule="exact"/>
              <w:ind w:firstLine="480" w:firstLineChars="200"/>
              <w:rPr>
                <w:rFonts w:hint="eastAsia" w:ascii="仿宋" w:hAnsi="仿宋" w:eastAsia="仿宋" w:cs="Times New Roman"/>
                <w:kern w:val="2"/>
                <w:sz w:val="24"/>
                <w:szCs w:val="24"/>
                <w:lang w:val="en-US" w:eastAsia="zh-CN" w:bidi="ar-SA"/>
              </w:rPr>
            </w:pPr>
          </w:p>
          <w:p w14:paraId="1F3835EC">
            <w:pPr>
              <w:spacing w:line="400" w:lineRule="exact"/>
              <w:ind w:firstLine="480" w:firstLineChars="200"/>
              <w:rPr>
                <w:rFonts w:hint="eastAsia" w:ascii="仿宋" w:hAnsi="仿宋" w:eastAsia="仿宋" w:cs="Times New Roman"/>
                <w:kern w:val="2"/>
                <w:sz w:val="24"/>
                <w:szCs w:val="24"/>
                <w:lang w:val="en-US" w:eastAsia="zh-CN" w:bidi="ar-SA"/>
              </w:rPr>
            </w:pPr>
          </w:p>
          <w:p w14:paraId="23EC2656">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周期服务</w:t>
            </w:r>
          </w:p>
          <w:p w14:paraId="1C2B0C6D">
            <w:pPr>
              <w:spacing w:line="400" w:lineRule="exact"/>
              <w:ind w:firstLine="240" w:firstLine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业绩</w:t>
            </w:r>
          </w:p>
          <w:p w14:paraId="6ADA7E24">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（15分）</w:t>
            </w:r>
          </w:p>
        </w:tc>
        <w:tc>
          <w:tcPr>
            <w:tcW w:w="6631" w:type="dxa"/>
            <w:vAlign w:val="top"/>
          </w:tcPr>
          <w:p w14:paraId="5FA8DEAF">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投标人提供近三年内（投标截止时间前 36 个月）签订的货物服务项目预算评审或价格信息咨询或市场调查询价服务周期性合同（服务期限不少于半年，单个询价项目不计分），每提供 1 个计3分，最高15 分。 （以合同签订时间为准，同一甲方的合同不重复计分；）</w:t>
            </w:r>
          </w:p>
          <w:p w14:paraId="3BAA1694">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kern w:val="2"/>
                <w:sz w:val="24"/>
                <w:szCs w:val="24"/>
                <w:lang w:val="en-US" w:eastAsia="zh-CN" w:bidi="ar-SA"/>
              </w:rPr>
              <w:t>评审依据：提供投标人签订的合同扫描件加盖投标人公章。</w:t>
            </w:r>
          </w:p>
        </w:tc>
      </w:tr>
      <w:tr w14:paraId="299DE5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Merge w:val="continue"/>
            <w:vAlign w:val="center"/>
          </w:tcPr>
          <w:p w14:paraId="4415D959">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vAlign w:val="top"/>
          </w:tcPr>
          <w:p w14:paraId="273C1BE7">
            <w:pPr>
              <w:spacing w:line="400" w:lineRule="exact"/>
              <w:ind w:firstLine="480" w:firstLineChars="200"/>
              <w:rPr>
                <w:rFonts w:hint="eastAsia" w:ascii="仿宋" w:hAnsi="仿宋" w:eastAsia="仿宋" w:cs="Times New Roman"/>
                <w:kern w:val="2"/>
                <w:sz w:val="24"/>
                <w:szCs w:val="24"/>
                <w:lang w:val="en-US" w:eastAsia="zh-CN" w:bidi="ar-SA"/>
              </w:rPr>
            </w:pPr>
          </w:p>
          <w:p w14:paraId="38E8D628">
            <w:pPr>
              <w:spacing w:line="400" w:lineRule="exact"/>
              <w:ind w:firstLine="480" w:firstLineChars="200"/>
              <w:rPr>
                <w:rFonts w:hint="eastAsia" w:ascii="仿宋" w:hAnsi="仿宋" w:eastAsia="仿宋" w:cs="Times New Roman"/>
                <w:kern w:val="2"/>
                <w:sz w:val="24"/>
                <w:szCs w:val="24"/>
                <w:lang w:val="en-US" w:eastAsia="zh-CN" w:bidi="ar-SA"/>
              </w:rPr>
            </w:pPr>
          </w:p>
          <w:p w14:paraId="638658B1">
            <w:pPr>
              <w:spacing w:line="400" w:lineRule="exact"/>
              <w:ind w:firstLine="480" w:firstLineChars="200"/>
              <w:rPr>
                <w:rFonts w:hint="eastAsia" w:ascii="仿宋" w:hAnsi="仿宋" w:eastAsia="仿宋" w:cs="Times New Roman"/>
                <w:kern w:val="2"/>
                <w:sz w:val="24"/>
                <w:szCs w:val="24"/>
                <w:lang w:val="en-US" w:eastAsia="zh-CN" w:bidi="ar-SA"/>
              </w:rPr>
            </w:pPr>
          </w:p>
          <w:p w14:paraId="1F36EA5C">
            <w:pPr>
              <w:spacing w:line="400" w:lineRule="exact"/>
              <w:ind w:firstLine="480" w:firstLineChars="200"/>
              <w:rPr>
                <w:rFonts w:hint="eastAsia" w:ascii="仿宋" w:hAnsi="仿宋" w:eastAsia="仿宋" w:cs="Times New Roman"/>
                <w:kern w:val="2"/>
                <w:sz w:val="24"/>
                <w:szCs w:val="24"/>
                <w:lang w:val="en-US" w:eastAsia="zh-CN" w:bidi="ar-SA"/>
              </w:rPr>
            </w:pPr>
          </w:p>
          <w:p w14:paraId="5058A1D3">
            <w:pPr>
              <w:spacing w:line="400" w:lineRule="exact"/>
              <w:ind w:firstLine="480" w:firstLineChars="200"/>
              <w:rPr>
                <w:rFonts w:hint="eastAsia" w:ascii="仿宋" w:hAnsi="仿宋" w:eastAsia="仿宋" w:cs="Times New Roman"/>
                <w:kern w:val="2"/>
                <w:sz w:val="24"/>
                <w:szCs w:val="24"/>
                <w:lang w:val="en-US" w:eastAsia="zh-CN" w:bidi="ar-SA"/>
              </w:rPr>
            </w:pPr>
          </w:p>
          <w:p w14:paraId="57E77DC4">
            <w:pPr>
              <w:spacing w:line="400" w:lineRule="exact"/>
              <w:ind w:firstLine="480" w:firstLineChars="200"/>
              <w:rPr>
                <w:rFonts w:hint="eastAsia" w:ascii="仿宋" w:hAnsi="仿宋" w:eastAsia="仿宋" w:cs="Times New Roman"/>
                <w:kern w:val="2"/>
                <w:sz w:val="24"/>
                <w:szCs w:val="24"/>
                <w:lang w:val="en-US" w:eastAsia="zh-CN" w:bidi="ar-SA"/>
              </w:rPr>
            </w:pPr>
          </w:p>
          <w:p w14:paraId="72E648EF">
            <w:pPr>
              <w:spacing w:line="400" w:lineRule="exact"/>
              <w:ind w:firstLine="480" w:firstLineChars="200"/>
              <w:rPr>
                <w:rFonts w:hint="eastAsia" w:ascii="仿宋" w:hAnsi="仿宋" w:eastAsia="仿宋" w:cs="Times New Roman"/>
                <w:kern w:val="2"/>
                <w:sz w:val="24"/>
                <w:szCs w:val="24"/>
                <w:lang w:val="en-US" w:eastAsia="zh-CN" w:bidi="ar-SA"/>
              </w:rPr>
            </w:pPr>
          </w:p>
          <w:p w14:paraId="5D9C476C">
            <w:pPr>
              <w:spacing w:line="400" w:lineRule="exact"/>
              <w:ind w:firstLine="480" w:firstLineChars="200"/>
              <w:rPr>
                <w:rFonts w:hint="eastAsia" w:ascii="仿宋" w:hAnsi="仿宋" w:eastAsia="仿宋" w:cs="Times New Roman"/>
                <w:kern w:val="2"/>
                <w:sz w:val="24"/>
                <w:szCs w:val="24"/>
                <w:lang w:val="en-US" w:eastAsia="zh-CN" w:bidi="ar-SA"/>
              </w:rPr>
            </w:pPr>
          </w:p>
          <w:p w14:paraId="7016C439">
            <w:pPr>
              <w:spacing w:line="400" w:lineRule="exact"/>
              <w:ind w:firstLine="480" w:firstLineChars="200"/>
              <w:rPr>
                <w:rFonts w:hint="eastAsia" w:ascii="仿宋" w:hAnsi="仿宋" w:eastAsia="仿宋" w:cs="Times New Roman"/>
                <w:kern w:val="2"/>
                <w:sz w:val="24"/>
                <w:szCs w:val="24"/>
                <w:lang w:val="en-US" w:eastAsia="zh-CN" w:bidi="ar-SA"/>
              </w:rPr>
            </w:pPr>
          </w:p>
          <w:p w14:paraId="6FA33F4C">
            <w:pPr>
              <w:spacing w:line="400" w:lineRule="exact"/>
              <w:ind w:firstLine="480" w:firstLineChars="200"/>
              <w:rPr>
                <w:rFonts w:hint="eastAsia" w:ascii="仿宋" w:hAnsi="仿宋" w:eastAsia="仿宋" w:cs="Times New Roman"/>
                <w:kern w:val="2"/>
                <w:sz w:val="24"/>
                <w:szCs w:val="24"/>
                <w:lang w:val="en-US" w:eastAsia="zh-CN" w:bidi="ar-SA"/>
              </w:rPr>
            </w:pPr>
          </w:p>
          <w:p w14:paraId="6CECEA7E">
            <w:pPr>
              <w:spacing w:line="400" w:lineRule="exact"/>
              <w:ind w:left="240" w:hanging="240" w:hangingChars="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专业业绩部分</w:t>
            </w:r>
          </w:p>
          <w:p w14:paraId="693169DD">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（15分）</w:t>
            </w:r>
          </w:p>
        </w:tc>
        <w:tc>
          <w:tcPr>
            <w:tcW w:w="6631" w:type="dxa"/>
            <w:vAlign w:val="top"/>
          </w:tcPr>
          <w:p w14:paraId="7361302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投标人提供近三年内（投标截止时间前 36 个月）货物采购市场调查询价项目成果报告，分以下三类：</w:t>
            </w:r>
          </w:p>
          <w:p w14:paraId="65C2DF93">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①上述有效周期服务业绩中每提供 1 个成果报告</w:t>
            </w:r>
            <w:r>
              <w:rPr>
                <w:rFonts w:hint="eastAsia" w:ascii="仿宋" w:hAnsi="仿宋" w:eastAsia="仿宋" w:cs="Times New Roman"/>
                <w:b/>
                <w:bCs/>
                <w:kern w:val="2"/>
                <w:sz w:val="24"/>
                <w:szCs w:val="24"/>
                <w:lang w:val="en-US" w:eastAsia="zh-CN" w:bidi="ar-SA"/>
              </w:rPr>
              <w:t>（大型教学科研仪器设备类项目）</w:t>
            </w:r>
            <w:r>
              <w:rPr>
                <w:rFonts w:hint="eastAsia" w:ascii="仿宋" w:hAnsi="仿宋" w:eastAsia="仿宋" w:cs="Times New Roman"/>
                <w:kern w:val="2"/>
                <w:sz w:val="24"/>
                <w:szCs w:val="24"/>
                <w:lang w:val="en-US" w:eastAsia="zh-CN" w:bidi="ar-SA"/>
              </w:rPr>
              <w:t>，①报告内容完善、②结构清晰，质量优的得 3 分，每出现一处欠完善、欠合理的扣 1 分，未提供得0 分；本项最高得9 分（本小点仅按 3 个成果报告计分，多提供不计分）；</w:t>
            </w:r>
          </w:p>
          <w:p w14:paraId="5D31035D">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②上述有效周期服务业绩中每提供 1 个成果报告</w:t>
            </w:r>
            <w:r>
              <w:rPr>
                <w:rFonts w:hint="eastAsia" w:ascii="仿宋" w:hAnsi="仿宋" w:eastAsia="仿宋" w:cs="Times New Roman"/>
                <w:b/>
                <w:bCs/>
                <w:kern w:val="2"/>
                <w:sz w:val="24"/>
                <w:szCs w:val="24"/>
                <w:lang w:val="en-US" w:eastAsia="zh-CN" w:bidi="ar-SA"/>
              </w:rPr>
              <w:t>（实训室（含施工）类项目）</w:t>
            </w:r>
            <w:r>
              <w:rPr>
                <w:rFonts w:hint="eastAsia" w:ascii="仿宋" w:hAnsi="仿宋" w:eastAsia="仿宋" w:cs="Times New Roman"/>
                <w:kern w:val="2"/>
                <w:sz w:val="24"/>
                <w:szCs w:val="24"/>
                <w:lang w:val="en-US" w:eastAsia="zh-CN" w:bidi="ar-SA"/>
              </w:rPr>
              <w:t>，①报告内容完善、②结构清晰，质量优的得 3分，每出现一处欠完善、欠合理的扣 1 分，未提供得 0 分；本项最高得 3分（本小点仅按 1 个成果报告计分，多提供不计分）；</w:t>
            </w:r>
          </w:p>
          <w:p w14:paraId="57FE0E3B">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③上述有效周期服务业绩中每提供 1 个成果报告</w:t>
            </w:r>
            <w:r>
              <w:rPr>
                <w:rFonts w:hint="eastAsia" w:ascii="仿宋" w:hAnsi="仿宋" w:eastAsia="仿宋" w:cs="Times New Roman"/>
                <w:b/>
                <w:bCs/>
                <w:kern w:val="2"/>
                <w:sz w:val="24"/>
                <w:szCs w:val="24"/>
                <w:lang w:val="en-US" w:eastAsia="zh-CN" w:bidi="ar-SA"/>
              </w:rPr>
              <w:t>（信息化（软件）类项目）</w:t>
            </w:r>
            <w:r>
              <w:rPr>
                <w:rFonts w:hint="eastAsia" w:ascii="仿宋" w:hAnsi="仿宋" w:eastAsia="仿宋" w:cs="Times New Roman"/>
                <w:kern w:val="2"/>
                <w:sz w:val="24"/>
                <w:szCs w:val="24"/>
                <w:lang w:val="en-US" w:eastAsia="zh-CN" w:bidi="ar-SA"/>
              </w:rPr>
              <w:t>，①报告内容完善、②结构清晰，质量优的得 3分，每出现一处欠完善、欠合理的扣 1 分，未提供得0 分；本项最高得 3 分（本小点仅按 1 个成果报告计分，多提供不计分）。</w:t>
            </w:r>
          </w:p>
          <w:p w14:paraId="76E9BB5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本项最高计 15 分。</w:t>
            </w:r>
          </w:p>
          <w:p w14:paraId="7D542EF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kern w:val="2"/>
                <w:sz w:val="24"/>
                <w:szCs w:val="24"/>
                <w:lang w:val="en-US" w:eastAsia="zh-CN" w:bidi="ar-SA"/>
              </w:rPr>
              <w:t>评审依据：提供投标人出具的成果报告扫描件并加盖投标人公章。</w:t>
            </w:r>
          </w:p>
        </w:tc>
      </w:tr>
      <w:tr w14:paraId="624FA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125991E6">
            <w:pPr>
              <w:spacing w:line="400" w:lineRule="exact"/>
              <w:ind w:firstLine="480" w:firstLineChars="200"/>
              <w:rPr>
                <w:rFonts w:hint="eastAsia" w:ascii="仿宋" w:hAnsi="仿宋" w:eastAsia="仿宋" w:cs="Times New Roman"/>
                <w:kern w:val="2"/>
                <w:sz w:val="24"/>
                <w:szCs w:val="24"/>
                <w:lang w:val="en-US" w:eastAsia="zh-CN" w:bidi="ar-SA"/>
              </w:rPr>
            </w:pPr>
          </w:p>
        </w:tc>
        <w:tc>
          <w:tcPr>
            <w:tcW w:w="1276" w:type="dxa"/>
            <w:shd w:val="clear" w:color="auto" w:fill="auto"/>
            <w:vAlign w:val="center"/>
          </w:tcPr>
          <w:p w14:paraId="36C5BFE0">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综合实力</w:t>
            </w:r>
          </w:p>
          <w:p w14:paraId="4CEBA818">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（10分）</w:t>
            </w:r>
          </w:p>
        </w:tc>
        <w:tc>
          <w:tcPr>
            <w:tcW w:w="6631" w:type="dxa"/>
            <w:shd w:val="clear" w:color="auto" w:fill="auto"/>
            <w:vAlign w:val="center"/>
          </w:tcPr>
          <w:p w14:paraId="5F04983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①投标人具有全国采购项目成交数据查询分析的各类平台软件（如中国采购与招标网、中国招标投标公共服务平台等，或知了标讯、千里马招标网等其他商业公司平台）使用权的，每 1 个计 1 分，最多计4分；</w:t>
            </w:r>
          </w:p>
          <w:p w14:paraId="0270EC49">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②上述有效周期服务业绩提供用户评价意见为优良或相当于优良的，每提供一个计 1 分，计满 3 分为止，未提供的或提供的评价意见与业绩不相符的不计分（须提供加盖用户单位公章的用户评价意见证明材料扫描件，并提供用户方联系人及联系方式，否则不计分）。</w:t>
            </w:r>
          </w:p>
          <w:p w14:paraId="07095187">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③项目负责人具有注册造价工程师证书计3分。</w:t>
            </w:r>
          </w:p>
          <w:p w14:paraId="168119FE">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b/>
                <w:bCs/>
                <w:kern w:val="2"/>
                <w:sz w:val="24"/>
                <w:szCs w:val="24"/>
                <w:lang w:val="en-US" w:eastAsia="zh-CN" w:bidi="ar-SA"/>
              </w:rPr>
              <w:t>评审依据：提供项目负责人的注册造价工程师证书、投标人的软件平台服务合同、会员页面及投标人为项目负责人缴纳的在投标截止时间前三个月内任意时段的社保证明资料或者为其缴纳社保证明的承诺函等相关材料的扫描件并加盖投标人公章。</w:t>
            </w:r>
          </w:p>
        </w:tc>
      </w:tr>
      <w:tr w14:paraId="16049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48B83C8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报价部分（20分）</w:t>
            </w:r>
          </w:p>
        </w:tc>
        <w:tc>
          <w:tcPr>
            <w:tcW w:w="1276" w:type="dxa"/>
            <w:vAlign w:val="center"/>
          </w:tcPr>
          <w:p w14:paraId="105003D5">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投标报价</w:t>
            </w:r>
          </w:p>
          <w:p w14:paraId="77772D23">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（20分）</w:t>
            </w:r>
          </w:p>
        </w:tc>
        <w:tc>
          <w:tcPr>
            <w:tcW w:w="6631" w:type="dxa"/>
            <w:vAlign w:val="center"/>
          </w:tcPr>
          <w:p w14:paraId="2847CA0C">
            <w:pPr>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满足询比文件要求且投标报价中最低的投标费率为评标基准价，其价格分为满分；其他投标人的价格分统一按照以下公式计算：投标报价得分=（评标基准价/投标报价）×20。</w:t>
            </w:r>
          </w:p>
        </w:tc>
      </w:tr>
      <w:tr w14:paraId="0C2D7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97" w:type="dxa"/>
            <w:vAlign w:val="center"/>
          </w:tcPr>
          <w:p w14:paraId="63243749">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总分</w:t>
            </w:r>
          </w:p>
        </w:tc>
        <w:tc>
          <w:tcPr>
            <w:tcW w:w="1276" w:type="dxa"/>
            <w:vAlign w:val="center"/>
          </w:tcPr>
          <w:p w14:paraId="78C2BB8D">
            <w:pPr>
              <w:spacing w:line="400" w:lineRule="exact"/>
              <w:jc w:val="cente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100分</w:t>
            </w:r>
          </w:p>
        </w:tc>
        <w:tc>
          <w:tcPr>
            <w:tcW w:w="6631" w:type="dxa"/>
            <w:vAlign w:val="center"/>
          </w:tcPr>
          <w:p w14:paraId="37435452">
            <w:pPr>
              <w:spacing w:line="400" w:lineRule="exact"/>
              <w:ind w:firstLine="480" w:firstLineChars="200"/>
              <w:rPr>
                <w:rFonts w:hint="eastAsia" w:ascii="仿宋" w:hAnsi="仿宋" w:eastAsia="仿宋" w:cs="Times New Roman"/>
                <w:kern w:val="2"/>
                <w:sz w:val="24"/>
                <w:szCs w:val="24"/>
                <w:lang w:val="en-US" w:eastAsia="zh-CN" w:bidi="ar-SA"/>
              </w:rPr>
            </w:pPr>
          </w:p>
        </w:tc>
      </w:tr>
    </w:tbl>
    <w:p w14:paraId="5077E8EB">
      <w:pPr>
        <w:pStyle w:val="5"/>
        <w:ind w:left="0" w:leftChars="0" w:firstLine="0"/>
        <w:jc w:val="center"/>
        <w:rPr>
          <w:rFonts w:hint="eastAsia" w:ascii="宋体" w:hAnsi="宋体" w:eastAsia="仿宋" w:cs="宋体"/>
          <w:b/>
          <w:color w:val="333333"/>
          <w:kern w:val="0"/>
          <w:sz w:val="36"/>
          <w:szCs w:val="36"/>
        </w:rPr>
      </w:pPr>
      <w:r>
        <w:rPr>
          <w:rFonts w:hint="eastAsia" w:ascii="仿宋" w:hAnsi="仿宋" w:eastAsia="仿宋" w:cs="Times New Roman"/>
          <w:kern w:val="2"/>
          <w:sz w:val="24"/>
          <w:szCs w:val="24"/>
          <w:lang w:val="en-US" w:eastAsia="zh-CN" w:bidi="ar-SA"/>
        </w:rPr>
        <w:br w:type="page"/>
      </w:r>
      <w:r>
        <w:rPr>
          <w:rFonts w:hint="eastAsia" w:ascii="宋体" w:hAnsi="宋体" w:eastAsia="仿宋" w:cs="宋体"/>
          <w:b/>
          <w:color w:val="333333"/>
          <w:kern w:val="0"/>
          <w:sz w:val="36"/>
          <w:szCs w:val="36"/>
        </w:rPr>
        <w:t>三、响应文件组成</w:t>
      </w:r>
    </w:p>
    <w:p w14:paraId="769B2E19">
      <w:pPr>
        <w:spacing w:line="480" w:lineRule="exact"/>
        <w:jc w:val="center"/>
        <w:outlineLvl w:val="0"/>
        <w:rPr>
          <w:rFonts w:hint="eastAsia" w:ascii="仿宋" w:hAnsi="仿宋" w:eastAsia="仿宋" w:cs="Times New Roman"/>
          <w:kern w:val="2"/>
          <w:sz w:val="24"/>
          <w:szCs w:val="24"/>
          <w:lang w:val="en-US" w:eastAsia="zh-CN" w:bidi="ar-SA"/>
        </w:rPr>
      </w:pPr>
    </w:p>
    <w:p w14:paraId="181F7844">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1．投标人主体资格证明文件（营业执照）、信用记录查询、提供开标截止日期前半年内任意时段缴纳社保的证明材料。</w:t>
      </w:r>
    </w:p>
    <w:p w14:paraId="0A557E9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2．法定代表人授权委托书原件及双方身份证复印件。</w:t>
      </w:r>
    </w:p>
    <w:p w14:paraId="0CE5BE3F">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3．询比响应声明（见附件1）。</w:t>
      </w:r>
    </w:p>
    <w:p w14:paraId="64C03F7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4．报价文件（见附件2）。</w:t>
      </w:r>
    </w:p>
    <w:p w14:paraId="3E509EFD">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5．请投标人就评分标准提供自评材料，含每项评分内容所对应的页码。</w:t>
      </w:r>
    </w:p>
    <w:p w14:paraId="35F01E10">
      <w:pPr>
        <w:rPr>
          <w:rFonts w:hint="eastAsia" w:ascii="仿宋" w:hAnsi="仿宋" w:eastAsia="仿宋" w:cs="Times New Roman"/>
          <w:kern w:val="2"/>
          <w:sz w:val="24"/>
          <w:szCs w:val="24"/>
          <w:lang w:val="en-US" w:eastAsia="zh-CN" w:bidi="ar-SA"/>
        </w:rPr>
      </w:pPr>
    </w:p>
    <w:p w14:paraId="4DFEE8F5">
      <w:pPr>
        <w:pStyle w:val="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318F8DAE">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1．响应文件应密封包装，加贴封条，并在封套的封口处加盖投标人单位章。</w:t>
      </w:r>
    </w:p>
    <w:p w14:paraId="6B3B2CB7">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2．响应文件正本壹份、副本壹份，并装订。</w:t>
      </w:r>
    </w:p>
    <w:p w14:paraId="582F66E2">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3．响应文件正本和副本应按要求每页或签章处盖单位章；不得任何加行、涂改、增删，否则，将导致响应文件无效。</w:t>
      </w:r>
    </w:p>
    <w:p w14:paraId="4250E3C5">
      <w:pPr>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w:t>
      </w:r>
      <w:r>
        <w:rPr>
          <w:rFonts w:hint="eastAsia" w:ascii="仿宋" w:hAnsi="仿宋" w:eastAsia="仿宋"/>
          <w:sz w:val="24"/>
          <w:szCs w:val="24"/>
          <w:lang w:val="en-US" w:eastAsia="zh-CN"/>
        </w:rPr>
        <w:t>结算费率</w:t>
      </w:r>
      <w:r>
        <w:rPr>
          <w:rFonts w:hint="eastAsia" w:ascii="仿宋" w:hAnsi="仿宋" w:eastAsia="仿宋" w:cs="Times New Roman"/>
          <w:kern w:val="2"/>
          <w:sz w:val="24"/>
          <w:szCs w:val="24"/>
          <w:lang w:val="en-US" w:eastAsia="zh-CN" w:bidi="ar-SA"/>
        </w:rPr>
        <w:t>不得超过</w:t>
      </w:r>
      <w:r>
        <w:rPr>
          <w:rFonts w:hint="eastAsia" w:ascii="仿宋" w:hAnsi="仿宋" w:eastAsia="仿宋"/>
          <w:sz w:val="24"/>
          <w:szCs w:val="24"/>
          <w:lang w:val="en-US" w:eastAsia="zh-CN"/>
        </w:rPr>
        <w:t>最高限价2‰，</w:t>
      </w:r>
      <w:r>
        <w:rPr>
          <w:rFonts w:hint="eastAsia" w:ascii="仿宋" w:hAnsi="仿宋" w:eastAsia="仿宋" w:cs="Times New Roman"/>
          <w:kern w:val="2"/>
          <w:sz w:val="24"/>
          <w:szCs w:val="24"/>
          <w:lang w:val="en-US" w:eastAsia="zh-CN" w:bidi="ar-SA"/>
        </w:rPr>
        <w:t>否则为无效投标。</w:t>
      </w:r>
    </w:p>
    <w:p w14:paraId="6BBF4DEA">
      <w:pPr>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br w:type="page"/>
      </w:r>
      <w:r>
        <w:rPr>
          <w:rFonts w:hint="eastAsia" w:ascii="仿宋" w:hAnsi="仿宋" w:eastAsia="仿宋" w:cs="Times New Roman"/>
          <w:kern w:val="2"/>
          <w:sz w:val="24"/>
          <w:szCs w:val="24"/>
          <w:lang w:val="en-US" w:eastAsia="zh-CN" w:bidi="ar-SA"/>
        </w:rPr>
        <w:t>附件1：</w:t>
      </w:r>
    </w:p>
    <w:p w14:paraId="251CF4A2">
      <w:pPr>
        <w:spacing w:line="480" w:lineRule="exact"/>
        <w:jc w:val="center"/>
        <w:outlineLvl w:val="0"/>
        <w:rPr>
          <w:rFonts w:hint="eastAsia" w:ascii="仿宋" w:hAnsi="仿宋" w:eastAsia="仿宋" w:cs="Times New Roman"/>
          <w:b/>
          <w:bCs/>
          <w:kern w:val="2"/>
          <w:sz w:val="30"/>
          <w:szCs w:val="30"/>
          <w:lang w:val="en-US" w:eastAsia="zh-CN" w:bidi="ar-SA"/>
        </w:rPr>
      </w:pPr>
      <w:r>
        <w:rPr>
          <w:rFonts w:hint="eastAsia" w:ascii="仿宋" w:hAnsi="仿宋" w:eastAsia="仿宋" w:cs="Times New Roman"/>
          <w:b/>
          <w:bCs/>
          <w:kern w:val="2"/>
          <w:sz w:val="30"/>
          <w:szCs w:val="30"/>
          <w:lang w:val="en-US" w:eastAsia="zh-CN" w:bidi="ar-SA"/>
        </w:rPr>
        <w:t>询比响应声明</w:t>
      </w:r>
    </w:p>
    <w:p w14:paraId="07412EA3">
      <w:pPr>
        <w:adjustRightInd w:val="0"/>
        <w:snapToGrid w:val="0"/>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xml:space="preserve">致湖南铁道职业技术学院： </w:t>
      </w:r>
    </w:p>
    <w:p w14:paraId="6AA6CE25">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我方已仔细研究了市场调研（询价）咨询服务采购项目(项目名称)的询比采购文件的全部内容，知悉参加的风险，我方承诺接受询比采购文件的全部条款且无任何异议。</w:t>
      </w:r>
    </w:p>
    <w:p w14:paraId="1C3F64B8">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一、我方同意在</w:t>
      </w:r>
      <w:r>
        <w:rPr>
          <w:rFonts w:hint="eastAsia" w:ascii="仿宋" w:hAnsi="仿宋" w:eastAsia="仿宋" w:cs="Times New Roman"/>
          <w:kern w:val="2"/>
          <w:sz w:val="24"/>
          <w:szCs w:val="24"/>
          <w:lang w:val="en-US" w:eastAsia="zh-CN" w:bidi="ar-SA"/>
        </w:rPr>
        <w:t>询比</w:t>
      </w:r>
      <w:r>
        <w:rPr>
          <w:rFonts w:hint="default" w:ascii="仿宋" w:hAnsi="仿宋" w:eastAsia="仿宋" w:cs="Times New Roman"/>
          <w:kern w:val="2"/>
          <w:sz w:val="24"/>
          <w:szCs w:val="24"/>
          <w:lang w:val="en-US" w:eastAsia="zh-CN" w:bidi="ar-SA"/>
        </w:rPr>
        <w:t>采购文件中规定的提交响应文件截止时间起</w:t>
      </w:r>
      <w:r>
        <w:rPr>
          <w:rFonts w:hint="eastAsia" w:ascii="仿宋" w:hAnsi="仿宋" w:eastAsia="仿宋" w:cs="Times New Roman"/>
          <w:kern w:val="2"/>
          <w:sz w:val="24"/>
          <w:szCs w:val="24"/>
          <w:lang w:val="en-US" w:eastAsia="zh-CN" w:bidi="ar-SA"/>
        </w:rPr>
        <w:t xml:space="preserve">   </w:t>
      </w:r>
      <w:r>
        <w:rPr>
          <w:rFonts w:hint="default" w:ascii="仿宋" w:hAnsi="仿宋" w:eastAsia="仿宋" w:cs="Times New Roman"/>
          <w:kern w:val="2"/>
          <w:sz w:val="24"/>
          <w:szCs w:val="24"/>
          <w:lang w:val="en-US" w:eastAsia="zh-CN" w:bidi="ar-SA"/>
        </w:rPr>
        <w:t>日内(响应文件有效期)遵守本响应文件中的承诺且在此期限期满之前均具有法律约束力。</w:t>
      </w:r>
    </w:p>
    <w:p w14:paraId="4707A350">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二、我方提交响应文件正本一份和副本一份，并保证响应文件提供的数据和材料是真实、准确的。否则，愿承担相关的法律责任。</w:t>
      </w:r>
    </w:p>
    <w:p w14:paraId="0B10FDF2">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default" w:ascii="仿宋" w:hAnsi="仿宋" w:eastAsia="仿宋" w:cs="Times New Roman"/>
          <w:kern w:val="2"/>
          <w:sz w:val="24"/>
          <w:szCs w:val="24"/>
          <w:lang w:val="en-US" w:eastAsia="zh-CN" w:bidi="ar-SA"/>
        </w:rPr>
        <w:t>三、我方愿意向贵方提供任何与本项采购有关的数据、情况和技术资料。若贵方需要，我方愿意提供我方作出的一切承诺的证明材料。</w:t>
      </w:r>
    </w:p>
    <w:p w14:paraId="25EAE423">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四、我方愿意按询比</w:t>
      </w:r>
      <w:r>
        <w:rPr>
          <w:rFonts w:hint="default" w:ascii="仿宋" w:hAnsi="仿宋" w:eastAsia="仿宋" w:cs="Times New Roman"/>
          <w:kern w:val="2"/>
          <w:sz w:val="24"/>
          <w:szCs w:val="24"/>
          <w:lang w:val="en-US" w:eastAsia="zh-CN" w:bidi="ar-SA"/>
        </w:rPr>
        <w:t>采购文件规定</w:t>
      </w:r>
      <w:r>
        <w:rPr>
          <w:rFonts w:hint="eastAsia" w:ascii="仿宋" w:hAnsi="仿宋" w:eastAsia="仿宋" w:cs="Times New Roman"/>
          <w:kern w:val="2"/>
          <w:sz w:val="24"/>
          <w:szCs w:val="24"/>
          <w:lang w:val="en-US" w:eastAsia="zh-CN" w:bidi="ar-SA"/>
        </w:rPr>
        <w:t>出具项目</w:t>
      </w:r>
      <w:r>
        <w:rPr>
          <w:rFonts w:hint="default" w:ascii="仿宋" w:hAnsi="仿宋" w:eastAsia="仿宋" w:cs="Times New Roman"/>
          <w:kern w:val="2"/>
          <w:sz w:val="24"/>
          <w:szCs w:val="24"/>
          <w:lang w:val="en-US" w:eastAsia="zh-CN" w:bidi="ar-SA"/>
        </w:rPr>
        <w:t>报价，详见报价表。</w:t>
      </w:r>
    </w:p>
    <w:p w14:paraId="3F3EE789">
      <w:pPr>
        <w:pStyle w:val="8"/>
        <w:widowControl/>
        <w:adjustRightInd w:val="0"/>
        <w:snapToGrid w:val="0"/>
        <w:spacing w:line="400" w:lineRule="exact"/>
        <w:ind w:firstLine="480" w:firstLineChars="2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五、我方承诺遵守相关法律的规定，保证在获得成交资格后，按照询比</w:t>
      </w:r>
      <w:r>
        <w:rPr>
          <w:rFonts w:hint="default" w:ascii="仿宋" w:hAnsi="仿宋" w:eastAsia="仿宋" w:cs="Times New Roman"/>
          <w:kern w:val="2"/>
          <w:sz w:val="24"/>
          <w:szCs w:val="24"/>
          <w:lang w:val="en-US" w:eastAsia="zh-CN" w:bidi="ar-SA"/>
        </w:rPr>
        <w:t>采购文件确定的事项签订采购合同，履行双方所签订的合同，并承担合同规定的责任和义务。</w:t>
      </w:r>
    </w:p>
    <w:p w14:paraId="6B453DEC">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5A6567B1">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7F47CCEF">
      <w:pPr>
        <w:pStyle w:val="8"/>
        <w:rPr>
          <w:rFonts w:hint="default" w:ascii="仿宋" w:hAnsi="仿宋" w:eastAsia="仿宋" w:cs="Times New Roman"/>
          <w:kern w:val="2"/>
          <w:sz w:val="24"/>
          <w:szCs w:val="24"/>
          <w:lang w:val="en-US" w:eastAsia="zh-CN" w:bidi="ar-SA"/>
        </w:rPr>
      </w:pPr>
    </w:p>
    <w:p w14:paraId="008DF2A6">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60A28DAA">
      <w:pPr>
        <w:adjustRightInd w:val="0"/>
        <w:snapToGrid w:val="0"/>
        <w:spacing w:line="360" w:lineRule="auto"/>
        <w:ind w:right="24"/>
        <w:rPr>
          <w:rFonts w:hint="eastAsia" w:ascii="仿宋" w:hAnsi="仿宋" w:eastAsia="仿宋" w:cs="Times New Roman"/>
          <w:kern w:val="2"/>
          <w:sz w:val="24"/>
          <w:szCs w:val="24"/>
          <w:lang w:val="en-US" w:eastAsia="zh-CN" w:bidi="ar-SA"/>
        </w:rPr>
      </w:pPr>
    </w:p>
    <w:p w14:paraId="572197E9">
      <w:pPr>
        <w:pStyle w:val="8"/>
        <w:widowControl/>
        <w:adjustRightInd w:val="0"/>
        <w:snapToGrid w:val="0"/>
        <w:spacing w:line="360" w:lineRule="auto"/>
        <w:rPr>
          <w:rFonts w:hint="default" w:ascii="仿宋" w:hAnsi="仿宋" w:eastAsia="仿宋" w:cs="Times New Roman"/>
          <w:kern w:val="2"/>
          <w:sz w:val="24"/>
          <w:szCs w:val="24"/>
          <w:lang w:val="en-US" w:eastAsia="zh-CN" w:bidi="ar-SA"/>
        </w:rPr>
      </w:pPr>
    </w:p>
    <w:p w14:paraId="3ECDB331">
      <w:pPr>
        <w:pStyle w:val="8"/>
        <w:widowControl/>
        <w:adjustRightInd w:val="0"/>
        <w:snapToGrid w:val="0"/>
        <w:spacing w:line="360" w:lineRule="auto"/>
        <w:rPr>
          <w:rFonts w:hint="default" w:ascii="仿宋" w:hAnsi="仿宋" w:eastAsia="仿宋" w:cs="Times New Roman"/>
          <w:kern w:val="2"/>
          <w:sz w:val="24"/>
          <w:szCs w:val="24"/>
          <w:lang w:val="en-US" w:eastAsia="zh-CN" w:bidi="ar-SA"/>
        </w:rPr>
      </w:pPr>
    </w:p>
    <w:p w14:paraId="746027B4">
      <w:pPr>
        <w:pStyle w:val="8"/>
        <w:widowControl/>
        <w:adjustRightInd w:val="0"/>
        <w:snapToGrid w:val="0"/>
        <w:spacing w:line="400" w:lineRule="exact"/>
        <w:ind w:left="4410" w:leftChars="21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投标人</w:t>
      </w:r>
      <w:r>
        <w:rPr>
          <w:rFonts w:hint="default" w:ascii="仿宋" w:hAnsi="仿宋" w:eastAsia="仿宋" w:cs="Times New Roman"/>
          <w:kern w:val="2"/>
          <w:sz w:val="24"/>
          <w:szCs w:val="24"/>
          <w:lang w:val="en-US" w:eastAsia="zh-CN" w:bidi="ar-SA"/>
        </w:rPr>
        <w:t>名称</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盖单位章</w:t>
      </w:r>
      <w:r>
        <w:rPr>
          <w:rFonts w:hint="eastAsia" w:ascii="仿宋" w:hAnsi="仿宋" w:eastAsia="仿宋" w:cs="Times New Roman"/>
          <w:kern w:val="2"/>
          <w:sz w:val="24"/>
          <w:szCs w:val="24"/>
          <w:lang w:val="en-US" w:eastAsia="zh-CN" w:bidi="ar-SA"/>
        </w:rPr>
        <w:t>）</w:t>
      </w:r>
      <w:r>
        <w:rPr>
          <w:rFonts w:hint="default" w:ascii="仿宋" w:hAnsi="仿宋" w:eastAsia="仿宋" w:cs="Times New Roman"/>
          <w:kern w:val="2"/>
          <w:sz w:val="24"/>
          <w:szCs w:val="24"/>
          <w:lang w:val="en-US" w:eastAsia="zh-CN" w:bidi="ar-SA"/>
        </w:rPr>
        <w:t>：</w:t>
      </w:r>
    </w:p>
    <w:p w14:paraId="27E01A7B">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 xml:space="preserve">法定代表人或其委托代理 (签字)： </w:t>
      </w:r>
    </w:p>
    <w:p w14:paraId="5B649E59">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日期：     年     月    日</w:t>
      </w:r>
    </w:p>
    <w:p w14:paraId="371B7CB9">
      <w:pPr>
        <w:pStyle w:val="24"/>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br w:type="page"/>
      </w:r>
      <w:r>
        <w:rPr>
          <w:rFonts w:hint="eastAsia" w:ascii="仿宋" w:hAnsi="仿宋" w:eastAsia="仿宋" w:cs="Times New Roman"/>
          <w:kern w:val="2"/>
          <w:sz w:val="24"/>
          <w:szCs w:val="24"/>
          <w:lang w:val="en-US" w:eastAsia="zh-CN" w:bidi="ar-SA"/>
        </w:rPr>
        <w:t>附件2：</w:t>
      </w:r>
    </w:p>
    <w:p w14:paraId="348C8665">
      <w:pPr>
        <w:spacing w:line="480" w:lineRule="exact"/>
        <w:jc w:val="center"/>
        <w:outlineLvl w:val="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报价函</w:t>
      </w:r>
    </w:p>
    <w:p w14:paraId="171F3345">
      <w:pPr>
        <w:adjustRightInd w:val="0"/>
        <w:snapToGrid w:val="0"/>
        <w:spacing w:line="400" w:lineRule="exact"/>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湖南铁道职业技术学校：</w:t>
      </w:r>
    </w:p>
    <w:p w14:paraId="22FEA420">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我公司仔细阅读了市场调研（询价）咨询服务采购项目询价文件，清楚文件中关于本项目的相关采购需求。</w:t>
      </w:r>
    </w:p>
    <w:p w14:paraId="1DEB3319">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报价：</w:t>
      </w:r>
    </w:p>
    <w:p w14:paraId="631406E5">
      <w:pPr>
        <w:adjustRightInd w:val="0"/>
        <w:snapToGrid w:val="0"/>
        <w:spacing w:line="400" w:lineRule="exact"/>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我司最终投标报价：送审金额的    ‰收取咨询费。</w:t>
      </w:r>
    </w:p>
    <w:p w14:paraId="12595D9B">
      <w:pPr>
        <w:pStyle w:val="5"/>
        <w:widowControl/>
        <w:ind w:left="0" w:leftChars="0" w:firstLine="480"/>
        <w:rPr>
          <w:rFonts w:hint="eastAsia" w:ascii="仿宋" w:hAnsi="仿宋" w:eastAsia="仿宋" w:cs="Times New Roman"/>
          <w:kern w:val="2"/>
          <w:sz w:val="24"/>
          <w:szCs w:val="24"/>
          <w:lang w:val="en-US" w:eastAsia="zh-CN" w:bidi="ar-SA"/>
        </w:rPr>
      </w:pPr>
    </w:p>
    <w:p w14:paraId="0968B1B1">
      <w:pPr>
        <w:spacing w:line="360" w:lineRule="auto"/>
        <w:ind w:firstLine="640"/>
        <w:jc w:val="left"/>
        <w:rPr>
          <w:rFonts w:hint="eastAsia" w:ascii="仿宋" w:hAnsi="仿宋" w:eastAsia="仿宋" w:cs="Times New Roman"/>
          <w:kern w:val="2"/>
          <w:sz w:val="24"/>
          <w:szCs w:val="24"/>
          <w:lang w:val="en-US" w:eastAsia="zh-CN" w:bidi="ar-SA"/>
        </w:rPr>
      </w:pPr>
    </w:p>
    <w:p w14:paraId="1075977D">
      <w:pPr>
        <w:pStyle w:val="8"/>
        <w:widowControl/>
        <w:adjustRightInd w:val="0"/>
        <w:snapToGrid w:val="0"/>
        <w:spacing w:line="400" w:lineRule="exact"/>
        <w:ind w:left="4410" w:leftChars="2100"/>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投标单位（公章）：</w:t>
      </w:r>
    </w:p>
    <w:p w14:paraId="0A415521">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法定代表人或授权代表（签字或盖章）：</w:t>
      </w:r>
    </w:p>
    <w:p w14:paraId="680D4DF1">
      <w:pPr>
        <w:adjustRightInd w:val="0"/>
        <w:snapToGrid w:val="0"/>
        <w:spacing w:before="468" w:beforeLines="150" w:line="400" w:lineRule="exact"/>
        <w:ind w:left="4410" w:leftChars="2100"/>
        <w:rPr>
          <w:rFonts w:hint="eastAsia" w:ascii="仿宋" w:hAnsi="仿宋" w:eastAsia="仿宋" w:cs="Times New Roman"/>
          <w:kern w:val="2"/>
          <w:sz w:val="24"/>
          <w:szCs w:val="24"/>
          <w:lang w:val="en-US" w:eastAsia="zh-CN" w:bidi="ar-SA"/>
        </w:rPr>
        <w:sectPr>
          <w:headerReference r:id="rId3" w:type="default"/>
          <w:footerReference r:id="rId4" w:type="default"/>
          <w:pgSz w:w="11906" w:h="16838"/>
          <w:pgMar w:top="1440" w:right="1361" w:bottom="1440" w:left="1361" w:header="851" w:footer="992" w:gutter="0"/>
          <w:cols w:space="720" w:num="1"/>
          <w:docGrid w:type="lines" w:linePitch="312" w:charSpace="0"/>
        </w:sectPr>
      </w:pPr>
      <w:r>
        <w:rPr>
          <w:rFonts w:hint="eastAsia" w:ascii="仿宋" w:hAnsi="仿宋" w:eastAsia="仿宋" w:cs="Times New Roman"/>
          <w:kern w:val="2"/>
          <w:sz w:val="24"/>
          <w:szCs w:val="24"/>
          <w:lang w:val="en-US" w:eastAsia="zh-CN" w:bidi="ar-SA"/>
        </w:rPr>
        <w:t>日期：      年      月     日</w:t>
      </w:r>
    </w:p>
    <w:p w14:paraId="36AF8E5A">
      <w:pPr>
        <w:adjustRightInd w:val="0"/>
        <w:snapToGrid w:val="0"/>
        <w:spacing w:line="360" w:lineRule="auto"/>
        <w:ind w:right="24"/>
        <w:rPr>
          <w:rFonts w:hint="eastAsia" w:ascii="仿宋" w:hAnsi="仿宋" w:eastAsia="仿宋"/>
          <w:bCs/>
          <w:color w:val="auto"/>
          <w:sz w:val="24"/>
          <w:szCs w:val="24"/>
        </w:rPr>
      </w:pPr>
      <w:r>
        <w:rPr>
          <w:rFonts w:hint="eastAsia" w:ascii="仿宋" w:hAnsi="仿宋" w:eastAsia="仿宋"/>
          <w:bCs/>
          <w:color w:val="auto"/>
          <w:sz w:val="24"/>
          <w:szCs w:val="24"/>
        </w:rPr>
        <w:t>附</w:t>
      </w:r>
      <w:r>
        <w:rPr>
          <w:rFonts w:hint="eastAsia" w:ascii="仿宋" w:hAnsi="仿宋" w:eastAsia="仿宋"/>
          <w:bCs/>
          <w:color w:val="auto"/>
          <w:sz w:val="24"/>
          <w:szCs w:val="24"/>
          <w:lang w:val="en-US" w:eastAsia="zh-CN"/>
        </w:rPr>
        <w:t>3</w:t>
      </w:r>
      <w:r>
        <w:rPr>
          <w:rFonts w:hint="eastAsia" w:ascii="仿宋" w:hAnsi="仿宋" w:eastAsia="仿宋"/>
          <w:bCs/>
          <w:color w:val="auto"/>
          <w:sz w:val="24"/>
          <w:szCs w:val="24"/>
        </w:rPr>
        <w:t>：</w:t>
      </w:r>
      <w:bookmarkStart w:id="4" w:name="_GoBack"/>
      <w:bookmarkEnd w:id="4"/>
    </w:p>
    <w:p w14:paraId="0B167DF4">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法定代表人身份证明(法定代表人参加询比)</w:t>
      </w:r>
    </w:p>
    <w:p w14:paraId="704A8298">
      <w:pPr>
        <w:snapToGrid w:val="0"/>
        <w:spacing w:line="480" w:lineRule="auto"/>
        <w:rPr>
          <w:rFonts w:hint="eastAsia" w:ascii="仿宋" w:hAnsi="仿宋" w:eastAsia="仿宋"/>
          <w:color w:val="auto"/>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注册号：</w:t>
      </w:r>
      <w:r>
        <w:rPr>
          <w:rFonts w:hint="eastAsia" w:ascii="仿宋" w:hAnsi="仿宋" w:eastAsia="仿宋" w:cs="宋体"/>
          <w:color w:val="auto"/>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注册地址：</w:t>
      </w:r>
      <w:r>
        <w:rPr>
          <w:rFonts w:hint="eastAsia" w:ascii="仿宋" w:hAnsi="仿宋" w:eastAsia="仿宋" w:cs="宋体"/>
          <w:color w:val="auto"/>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 xml:space="preserve">成立时间：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年 </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月</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经营期限：</w:t>
      </w:r>
      <w:r>
        <w:rPr>
          <w:rFonts w:hint="eastAsia" w:ascii="仿宋" w:hAnsi="仿宋" w:eastAsia="仿宋" w:cs="宋体"/>
          <w:color w:val="auto"/>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u w:val="single"/>
        </w:rPr>
      </w:pPr>
      <w:r>
        <w:rPr>
          <w:rFonts w:hint="eastAsia" w:ascii="仿宋" w:hAnsi="仿宋" w:eastAsia="仿宋" w:cs="宋体"/>
          <w:color w:val="auto"/>
          <w:kern w:val="0"/>
          <w:sz w:val="24"/>
          <w:szCs w:val="24"/>
        </w:rPr>
        <w:t>经营范围：主营：</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；兼营：</w:t>
      </w:r>
      <w:r>
        <w:rPr>
          <w:rFonts w:hint="eastAsia" w:ascii="仿宋" w:hAnsi="仿宋" w:eastAsia="仿宋" w:cs="宋体"/>
          <w:color w:val="auto"/>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姓名：</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性别：</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年龄：</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color w:val="auto"/>
          <w:kern w:val="0"/>
          <w:sz w:val="24"/>
          <w:szCs w:val="24"/>
        </w:rPr>
      </w:pPr>
      <w:r>
        <w:rPr>
          <w:rFonts w:hint="eastAsia" w:ascii="仿宋" w:hAnsi="仿宋" w:eastAsia="仿宋"/>
          <w:color w:val="auto"/>
          <w:sz w:val="24"/>
          <w:szCs w:val="24"/>
        </w:rPr>
        <w:t>附：法定代表人身份证复印件</w:t>
      </w:r>
    </w:p>
    <w:p w14:paraId="26FEDB98">
      <w:pPr>
        <w:snapToGrid w:val="0"/>
        <w:spacing w:line="480" w:lineRule="auto"/>
        <w:rPr>
          <w:rFonts w:hint="eastAsia" w:ascii="仿宋" w:hAnsi="仿宋" w:eastAsia="仿宋"/>
          <w:color w:val="auto"/>
          <w:sz w:val="24"/>
          <w:szCs w:val="24"/>
        </w:rPr>
      </w:pPr>
    </w:p>
    <w:p w14:paraId="4EAB8206">
      <w:pPr>
        <w:snapToGrid w:val="0"/>
        <w:rPr>
          <w:rFonts w:hint="eastAsia" w:ascii="仿宋" w:hAnsi="仿宋" w:eastAsia="仿宋"/>
          <w:color w:val="auto"/>
          <w:sz w:val="24"/>
          <w:szCs w:val="24"/>
        </w:rPr>
      </w:pPr>
    </w:p>
    <w:p w14:paraId="67C67ED1">
      <w:pPr>
        <w:snapToGrid w:val="0"/>
        <w:rPr>
          <w:rFonts w:hint="eastAsia" w:ascii="仿宋" w:hAnsi="仿宋" w:eastAsia="仿宋"/>
          <w:color w:val="auto"/>
          <w:sz w:val="24"/>
          <w:szCs w:val="24"/>
        </w:rPr>
      </w:pPr>
    </w:p>
    <w:p w14:paraId="172E056E">
      <w:pPr>
        <w:snapToGrid w:val="0"/>
        <w:rPr>
          <w:rFonts w:hint="eastAsia" w:ascii="仿宋" w:hAnsi="仿宋" w:eastAsia="仿宋"/>
          <w:color w:val="auto"/>
          <w:sz w:val="24"/>
          <w:szCs w:val="24"/>
        </w:rPr>
      </w:pPr>
    </w:p>
    <w:p w14:paraId="336B8B31">
      <w:pPr>
        <w:snapToGrid w:val="0"/>
        <w:rPr>
          <w:rFonts w:hint="eastAsia" w:ascii="仿宋" w:hAnsi="仿宋" w:eastAsia="仿宋"/>
          <w:color w:val="auto"/>
          <w:sz w:val="24"/>
          <w:szCs w:val="24"/>
        </w:rPr>
      </w:pPr>
    </w:p>
    <w:p w14:paraId="7FB434E6">
      <w:pPr>
        <w:adjustRightInd w:val="0"/>
        <w:snapToGrid w:val="0"/>
        <w:spacing w:line="360" w:lineRule="auto"/>
        <w:rPr>
          <w:rFonts w:hint="eastAsia" w:ascii="仿宋" w:hAnsi="仿宋" w:eastAsia="仿宋"/>
          <w:color w:val="auto"/>
          <w:sz w:val="24"/>
          <w:szCs w:val="24"/>
        </w:rPr>
      </w:pPr>
    </w:p>
    <w:p w14:paraId="244CD4E8">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p>
    <w:p w14:paraId="6D5A421B">
      <w:pPr>
        <w:adjustRightInd w:val="0"/>
        <w:snapToGrid w:val="0"/>
        <w:spacing w:line="360" w:lineRule="auto"/>
        <w:ind w:right="420"/>
        <w:rPr>
          <w:rFonts w:hint="eastAsia" w:ascii="仿宋_GB2312" w:hAnsi="宋体" w:eastAsia="仿宋_GB2312"/>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 xml:space="preserve">日 </w:t>
      </w:r>
      <w:r>
        <w:rPr>
          <w:rFonts w:hint="eastAsia" w:ascii="仿宋_GB2312" w:hAnsi="宋体" w:eastAsia="仿宋_GB2312"/>
          <w:color w:val="auto"/>
          <w:sz w:val="24"/>
          <w:szCs w:val="24"/>
        </w:rPr>
        <w:t xml:space="preserve">     </w:t>
      </w:r>
    </w:p>
    <w:p w14:paraId="2544BD96">
      <w:pPr>
        <w:adjustRightInd w:val="0"/>
        <w:snapToGrid w:val="0"/>
        <w:spacing w:before="156" w:beforeLines="50" w:line="360" w:lineRule="auto"/>
        <w:rPr>
          <w:rFonts w:hint="eastAsia" w:ascii="仿宋_GB2312" w:hAnsi="宋体" w:eastAsia="仿宋_GB2312"/>
          <w:color w:val="auto"/>
          <w:sz w:val="24"/>
          <w:szCs w:val="24"/>
        </w:rPr>
      </w:pPr>
    </w:p>
    <w:p w14:paraId="325667BA">
      <w:pPr>
        <w:adjustRightInd w:val="0"/>
        <w:snapToGrid w:val="0"/>
        <w:spacing w:before="156" w:beforeLines="50" w:line="360" w:lineRule="auto"/>
        <w:rPr>
          <w:rFonts w:hint="eastAsia" w:ascii="仿宋_GB2312" w:hAnsi="宋体" w:eastAsia="仿宋_GB2312"/>
          <w:color w:val="auto"/>
          <w:sz w:val="24"/>
          <w:szCs w:val="24"/>
        </w:rPr>
      </w:pPr>
    </w:p>
    <w:p w14:paraId="6BDE129F">
      <w:pPr>
        <w:adjustRightInd w:val="0"/>
        <w:snapToGrid w:val="0"/>
        <w:spacing w:before="156" w:beforeLines="50" w:line="360" w:lineRule="auto"/>
        <w:rPr>
          <w:rFonts w:hint="eastAsia" w:ascii="仿宋_GB2312" w:hAnsi="宋体" w:eastAsia="仿宋_GB2312"/>
          <w:color w:val="FF0000"/>
          <w:sz w:val="24"/>
          <w:szCs w:val="24"/>
        </w:rPr>
      </w:pPr>
      <w:r>
        <w:rPr>
          <w:rFonts w:hint="eastAsia" w:ascii="仿宋_GB2312" w:hAnsi="宋体" w:eastAsia="仿宋_GB2312"/>
          <w:color w:val="FF0000"/>
          <w:sz w:val="24"/>
          <w:szCs w:val="24"/>
        </w:rPr>
        <w:br w:type="page"/>
      </w:r>
    </w:p>
    <w:p w14:paraId="75B8A198">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bCs/>
          <w:color w:val="auto"/>
          <w:sz w:val="24"/>
          <w:szCs w:val="24"/>
        </w:rPr>
        <w:t>附</w:t>
      </w:r>
      <w:r>
        <w:rPr>
          <w:rFonts w:hint="eastAsia" w:ascii="仿宋" w:hAnsi="仿宋" w:eastAsia="仿宋"/>
          <w:bCs/>
          <w:color w:val="auto"/>
          <w:sz w:val="24"/>
          <w:szCs w:val="24"/>
          <w:lang w:val="en-US" w:eastAsia="zh-CN"/>
        </w:rPr>
        <w:t>4</w:t>
      </w:r>
      <w:r>
        <w:rPr>
          <w:rFonts w:hint="eastAsia" w:ascii="仿宋" w:hAnsi="仿宋" w:eastAsia="仿宋"/>
          <w:color w:val="auto"/>
          <w:sz w:val="24"/>
          <w:szCs w:val="24"/>
        </w:rPr>
        <w:t>：</w:t>
      </w:r>
    </w:p>
    <w:p w14:paraId="656A6B8E">
      <w:pPr>
        <w:adjustRightInd w:val="0"/>
        <w:snapToGrid w:val="0"/>
        <w:spacing w:line="360" w:lineRule="auto"/>
        <w:ind w:right="24"/>
        <w:jc w:val="center"/>
        <w:rPr>
          <w:rFonts w:hint="eastAsia" w:ascii="仿宋" w:hAnsi="仿宋" w:eastAsia="仿宋"/>
          <w:b/>
          <w:color w:val="auto"/>
          <w:sz w:val="24"/>
          <w:szCs w:val="24"/>
        </w:rPr>
      </w:pPr>
      <w:r>
        <w:rPr>
          <w:rFonts w:hint="eastAsia" w:ascii="仿宋" w:hAnsi="仿宋" w:eastAsia="仿宋"/>
          <w:b/>
          <w:color w:val="auto"/>
          <w:sz w:val="24"/>
          <w:szCs w:val="24"/>
        </w:rPr>
        <w:t>法定代表人授权书(委托代理人参加询比)</w:t>
      </w:r>
    </w:p>
    <w:p w14:paraId="1F74DEA9">
      <w:pPr>
        <w:adjustRightInd w:val="0"/>
        <w:snapToGrid w:val="0"/>
        <w:spacing w:line="360" w:lineRule="auto"/>
        <w:jc w:val="center"/>
        <w:rPr>
          <w:rFonts w:hint="eastAsia" w:ascii="仿宋" w:hAnsi="仿宋" w:eastAsia="仿宋"/>
          <w:b/>
          <w:color w:val="auto"/>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本人</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（姓名、职务）系</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r>
        <w:rPr>
          <w:rFonts w:hint="eastAsia" w:ascii="仿宋" w:hAnsi="仿宋" w:eastAsia="仿宋"/>
          <w:color w:val="auto"/>
          <w:sz w:val="24"/>
          <w:szCs w:val="24"/>
        </w:rPr>
        <w:t>供应商</w:t>
      </w:r>
      <w:r>
        <w:rPr>
          <w:rFonts w:hint="eastAsia" w:ascii="仿宋" w:hAnsi="仿宋" w:eastAsia="仿宋" w:cs="宋体"/>
          <w:color w:val="auto"/>
          <w:kern w:val="0"/>
          <w:sz w:val="24"/>
          <w:szCs w:val="24"/>
        </w:rPr>
        <w:t>名称）的法定代表人，现授权</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（姓名、职务）为我方代理人。代理人根据授权，以我方名义：(1)签署、澄清、补正、修改、撤回、提交</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（项目名称、</w:t>
      </w:r>
      <w:r>
        <w:rPr>
          <w:rFonts w:hint="eastAsia" w:ascii="仿宋" w:hAnsi="仿宋" w:eastAsia="仿宋"/>
          <w:color w:val="auto"/>
          <w:sz w:val="24"/>
          <w:szCs w:val="24"/>
        </w:rPr>
        <w:t>项目</w:t>
      </w:r>
      <w:r>
        <w:rPr>
          <w:rFonts w:hint="eastAsia" w:ascii="仿宋" w:hAnsi="仿宋" w:eastAsia="仿宋" w:cs="宋体"/>
          <w:color w:val="auto"/>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委托期限：</w:t>
      </w:r>
      <w:r>
        <w:rPr>
          <w:rFonts w:hint="eastAsia" w:ascii="仿宋" w:hAnsi="仿宋" w:eastAsia="仿宋" w:cs="宋体"/>
          <w:color w:val="auto"/>
          <w:kern w:val="0"/>
          <w:sz w:val="24"/>
          <w:szCs w:val="24"/>
          <w:u w:val="single"/>
        </w:rPr>
        <w:t xml:space="preserve">                                     </w:t>
      </w:r>
      <w:r>
        <w:rPr>
          <w:rFonts w:hint="eastAsia" w:ascii="仿宋" w:hAnsi="仿宋" w:eastAsia="仿宋" w:cs="宋体"/>
          <w:color w:val="auto"/>
          <w:kern w:val="0"/>
          <w:sz w:val="24"/>
          <w:szCs w:val="24"/>
        </w:rPr>
        <w:t xml:space="preserve"> 。</w:t>
      </w:r>
    </w:p>
    <w:p w14:paraId="5F2DA45B">
      <w:pPr>
        <w:spacing w:line="360" w:lineRule="auto"/>
        <w:ind w:firstLine="435"/>
        <w:rPr>
          <w:rFonts w:hint="eastAsia" w:ascii="仿宋" w:hAnsi="仿宋" w:eastAsia="仿宋" w:cs="宋体"/>
          <w:color w:val="auto"/>
          <w:kern w:val="0"/>
          <w:sz w:val="24"/>
          <w:szCs w:val="24"/>
        </w:rPr>
      </w:pPr>
      <w:r>
        <w:rPr>
          <w:rFonts w:hint="eastAsia" w:ascii="仿宋" w:hAnsi="仿宋" w:eastAsia="仿宋" w:cs="宋体"/>
          <w:color w:val="auto"/>
          <w:kern w:val="0"/>
          <w:sz w:val="24"/>
          <w:szCs w:val="24"/>
        </w:rPr>
        <w:t>代理人无转委托权。</w:t>
      </w:r>
    </w:p>
    <w:p w14:paraId="2B2CBEC3">
      <w:pPr>
        <w:spacing w:line="360" w:lineRule="auto"/>
        <w:ind w:firstLine="435"/>
        <w:rPr>
          <w:rFonts w:hint="eastAsia" w:ascii="仿宋" w:hAnsi="仿宋" w:eastAsia="仿宋"/>
          <w:color w:val="auto"/>
          <w:sz w:val="24"/>
          <w:szCs w:val="24"/>
        </w:rPr>
      </w:pPr>
      <w:r>
        <w:rPr>
          <w:rFonts w:hint="eastAsia" w:ascii="仿宋" w:hAnsi="仿宋" w:eastAsia="仿宋"/>
          <w:color w:val="auto"/>
          <w:sz w:val="24"/>
          <w:szCs w:val="24"/>
        </w:rPr>
        <w:t>本授权书于</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color w:val="auto"/>
          <w:sz w:val="24"/>
          <w:szCs w:val="24"/>
        </w:rPr>
      </w:pPr>
      <w:r>
        <w:rPr>
          <w:rFonts w:hint="eastAsia" w:ascii="仿宋" w:hAnsi="仿宋" w:eastAsia="仿宋"/>
          <w:color w:val="auto"/>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color w:val="auto"/>
          <w:sz w:val="24"/>
          <w:szCs w:val="24"/>
        </w:rPr>
      </w:pPr>
    </w:p>
    <w:p w14:paraId="1F7D4EA2">
      <w:pPr>
        <w:adjustRightInd w:val="0"/>
        <w:snapToGrid w:val="0"/>
        <w:spacing w:line="360" w:lineRule="auto"/>
        <w:ind w:right="420"/>
        <w:rPr>
          <w:rFonts w:ascii="仿宋_GB2312" w:eastAsia="仿宋_GB2312"/>
          <w:color w:val="auto"/>
          <w:sz w:val="24"/>
          <w:szCs w:val="24"/>
        </w:rPr>
      </w:pPr>
    </w:p>
    <w:p w14:paraId="5412F61A">
      <w:pPr>
        <w:adjustRightInd w:val="0"/>
        <w:snapToGrid w:val="0"/>
        <w:spacing w:line="360" w:lineRule="auto"/>
        <w:ind w:right="420"/>
        <w:rPr>
          <w:rFonts w:ascii="仿宋_GB2312" w:eastAsia="仿宋_GB2312"/>
          <w:color w:val="auto"/>
          <w:sz w:val="24"/>
          <w:szCs w:val="24"/>
        </w:rPr>
      </w:pPr>
    </w:p>
    <w:p w14:paraId="38E93315">
      <w:pPr>
        <w:adjustRightInd w:val="0"/>
        <w:snapToGrid w:val="0"/>
        <w:spacing w:line="360" w:lineRule="auto"/>
        <w:ind w:right="420"/>
        <w:rPr>
          <w:rFonts w:ascii="仿宋_GB2312" w:eastAsia="仿宋_GB2312"/>
          <w:color w:val="auto"/>
          <w:sz w:val="24"/>
          <w:szCs w:val="24"/>
        </w:rPr>
      </w:pPr>
    </w:p>
    <w:p w14:paraId="70621C30">
      <w:pPr>
        <w:adjustRightInd w:val="0"/>
        <w:snapToGrid w:val="0"/>
        <w:spacing w:line="360" w:lineRule="auto"/>
        <w:ind w:right="420"/>
        <w:rPr>
          <w:rFonts w:ascii="仿宋_GB2312" w:eastAsia="仿宋_GB2312"/>
          <w:color w:val="auto"/>
          <w:sz w:val="24"/>
          <w:szCs w:val="24"/>
        </w:rPr>
      </w:pPr>
    </w:p>
    <w:p w14:paraId="64505749">
      <w:pPr>
        <w:adjustRightInd w:val="0"/>
        <w:snapToGrid w:val="0"/>
        <w:spacing w:line="360" w:lineRule="auto"/>
        <w:ind w:right="420"/>
        <w:rPr>
          <w:rFonts w:ascii="仿宋_GB2312" w:eastAsia="仿宋_GB2312"/>
          <w:color w:val="auto"/>
          <w:sz w:val="24"/>
          <w:szCs w:val="24"/>
        </w:rPr>
      </w:pPr>
    </w:p>
    <w:p w14:paraId="63427933">
      <w:pPr>
        <w:adjustRightInd w:val="0"/>
        <w:snapToGrid w:val="0"/>
        <w:spacing w:line="360" w:lineRule="auto"/>
        <w:ind w:right="420"/>
        <w:rPr>
          <w:rFonts w:ascii="仿宋_GB2312" w:eastAsia="仿宋_GB2312"/>
          <w:color w:val="auto"/>
          <w:sz w:val="24"/>
          <w:szCs w:val="24"/>
        </w:rPr>
      </w:pPr>
    </w:p>
    <w:p w14:paraId="24BDBAFA">
      <w:pPr>
        <w:adjustRightInd w:val="0"/>
        <w:snapToGrid w:val="0"/>
        <w:spacing w:line="360" w:lineRule="auto"/>
        <w:ind w:right="420"/>
        <w:rPr>
          <w:rFonts w:ascii="仿宋_GB2312" w:eastAsia="仿宋_GB2312"/>
          <w:color w:val="auto"/>
          <w:sz w:val="24"/>
          <w:szCs w:val="24"/>
        </w:rPr>
      </w:pPr>
    </w:p>
    <w:p w14:paraId="47B4054C">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法定代表人（签字）：</w:t>
      </w:r>
      <w:r>
        <w:rPr>
          <w:rFonts w:hint="eastAsia" w:ascii="仿宋" w:hAnsi="仿宋" w:eastAsia="仿宋"/>
          <w:color w:val="auto"/>
          <w:sz w:val="24"/>
          <w:szCs w:val="24"/>
          <w:u w:val="single"/>
        </w:rPr>
        <w:t xml:space="preserve">                     </w:t>
      </w:r>
    </w:p>
    <w:p w14:paraId="048C2DDA">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供应商名称（盖单位章）：</w:t>
      </w:r>
      <w:r>
        <w:rPr>
          <w:rFonts w:hint="eastAsia" w:ascii="仿宋" w:hAnsi="仿宋" w:eastAsia="仿宋"/>
          <w:color w:val="auto"/>
          <w:sz w:val="24"/>
          <w:szCs w:val="24"/>
          <w:u w:val="single"/>
        </w:rPr>
        <w:t xml:space="preserve">                     </w:t>
      </w:r>
    </w:p>
    <w:p w14:paraId="3FC1AB2B">
      <w:pPr>
        <w:adjustRightInd w:val="0"/>
        <w:snapToGrid w:val="0"/>
        <w:spacing w:line="360" w:lineRule="auto"/>
        <w:ind w:right="420"/>
        <w:rPr>
          <w:rFonts w:hint="eastAsia" w:ascii="仿宋" w:hAnsi="仿宋" w:eastAsia="仿宋"/>
          <w:color w:val="auto"/>
          <w:sz w:val="24"/>
          <w:szCs w:val="24"/>
        </w:rPr>
      </w:pPr>
      <w:r>
        <w:rPr>
          <w:rFonts w:hint="eastAsia" w:ascii="仿宋" w:hAnsi="仿宋" w:eastAsia="仿宋"/>
          <w:color w:val="auto"/>
          <w:sz w:val="24"/>
          <w:szCs w:val="24"/>
        </w:rPr>
        <w:t>委托代理人（签字）：</w:t>
      </w:r>
      <w:r>
        <w:rPr>
          <w:rFonts w:hint="eastAsia" w:ascii="仿宋" w:hAnsi="仿宋" w:eastAsia="仿宋"/>
          <w:color w:val="auto"/>
          <w:sz w:val="24"/>
          <w:szCs w:val="24"/>
          <w:u w:val="single"/>
        </w:rPr>
        <w:t xml:space="preserve">                     </w:t>
      </w:r>
    </w:p>
    <w:p w14:paraId="7694157B">
      <w:pPr>
        <w:adjustRightInd w:val="0"/>
        <w:snapToGrid w:val="0"/>
        <w:spacing w:line="360" w:lineRule="auto"/>
        <w:ind w:right="24"/>
        <w:rPr>
          <w:rFonts w:hint="eastAsia" w:ascii="仿宋" w:hAnsi="仿宋" w:eastAsia="仿宋"/>
          <w:color w:val="auto"/>
          <w:sz w:val="24"/>
          <w:szCs w:val="24"/>
        </w:rPr>
      </w:pPr>
      <w:r>
        <w:rPr>
          <w:rFonts w:hint="eastAsia" w:ascii="仿宋" w:hAnsi="仿宋" w:eastAsia="仿宋"/>
          <w:color w:val="auto"/>
          <w:sz w:val="24"/>
          <w:szCs w:val="24"/>
        </w:rPr>
        <w:t>日期：</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年</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月</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日</w:t>
      </w:r>
    </w:p>
    <w:p w14:paraId="09A04634">
      <w:pPr>
        <w:spacing w:line="360" w:lineRule="exact"/>
        <w:rPr>
          <w:rFonts w:ascii="仿宋_GB2312" w:eastAsia="仿宋_GB2312"/>
          <w:b/>
          <w:color w:val="auto"/>
          <w:sz w:val="24"/>
          <w:szCs w:val="24"/>
        </w:rPr>
      </w:pPr>
    </w:p>
    <w:p w14:paraId="6A6004FF">
      <w:pPr>
        <w:spacing w:line="360" w:lineRule="exact"/>
        <w:rPr>
          <w:rFonts w:ascii="仿宋_GB2312" w:eastAsia="仿宋_GB2312"/>
          <w:b/>
          <w:color w:val="auto"/>
          <w:sz w:val="24"/>
          <w:szCs w:val="24"/>
        </w:rPr>
      </w:pPr>
    </w:p>
    <w:p w14:paraId="64DE60D2">
      <w:pPr>
        <w:adjustRightInd w:val="0"/>
        <w:snapToGrid w:val="0"/>
        <w:spacing w:before="468" w:beforeLines="150" w:line="400" w:lineRule="exact"/>
        <w:ind w:left="4410" w:leftChars="2100"/>
        <w:rPr>
          <w:rFonts w:hint="eastAsia" w:ascii="仿宋" w:hAnsi="仿宋" w:eastAsia="仿宋" w:cs="Times New Roman"/>
          <w:color w:val="auto"/>
          <w:kern w:val="2"/>
          <w:sz w:val="24"/>
          <w:szCs w:val="24"/>
          <w:lang w:val="en-US" w:eastAsia="zh-CN" w:bidi="ar-SA"/>
        </w:rPr>
      </w:pPr>
    </w:p>
    <w:sectPr>
      <w:pgSz w:w="11906" w:h="16838"/>
      <w:pgMar w:top="1440" w:right="1361" w:bottom="1440"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554CC">
    <w:pPr>
      <w:spacing w:line="177" w:lineRule="auto"/>
      <w:ind w:left="4246"/>
      <w:rPr>
        <w:rFonts w:ascii="Times New Roman" w:hAnsi="Times New Roman" w:eastAsia="Times New Roman" w:cs="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81810">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02C5D"/>
    <w:rsid w:val="00172A27"/>
    <w:rsid w:val="001C2B7C"/>
    <w:rsid w:val="002C1B16"/>
    <w:rsid w:val="003051EF"/>
    <w:rsid w:val="003C4128"/>
    <w:rsid w:val="00AC1C14"/>
    <w:rsid w:val="00AC3B2E"/>
    <w:rsid w:val="00D22699"/>
    <w:rsid w:val="00DB3BD9"/>
    <w:rsid w:val="00DD12C8"/>
    <w:rsid w:val="00F51281"/>
    <w:rsid w:val="01AF4249"/>
    <w:rsid w:val="05C36005"/>
    <w:rsid w:val="06717CE1"/>
    <w:rsid w:val="06C13D9D"/>
    <w:rsid w:val="0BF75D52"/>
    <w:rsid w:val="0C242784"/>
    <w:rsid w:val="0C4574AD"/>
    <w:rsid w:val="0E83265A"/>
    <w:rsid w:val="0E913EF5"/>
    <w:rsid w:val="0E9D4189"/>
    <w:rsid w:val="0FBD2063"/>
    <w:rsid w:val="134770B1"/>
    <w:rsid w:val="139B6A81"/>
    <w:rsid w:val="14DB16C5"/>
    <w:rsid w:val="14E565B6"/>
    <w:rsid w:val="14FD6DD1"/>
    <w:rsid w:val="167935BC"/>
    <w:rsid w:val="18F97D80"/>
    <w:rsid w:val="1A9F05BC"/>
    <w:rsid w:val="1D3C5764"/>
    <w:rsid w:val="1D9C74E3"/>
    <w:rsid w:val="20021EFA"/>
    <w:rsid w:val="20451316"/>
    <w:rsid w:val="20D85C6D"/>
    <w:rsid w:val="226F2247"/>
    <w:rsid w:val="22931946"/>
    <w:rsid w:val="27C32548"/>
    <w:rsid w:val="30075FDB"/>
    <w:rsid w:val="318F0B43"/>
    <w:rsid w:val="33E32A95"/>
    <w:rsid w:val="3476362E"/>
    <w:rsid w:val="360F303D"/>
    <w:rsid w:val="3ED92EA0"/>
    <w:rsid w:val="41C660F7"/>
    <w:rsid w:val="442F5C1F"/>
    <w:rsid w:val="44C10289"/>
    <w:rsid w:val="456074AB"/>
    <w:rsid w:val="46DA4E4A"/>
    <w:rsid w:val="46F25A61"/>
    <w:rsid w:val="49256DAF"/>
    <w:rsid w:val="49505853"/>
    <w:rsid w:val="49AB04EC"/>
    <w:rsid w:val="4A3C1FD9"/>
    <w:rsid w:val="4AD127C8"/>
    <w:rsid w:val="4BF86E9E"/>
    <w:rsid w:val="4C7E5A0B"/>
    <w:rsid w:val="4DDC3F8C"/>
    <w:rsid w:val="4E8A006A"/>
    <w:rsid w:val="4FDE29AA"/>
    <w:rsid w:val="501A73E7"/>
    <w:rsid w:val="50642410"/>
    <w:rsid w:val="54EC499D"/>
    <w:rsid w:val="56AB0FBE"/>
    <w:rsid w:val="5A9326BE"/>
    <w:rsid w:val="5DA930B5"/>
    <w:rsid w:val="5EEA486F"/>
    <w:rsid w:val="610B0243"/>
    <w:rsid w:val="6466523C"/>
    <w:rsid w:val="69EF5DD6"/>
    <w:rsid w:val="6BD15F74"/>
    <w:rsid w:val="6C266A55"/>
    <w:rsid w:val="6D9013CC"/>
    <w:rsid w:val="743608B6"/>
    <w:rsid w:val="74C64922"/>
    <w:rsid w:val="74F53273"/>
    <w:rsid w:val="756D41B6"/>
    <w:rsid w:val="769A13A5"/>
    <w:rsid w:val="7DEC3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99"/>
    <w:pPr>
      <w:widowControl/>
      <w:ind w:firstLine="420"/>
      <w:jc w:val="left"/>
    </w:pPr>
    <w:rPr>
      <w:kern w:val="0"/>
      <w:sz w:val="20"/>
    </w:rPr>
  </w:style>
  <w:style w:type="paragraph" w:styleId="4">
    <w:name w:val="Body Text Indent"/>
    <w:basedOn w:val="1"/>
    <w:next w:val="5"/>
    <w:link w:val="17"/>
    <w:unhideWhenUsed/>
    <w:qFormat/>
    <w:uiPriority w:val="99"/>
    <w:pPr>
      <w:spacing w:after="120"/>
      <w:ind w:left="420" w:leftChars="200"/>
    </w:pPr>
  </w:style>
  <w:style w:type="paragraph" w:styleId="5">
    <w:name w:val="Body Text First Indent 2"/>
    <w:basedOn w:val="4"/>
    <w:next w:val="3"/>
    <w:link w:val="18"/>
    <w:unhideWhenUsed/>
    <w:qFormat/>
    <w:uiPriority w:val="99"/>
    <w:pPr>
      <w:ind w:firstLine="420" w:firstLineChars="200"/>
    </w:pPr>
    <w:rPr>
      <w:rFonts w:ascii="Calibri" w:hAnsi="Calibri"/>
      <w:szCs w:val="24"/>
    </w:rPr>
  </w:style>
  <w:style w:type="paragraph" w:styleId="6">
    <w:name w:val="annotation text"/>
    <w:basedOn w:val="1"/>
    <w:semiHidden/>
    <w:unhideWhenUsed/>
    <w:uiPriority w:val="99"/>
    <w:pPr>
      <w:jc w:val="left"/>
    </w:pPr>
  </w:style>
  <w:style w:type="paragraph" w:styleId="7">
    <w:name w:val="Body Text"/>
    <w:basedOn w:val="1"/>
    <w:link w:val="20"/>
    <w:unhideWhenUsed/>
    <w:qFormat/>
    <w:uiPriority w:val="99"/>
    <w:pPr>
      <w:spacing w:after="120"/>
    </w:pPr>
    <w:rPr>
      <w:rFonts w:ascii="Calibri" w:hAnsi="Calibri"/>
      <w:kern w:val="0"/>
      <w:sz w:val="20"/>
      <w:szCs w:val="24"/>
    </w:rPr>
  </w:style>
  <w:style w:type="paragraph" w:styleId="8">
    <w:name w:val="Plain Text"/>
    <w:basedOn w:val="1"/>
    <w:link w:val="21"/>
    <w:unhideWhenUsed/>
    <w:qFormat/>
    <w:uiPriority w:val="99"/>
    <w:rPr>
      <w:rFonts w:hint="eastAsia" w:ascii="宋体" w:hAnsi="Courier New" w:cs="Calibri"/>
      <w:kern w:val="0"/>
      <w:sz w:val="20"/>
    </w:rPr>
  </w:style>
  <w:style w:type="paragraph" w:styleId="9">
    <w:name w:val="footer"/>
    <w:basedOn w:val="1"/>
    <w:link w:val="19"/>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2">
    <w:name w:val="Body Text First Indent"/>
    <w:basedOn w:val="7"/>
    <w:next w:val="3"/>
    <w:unhideWhenUsed/>
    <w:qFormat/>
    <w:uiPriority w:val="99"/>
    <w:pPr>
      <w:ind w:firstLine="420" w:firstLineChars="100"/>
    </w:pPr>
  </w:style>
  <w:style w:type="table" w:styleId="14">
    <w:name w:val="Table Grid"/>
    <w:basedOn w:val="13"/>
    <w:unhideWhenUsed/>
    <w:qFormat/>
    <w:uiPriority w:val="99"/>
    <w:pPr>
      <w:widowControl w:val="0"/>
      <w:jc w:val="both"/>
    </w:pPr>
    <w:rPr>
      <w:rFonts w:hint="eastAsia" w:ascii="等线" w:hAnsi="等线" w:eastAsia="等线" w:cs="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customStyle="1" w:styleId="17">
    <w:name w:val="正文文本缩进 Char"/>
    <w:basedOn w:val="15"/>
    <w:link w:val="4"/>
    <w:qFormat/>
    <w:uiPriority w:val="0"/>
    <w:rPr>
      <w:rFonts w:hint="default" w:ascii="Calibri" w:hAnsi="Calibri" w:cs="Calibri"/>
      <w:kern w:val="2"/>
      <w:sz w:val="21"/>
      <w:szCs w:val="24"/>
    </w:rPr>
  </w:style>
  <w:style w:type="character" w:customStyle="1" w:styleId="18">
    <w:name w:val="正文首行缩进 2 Char"/>
    <w:basedOn w:val="17"/>
    <w:link w:val="5"/>
    <w:qFormat/>
    <w:uiPriority w:val="0"/>
    <w:rPr>
      <w:rFonts w:hint="default" w:ascii="Calibri" w:hAnsi="Calibri" w:cs="Calibri"/>
      <w:kern w:val="2"/>
      <w:sz w:val="21"/>
      <w:szCs w:val="24"/>
    </w:rPr>
  </w:style>
  <w:style w:type="character" w:customStyle="1" w:styleId="19">
    <w:name w:val="页脚 Char"/>
    <w:basedOn w:val="15"/>
    <w:link w:val="9"/>
    <w:qFormat/>
    <w:uiPriority w:val="0"/>
    <w:rPr>
      <w:rFonts w:hint="default" w:ascii="Calibri" w:hAnsi="Calibri" w:cs="Calibri"/>
      <w:kern w:val="2"/>
      <w:sz w:val="18"/>
      <w:szCs w:val="18"/>
    </w:rPr>
  </w:style>
  <w:style w:type="character" w:customStyle="1" w:styleId="20">
    <w:name w:val="正文文本 Char"/>
    <w:basedOn w:val="15"/>
    <w:link w:val="7"/>
    <w:qFormat/>
    <w:uiPriority w:val="0"/>
    <w:rPr>
      <w:rFonts w:hint="default" w:ascii="Calibri" w:hAnsi="Calibri" w:cs="Calibri"/>
      <w:szCs w:val="24"/>
    </w:rPr>
  </w:style>
  <w:style w:type="character" w:customStyle="1" w:styleId="21">
    <w:name w:val="纯文本 Char"/>
    <w:basedOn w:val="15"/>
    <w:link w:val="8"/>
    <w:qFormat/>
    <w:uiPriority w:val="0"/>
    <w:rPr>
      <w:rFonts w:hint="eastAsia" w:ascii="宋体" w:hAnsi="Courier New" w:eastAsia="宋体" w:cs="Calibri"/>
    </w:rPr>
  </w:style>
  <w:style w:type="paragraph" w:customStyle="1" w:styleId="22">
    <w:name w:val="目录 81"/>
    <w:basedOn w:val="1"/>
    <w:next w:val="1"/>
    <w:qFormat/>
    <w:uiPriority w:val="0"/>
    <w:pPr>
      <w:ind w:left="2940"/>
    </w:pPr>
    <w:rPr>
      <w:rFonts w:ascii="Calibri"/>
    </w:rPr>
  </w:style>
  <w:style w:type="paragraph" w:customStyle="1" w:styleId="23">
    <w:name w:val="样式 正文文本缩进 + 首行缩进:  2 字符 行距: 1.5 倍行距"/>
    <w:basedOn w:val="4"/>
    <w:qFormat/>
    <w:uiPriority w:val="0"/>
    <w:pPr>
      <w:spacing w:before="156" w:line="360" w:lineRule="auto"/>
      <w:ind w:left="0" w:leftChars="0" w:firstLine="482"/>
    </w:pPr>
    <w:rPr>
      <w:rFonts w:eastAsia="仿宋" w:cs="宋体"/>
      <w:b/>
      <w:sz w:val="20"/>
    </w:rPr>
  </w:style>
  <w:style w:type="paragraph" w:customStyle="1" w:styleId="24">
    <w:name w:val="样式 文字 + 首行缩进:  2 字符3"/>
    <w:qFormat/>
    <w:uiPriority w:val="0"/>
    <w:pPr>
      <w:widowControl w:val="0"/>
      <w:spacing w:line="360" w:lineRule="auto"/>
    </w:pPr>
    <w:rPr>
      <w:rFonts w:ascii="Calibri" w:hAnsi="Calibri" w:eastAsia="宋体" w:cs="Times New Roman"/>
      <w:kern w:val="2"/>
      <w:sz w:val="28"/>
      <w:szCs w:val="28"/>
      <w:lang w:val="en-US" w:eastAsia="zh-CN" w:bidi="ar-SA"/>
    </w:rPr>
  </w:style>
  <w:style w:type="paragraph" w:customStyle="1" w:styleId="25">
    <w:name w:val="msolistparagraph"/>
    <w:basedOn w:val="1"/>
    <w:qFormat/>
    <w:uiPriority w:val="0"/>
    <w:pPr>
      <w:ind w:firstLine="420" w:firstLineChars="200"/>
    </w:pPr>
    <w:rPr>
      <w:rFonts w:ascii="Calibri" w:hAnsi="Calibri"/>
      <w:szCs w:val="24"/>
    </w:rPr>
  </w:style>
  <w:style w:type="paragraph" w:customStyle="1" w:styleId="26">
    <w:name w:val="Table Text"/>
    <w:basedOn w:val="1"/>
    <w:semiHidden/>
    <w:qFormat/>
    <w:uiPriority w:val="0"/>
    <w:rPr>
      <w:rFonts w:ascii="宋体" w:hAnsi="宋体" w:eastAsia="宋体" w:cs="宋体"/>
      <w:sz w:val="19"/>
      <w:szCs w:val="19"/>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14</Pages>
  <Words>6050</Words>
  <Characters>6160</Characters>
  <Lines>25</Lines>
  <Paragraphs>7</Paragraphs>
  <TotalTime>24</TotalTime>
  <ScaleCrop>false</ScaleCrop>
  <LinksUpToDate>false</LinksUpToDate>
  <CharactersWithSpaces>6719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2025-03-13T08:09:00Z</dcterms:created>
  <dc:creator>40286</dc:creator>
  <cp:lastModifiedBy>WPS_1608881979</cp:lastModifiedBy>
  <dcterms:modified xsi:type="dcterms:W3CDTF">2026-05-09T08:06:27Z</dcterms:modified>
  <dc:title>湖南铁道职业技术学院</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eyJoZGlkIjoiNjk2NGVjMjdhNTBkZjZjNmUxMTE2NzA1MDQ5ZDgwYTgiLCJ1c2VySWQiOiIxMTU0NjAyMjgxIn0=</vt:lpwstr>
  </property>
  <property fmtid="{D5CDD505-2E9C-101B-9397-08002B2CF9AE}" pid="4" name="ICV">
    <vt:lpwstr>DF11EE076D7040B99C3F210C7E872BC3_12</vt:lpwstr>
  </property>
</Properties>
</file>